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2" w:lineRule="exact"/>
        <w:jc w:val="left"/>
        <w:rPr>
          <w:rFonts w:hint="eastAsia" w:ascii="方正小标宋简体" w:eastAsia="黑体"/>
          <w:sz w:val="44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附录 9.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4</w:t>
      </w:r>
    </w:p>
    <w:p>
      <w:pPr>
        <w:widowControl/>
        <w:spacing w:line="600" w:lineRule="exact"/>
        <w:jc w:val="center"/>
        <w:outlineLvl w:val="1"/>
        <w:rPr>
          <w:rFonts w:hint="default" w:ascii="方正小标宋简体" w:eastAsia="方正小标宋简体"/>
          <w:sz w:val="36"/>
          <w:szCs w:val="21"/>
          <w:lang w:val="en-US" w:eastAsia="zh-CN"/>
        </w:rPr>
      </w:pPr>
      <w:bookmarkStart w:id="0" w:name="_GoBack"/>
      <w:r>
        <w:rPr>
          <w:rFonts w:hint="eastAsia" w:ascii="方正小标宋简体" w:eastAsia="方正小标宋简体"/>
          <w:sz w:val="36"/>
          <w:szCs w:val="21"/>
          <w:lang w:eastAsia="zh-CN"/>
        </w:rPr>
        <w:t>突发公共卫生事件分级</w:t>
      </w:r>
      <w:r>
        <w:rPr>
          <w:rFonts w:hint="eastAsia" w:ascii="方正小标宋简体" w:eastAsia="方正小标宋简体"/>
          <w:sz w:val="36"/>
          <w:szCs w:val="21"/>
          <w:lang w:val="en-US" w:eastAsia="zh-CN"/>
        </w:rPr>
        <w:t>标准</w:t>
      </w:r>
    </w:p>
    <w:bookmarkEnd w:id="0"/>
    <w:tbl>
      <w:tblPr>
        <w:tblStyle w:val="11"/>
        <w:tblW w:w="13270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2"/>
        <w:gridCol w:w="3053"/>
        <w:gridCol w:w="4495"/>
        <w:gridCol w:w="3442"/>
        <w:gridCol w:w="1728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000000" w:sz="4" w:space="0"/>
            <w:insideV w:val="single" w:color="000000" w:sz="4" w:space="0"/>
          </w:tblBorders>
        </w:tblPrEx>
        <w:trPr>
          <w:trHeight w:val="403" w:hRule="atLeast"/>
          <w:jc w:val="center"/>
        </w:trPr>
        <w:tc>
          <w:tcPr>
            <w:tcW w:w="552" w:type="dxa"/>
            <w:vMerge w:val="restart"/>
            <w:noWrap w:val="0"/>
            <w:vAlign w:val="center"/>
          </w:tcPr>
          <w:p>
            <w:pPr>
              <w:pStyle w:val="26"/>
              <w:spacing w:line="240" w:lineRule="exact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/>
                <w:szCs w:val="21"/>
              </w:rPr>
              <w:t>事件分级</w:t>
            </w:r>
          </w:p>
        </w:tc>
        <w:tc>
          <w:tcPr>
            <w:tcW w:w="3053" w:type="dxa"/>
            <w:noWrap w:val="0"/>
            <w:vAlign w:val="center"/>
          </w:tcPr>
          <w:p>
            <w:pPr>
              <w:pStyle w:val="26"/>
              <w:spacing w:line="240" w:lineRule="exact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/>
                <w:szCs w:val="21"/>
              </w:rPr>
              <w:t>特别重大</w:t>
            </w:r>
          </w:p>
        </w:tc>
        <w:tc>
          <w:tcPr>
            <w:tcW w:w="4495" w:type="dxa"/>
            <w:noWrap w:val="0"/>
            <w:vAlign w:val="center"/>
          </w:tcPr>
          <w:p>
            <w:pPr>
              <w:pStyle w:val="26"/>
              <w:spacing w:line="240" w:lineRule="exact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/>
                <w:szCs w:val="21"/>
              </w:rPr>
              <w:t>重大</w:t>
            </w:r>
          </w:p>
        </w:tc>
        <w:tc>
          <w:tcPr>
            <w:tcW w:w="3442" w:type="dxa"/>
            <w:noWrap w:val="0"/>
            <w:vAlign w:val="center"/>
          </w:tcPr>
          <w:p>
            <w:pPr>
              <w:pStyle w:val="26"/>
              <w:spacing w:line="240" w:lineRule="exact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/>
                <w:szCs w:val="21"/>
              </w:rPr>
              <w:t>较大</w:t>
            </w:r>
          </w:p>
        </w:tc>
        <w:tc>
          <w:tcPr>
            <w:tcW w:w="1728" w:type="dxa"/>
            <w:noWrap w:val="0"/>
            <w:vAlign w:val="center"/>
          </w:tcPr>
          <w:p>
            <w:pPr>
              <w:pStyle w:val="26"/>
              <w:spacing w:line="240" w:lineRule="exact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/>
                <w:szCs w:val="21"/>
              </w:rPr>
              <w:t>一般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1" w:hRule="atLeast"/>
          <w:jc w:val="center"/>
        </w:trPr>
        <w:tc>
          <w:tcPr>
            <w:tcW w:w="552" w:type="dxa"/>
            <w:vMerge w:val="continue"/>
            <w:noWrap w:val="0"/>
            <w:vAlign w:val="top"/>
          </w:tcPr>
          <w:p>
            <w:pPr>
              <w:spacing w:line="240" w:lineRule="exact"/>
              <w:rPr>
                <w:rFonts w:ascii="宋体" w:hAnsi="宋体"/>
                <w:szCs w:val="21"/>
              </w:rPr>
            </w:pPr>
          </w:p>
        </w:tc>
        <w:tc>
          <w:tcPr>
            <w:tcW w:w="3053" w:type="dxa"/>
            <w:noWrap w:val="0"/>
            <w:vAlign w:val="center"/>
          </w:tcPr>
          <w:p>
            <w:pPr>
              <w:spacing w:line="24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有下列情形之一的，为特别重大突发公共卫生事件：</w:t>
            </w:r>
          </w:p>
          <w:p>
            <w:pPr>
              <w:spacing w:line="24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（1）肺鼠疫、肺炭疽在大、中城市发生并有扩散趋势，或肺鼠疫、肺炭疽疫情波及2个以上省份，并有进一步扩散趋势；</w:t>
            </w:r>
          </w:p>
          <w:p>
            <w:pPr>
              <w:spacing w:line="24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（2）发生传染性非典型肺炎、人感染高致病性禽流感病例，并有扩散趋势；</w:t>
            </w:r>
          </w:p>
          <w:p>
            <w:pPr>
              <w:spacing w:line="24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（3）涉及多个省份的群体性不明原因疾病，并有扩散趋势；</w:t>
            </w:r>
          </w:p>
          <w:p>
            <w:pPr>
              <w:spacing w:line="24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（4）发生新传染病或我国尚未发现的传染病发生或传入，并有扩散趋势，或发现我国已消灭的传染病重新流行；</w:t>
            </w:r>
          </w:p>
          <w:p>
            <w:pPr>
              <w:spacing w:line="24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（5）发生烈性病菌株、毒株、致病因子等丢失事件；</w:t>
            </w:r>
          </w:p>
          <w:p>
            <w:pPr>
              <w:spacing w:line="24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（6）周边以及与我国通航的国家和地区发生特大传染病疫情，并出现输入性病例，严重危及我国公共卫生安全的事件；</w:t>
            </w:r>
          </w:p>
          <w:p>
            <w:pPr>
              <w:spacing w:line="240" w:lineRule="exact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（7）国务院卫生健康行政部门认定的其他特别重大突发公共卫生事件。</w:t>
            </w:r>
          </w:p>
        </w:tc>
        <w:tc>
          <w:tcPr>
            <w:tcW w:w="44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textAlignment w:val="auto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有下列情形之一的，为重大突发公共卫生事件：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textAlignment w:val="auto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（1）在1个县级行政区域内，一个平均潜伏期内（6天）发生5例以上肺鼠疫、肺炭疽病例，或者相关联的疫情波及2个以上的县（市、区）；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textAlignment w:val="auto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（2）发生传染性非典型肺炎、人感染高致病性禽流感疑似病例；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textAlignment w:val="auto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（3）腺鼠疫发生流行，在1个市级行政区域内，一个平均潜伏期内多点连续发病20例以上，或流行范围波及2个以上市；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textAlignment w:val="auto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（4）霍乱在1个市级行政区域内流行，1周内发病30例以上，或波及2个以上市，有扩散趋势；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textAlignment w:val="auto"/>
              <w:rPr>
                <w:rFonts w:hint="eastAsia"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（5）乙类、丙类传染病波及2个以上县（市、区），1周内发病水平超过前5年同期平均发病水平2倍以上；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textAlignment w:val="auto"/>
              <w:rPr>
                <w:rFonts w:hint="eastAsia"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（6）我国尚未发现的传染病发生或传入，尚未造成扩散；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textAlignment w:val="auto"/>
              <w:rPr>
                <w:rFonts w:hint="eastAsia"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（7）发生群体性不明原因疾病，扩散到县（市、区）以外的地区；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textAlignment w:val="auto"/>
              <w:rPr>
                <w:rFonts w:hint="eastAsia"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（8）发生重大医源性感染事件；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textAlignment w:val="auto"/>
              <w:rPr>
                <w:rFonts w:hint="eastAsia"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（9）预防接种或群体性预防性服药出现人员死亡；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textAlignment w:val="auto"/>
              <w:rPr>
                <w:rFonts w:hint="eastAsia"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（10）一次食物中毒人数超过100人并出现死亡病例，或出现10例以上死亡病例；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textAlignment w:val="auto"/>
              <w:rPr>
                <w:rFonts w:hint="eastAsia"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（11）一次发生急性职业中毒50人以上，或死亡5人以上；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textAlignment w:val="auto"/>
              <w:rPr>
                <w:rFonts w:hint="eastAsia"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（12）境内外隐匿运输、邮寄烈性生物病原体、生物毒素造成我国境内人员感染或死亡的；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textAlignment w:val="auto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（13）省级以上政府卫生健康部门认定的其他重大突发公共卫生事件。</w:t>
            </w:r>
          </w:p>
        </w:tc>
        <w:tc>
          <w:tcPr>
            <w:tcW w:w="3442" w:type="dxa"/>
            <w:noWrap w:val="0"/>
            <w:vAlign w:val="center"/>
          </w:tcPr>
          <w:p>
            <w:pPr>
              <w:spacing w:line="24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有下列情形之一的，为较大突发公共卫生事件：</w:t>
            </w:r>
          </w:p>
          <w:p>
            <w:pPr>
              <w:spacing w:line="24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（1）发生肺鼠疫、肺炭疽病例，一个平均潜伏期内病例数未超过5例，流行范围在1个县级行政区域以内；</w:t>
            </w:r>
          </w:p>
          <w:p>
            <w:pPr>
              <w:spacing w:line="24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（2）腺鼠疫发生流行，在1个县级行政区域内，一个平均潜伏期内连续发病10例以上，或波及2个以上县（区、市）；</w:t>
            </w:r>
          </w:p>
          <w:p>
            <w:pPr>
              <w:spacing w:line="24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（3）霍乱在1个县级行政区域内发生，1周内发病10-29例，或波及2个以上县（区、市），或市级以上城市的市区首次发生；</w:t>
            </w:r>
          </w:p>
          <w:p>
            <w:pPr>
              <w:spacing w:line="24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（4）一周内在1个县级行政区域内，乙、丙类传染病发病水平超过前5年同期平均发病水平1倍以上；</w:t>
            </w:r>
          </w:p>
          <w:p>
            <w:pPr>
              <w:spacing w:line="24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（5）在1个县级行政区域内发现群体性不明原因疾病；</w:t>
            </w:r>
          </w:p>
          <w:p>
            <w:pPr>
              <w:spacing w:line="240" w:lineRule="exact"/>
              <w:rPr>
                <w:rFonts w:hint="eastAsia"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（6）一次食物中毒人数超过100人，或出现死亡病例；</w:t>
            </w:r>
          </w:p>
          <w:p>
            <w:pPr>
              <w:spacing w:line="240" w:lineRule="exact"/>
              <w:rPr>
                <w:rFonts w:hint="eastAsia"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（7）预防接种或群体性预防性服药出现群体心因性反应或不良反应；</w:t>
            </w:r>
          </w:p>
          <w:p>
            <w:pPr>
              <w:spacing w:line="240" w:lineRule="exact"/>
              <w:rPr>
                <w:rFonts w:hint="eastAsia"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（8）一次发生急性职业中毒10～49人，或死亡4人以下；</w:t>
            </w:r>
          </w:p>
          <w:p>
            <w:pPr>
              <w:spacing w:line="24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（9）市级以上政府卫生健康部门认定的其他较大突发公共卫生事件。</w:t>
            </w:r>
          </w:p>
        </w:tc>
        <w:tc>
          <w:tcPr>
            <w:tcW w:w="1728" w:type="dxa"/>
            <w:noWrap w:val="0"/>
            <w:vAlign w:val="center"/>
          </w:tcPr>
          <w:p>
            <w:pPr>
              <w:spacing w:line="24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有下列情形之一的，为一般突发公共卫生事件：</w:t>
            </w:r>
          </w:p>
          <w:p>
            <w:pPr>
              <w:spacing w:line="24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（1）腺鼠疫在一个县级行政区域内发生，一个平均潜伏期内病例数未超过10例；</w:t>
            </w:r>
          </w:p>
          <w:p>
            <w:pPr>
              <w:spacing w:line="24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（2）霍乱在1个县级行政区域内发生，1周内发病9例以下；</w:t>
            </w:r>
          </w:p>
          <w:p>
            <w:pPr>
              <w:spacing w:line="24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（3）一次食物中毒人数30～99人，未出现死亡病例；</w:t>
            </w:r>
          </w:p>
          <w:p>
            <w:pPr>
              <w:spacing w:line="24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（4）一次发生急性职业中毒9人以下，未出现死亡病例；</w:t>
            </w:r>
          </w:p>
          <w:p>
            <w:pPr>
              <w:spacing w:line="24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（5）县级以上政府卫生健康部门认定的其他一般突发公共卫生事件。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552" w:type="dxa"/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宋体"/>
                <w:kern w:val="2"/>
                <w:sz w:val="21"/>
                <w:szCs w:val="21"/>
                <w:lang w:val="en-US" w:eastAsia="zh-CN" w:bidi="ar-SA"/>
              </w:rPr>
              <w:t>应急响应</w:t>
            </w:r>
          </w:p>
        </w:tc>
        <w:tc>
          <w:tcPr>
            <w:tcW w:w="10990" w:type="dxa"/>
            <w:gridSpan w:val="3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eastAsia" w:ascii="宋体" w:hAnsi="宋体" w:cs="宋体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 w:val="18"/>
                <w:szCs w:val="18"/>
                <w:highlight w:val="none"/>
              </w:rPr>
              <w:t>I级</w:t>
            </w:r>
            <w:r>
              <w:rPr>
                <w:rFonts w:hint="eastAsia" w:ascii="宋体" w:hAnsi="宋体" w:cs="宋体"/>
                <w:sz w:val="18"/>
                <w:szCs w:val="18"/>
                <w:highlight w:val="none"/>
                <w:lang w:val="en-US" w:eastAsia="zh-CN"/>
              </w:rPr>
              <w:t>响应</w:t>
            </w:r>
          </w:p>
        </w:tc>
        <w:tc>
          <w:tcPr>
            <w:tcW w:w="1728" w:type="dxa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宋体" w:hAnsi="宋体" w:cs="宋体"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 w:cs="宋体"/>
                <w:sz w:val="18"/>
                <w:szCs w:val="18"/>
                <w:highlight w:val="none"/>
                <w:lang w:eastAsia="zh-CN"/>
              </w:rPr>
              <w:t>Ⅱ级</w:t>
            </w:r>
            <w:r>
              <w:rPr>
                <w:rFonts w:hint="eastAsia" w:ascii="宋体" w:hAnsi="宋体" w:cs="宋体"/>
                <w:sz w:val="18"/>
                <w:szCs w:val="18"/>
                <w:highlight w:val="none"/>
                <w:lang w:val="en-US" w:eastAsia="zh-CN"/>
              </w:rPr>
              <w:t>响应</w:t>
            </w:r>
          </w:p>
        </w:tc>
      </w:tr>
    </w:tbl>
    <w:p>
      <w:pPr>
        <w:rPr>
          <w:rFonts w:hint="eastAsia" w:ascii="楷体_GB2312" w:hAnsi="楷体_GB2312" w:eastAsia="楷体_GB2312" w:cs="楷体_GB2312"/>
          <w:b/>
          <w:bCs/>
          <w:kern w:val="0"/>
          <w:sz w:val="32"/>
          <w:szCs w:val="32"/>
          <w:vertAlign w:val="baseline"/>
        </w:rPr>
      </w:pPr>
      <w:r>
        <w:rPr>
          <w:rFonts w:hint="eastAsia" w:ascii="宋体"/>
        </w:rPr>
        <w:t>分级依据中国疾病预防控制中心发布的《突发公共卫生事件分级标准》</w:t>
      </w:r>
    </w:p>
    <w:sectPr>
      <w:footerReference r:id="rId3" w:type="default"/>
      <w:pgSz w:w="16838" w:h="11906" w:orient="landscape"/>
      <w:pgMar w:top="1576" w:right="1894" w:bottom="1576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2BECE55-8F5B-4B3D-8CBC-6DB9B4437B4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C7734B1-5995-4534-85FA-CA251C7AE60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3684911-E54B-4577-BDEC-613C05540BBF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27EC0C12-E4E1-46C7-8C86-F8574D2A770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4557F57-ECD1-4F6C-9536-860A4CFE606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FFE37276-60A7-4BD4-AFAF-31039A33455C}"/>
  </w:font>
  <w:font w:name="monospace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7" w:fontKey="{91A49DA2-6B67-4212-A81C-2784D66FBD60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08460905-9DCB-46A5-B429-647A88EB5D37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A40FFC0D-42E8-462A-9C3C-5092E34267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IzNzBhYWMwZjI0OTllM2M3ZDk5ODljMTkxN2Y0MzcifQ=="/>
  </w:docVars>
  <w:rsids>
    <w:rsidRoot w:val="42677D51"/>
    <w:rsid w:val="00133387"/>
    <w:rsid w:val="00345784"/>
    <w:rsid w:val="00431C53"/>
    <w:rsid w:val="0049516A"/>
    <w:rsid w:val="006D06C0"/>
    <w:rsid w:val="008C6F68"/>
    <w:rsid w:val="009205DE"/>
    <w:rsid w:val="00975D66"/>
    <w:rsid w:val="00A326F4"/>
    <w:rsid w:val="00A80EDE"/>
    <w:rsid w:val="00BB673D"/>
    <w:rsid w:val="00C1159D"/>
    <w:rsid w:val="00E619DD"/>
    <w:rsid w:val="00E95658"/>
    <w:rsid w:val="011B0745"/>
    <w:rsid w:val="01395070"/>
    <w:rsid w:val="01521C8D"/>
    <w:rsid w:val="015C239E"/>
    <w:rsid w:val="01877B89"/>
    <w:rsid w:val="01B110AA"/>
    <w:rsid w:val="01B458C4"/>
    <w:rsid w:val="01D428C4"/>
    <w:rsid w:val="02434D23"/>
    <w:rsid w:val="02742462"/>
    <w:rsid w:val="02C779F2"/>
    <w:rsid w:val="03263A4C"/>
    <w:rsid w:val="03A013D6"/>
    <w:rsid w:val="03CA39ED"/>
    <w:rsid w:val="045414BA"/>
    <w:rsid w:val="04602913"/>
    <w:rsid w:val="04743DAC"/>
    <w:rsid w:val="047C0CDF"/>
    <w:rsid w:val="04FF037E"/>
    <w:rsid w:val="050C7F9E"/>
    <w:rsid w:val="05467D5B"/>
    <w:rsid w:val="058D7FD6"/>
    <w:rsid w:val="05AC1506"/>
    <w:rsid w:val="05C64D72"/>
    <w:rsid w:val="05E82BC0"/>
    <w:rsid w:val="068B55F4"/>
    <w:rsid w:val="06B70F10"/>
    <w:rsid w:val="06F906B4"/>
    <w:rsid w:val="07554285"/>
    <w:rsid w:val="07923531"/>
    <w:rsid w:val="07DB537E"/>
    <w:rsid w:val="081E77D0"/>
    <w:rsid w:val="084401EA"/>
    <w:rsid w:val="0896189B"/>
    <w:rsid w:val="08983B42"/>
    <w:rsid w:val="08A6123D"/>
    <w:rsid w:val="09063A89"/>
    <w:rsid w:val="091D53CA"/>
    <w:rsid w:val="092B1742"/>
    <w:rsid w:val="09372EBF"/>
    <w:rsid w:val="094265D8"/>
    <w:rsid w:val="095C1EF7"/>
    <w:rsid w:val="09CE3A9A"/>
    <w:rsid w:val="0A8F3F52"/>
    <w:rsid w:val="0A9652E1"/>
    <w:rsid w:val="0AAC508C"/>
    <w:rsid w:val="0AB034EB"/>
    <w:rsid w:val="0AB42722"/>
    <w:rsid w:val="0AEE0549"/>
    <w:rsid w:val="0B1303DD"/>
    <w:rsid w:val="0B2A25DE"/>
    <w:rsid w:val="0BA841A1"/>
    <w:rsid w:val="0BAC271E"/>
    <w:rsid w:val="0BAF5929"/>
    <w:rsid w:val="0BCC3302"/>
    <w:rsid w:val="0C676F35"/>
    <w:rsid w:val="0C803B53"/>
    <w:rsid w:val="0CCD17FB"/>
    <w:rsid w:val="0CDE7018"/>
    <w:rsid w:val="0D26294C"/>
    <w:rsid w:val="0D58687D"/>
    <w:rsid w:val="0D6E6656"/>
    <w:rsid w:val="0DB300ED"/>
    <w:rsid w:val="0DFC6C16"/>
    <w:rsid w:val="0E3E1F17"/>
    <w:rsid w:val="0E496622"/>
    <w:rsid w:val="0E4F0ED7"/>
    <w:rsid w:val="0E6946DB"/>
    <w:rsid w:val="0E9B351E"/>
    <w:rsid w:val="0EA55AF2"/>
    <w:rsid w:val="0EEF3211"/>
    <w:rsid w:val="0EF2542C"/>
    <w:rsid w:val="0F3B1FB3"/>
    <w:rsid w:val="0F3D3F7D"/>
    <w:rsid w:val="0F466444"/>
    <w:rsid w:val="0F67724C"/>
    <w:rsid w:val="0F6B6D3C"/>
    <w:rsid w:val="0F6D0234"/>
    <w:rsid w:val="0FB32491"/>
    <w:rsid w:val="0FCB1589"/>
    <w:rsid w:val="100652F5"/>
    <w:rsid w:val="102D2243"/>
    <w:rsid w:val="10543B7A"/>
    <w:rsid w:val="10CF50A9"/>
    <w:rsid w:val="10D80D25"/>
    <w:rsid w:val="11005262"/>
    <w:rsid w:val="114F1D45"/>
    <w:rsid w:val="115E2483"/>
    <w:rsid w:val="117C5C80"/>
    <w:rsid w:val="119970AB"/>
    <w:rsid w:val="11A9721B"/>
    <w:rsid w:val="129E1309"/>
    <w:rsid w:val="130F107E"/>
    <w:rsid w:val="13294F44"/>
    <w:rsid w:val="132A4818"/>
    <w:rsid w:val="133F70F0"/>
    <w:rsid w:val="135D7B39"/>
    <w:rsid w:val="137F5E2D"/>
    <w:rsid w:val="138375AF"/>
    <w:rsid w:val="13C20EF5"/>
    <w:rsid w:val="13CC1508"/>
    <w:rsid w:val="13EC7D20"/>
    <w:rsid w:val="13F13588"/>
    <w:rsid w:val="14357918"/>
    <w:rsid w:val="144E1F32"/>
    <w:rsid w:val="145C30F7"/>
    <w:rsid w:val="14F750C0"/>
    <w:rsid w:val="152E0E64"/>
    <w:rsid w:val="154A2F50"/>
    <w:rsid w:val="15720076"/>
    <w:rsid w:val="15882F8B"/>
    <w:rsid w:val="15C03846"/>
    <w:rsid w:val="16442095"/>
    <w:rsid w:val="16640041"/>
    <w:rsid w:val="167E55A7"/>
    <w:rsid w:val="16863709"/>
    <w:rsid w:val="17194780"/>
    <w:rsid w:val="17852965"/>
    <w:rsid w:val="17981C39"/>
    <w:rsid w:val="188E0FFD"/>
    <w:rsid w:val="189424D9"/>
    <w:rsid w:val="18DA4154"/>
    <w:rsid w:val="19077EE8"/>
    <w:rsid w:val="19137AFC"/>
    <w:rsid w:val="19852041"/>
    <w:rsid w:val="198E02E3"/>
    <w:rsid w:val="19F4083B"/>
    <w:rsid w:val="19F422B0"/>
    <w:rsid w:val="1A057C53"/>
    <w:rsid w:val="1A214EBF"/>
    <w:rsid w:val="1A506DC7"/>
    <w:rsid w:val="1A7F09EB"/>
    <w:rsid w:val="1A8C18A1"/>
    <w:rsid w:val="1B2609AE"/>
    <w:rsid w:val="1B893D95"/>
    <w:rsid w:val="1BF32DA8"/>
    <w:rsid w:val="1C1F3BA4"/>
    <w:rsid w:val="1C746B04"/>
    <w:rsid w:val="1CB8605A"/>
    <w:rsid w:val="1CD13F56"/>
    <w:rsid w:val="1D556936"/>
    <w:rsid w:val="1E3E386E"/>
    <w:rsid w:val="1E9A6CF6"/>
    <w:rsid w:val="1EB8600C"/>
    <w:rsid w:val="1ED84CD5"/>
    <w:rsid w:val="1EDB2E6A"/>
    <w:rsid w:val="1EDC7F5E"/>
    <w:rsid w:val="1F0D59BA"/>
    <w:rsid w:val="1F862124"/>
    <w:rsid w:val="1FEC17D3"/>
    <w:rsid w:val="202B7BE2"/>
    <w:rsid w:val="202D6FBF"/>
    <w:rsid w:val="20551456"/>
    <w:rsid w:val="20750F6C"/>
    <w:rsid w:val="20A07A41"/>
    <w:rsid w:val="20C04A0E"/>
    <w:rsid w:val="20DC08BF"/>
    <w:rsid w:val="21012F90"/>
    <w:rsid w:val="210D3942"/>
    <w:rsid w:val="21595C90"/>
    <w:rsid w:val="215D7BFD"/>
    <w:rsid w:val="21D4251F"/>
    <w:rsid w:val="21F55953"/>
    <w:rsid w:val="223B07F0"/>
    <w:rsid w:val="22460F43"/>
    <w:rsid w:val="224A5BE0"/>
    <w:rsid w:val="22951DAD"/>
    <w:rsid w:val="22A31EF1"/>
    <w:rsid w:val="22AC349C"/>
    <w:rsid w:val="22AD5BA3"/>
    <w:rsid w:val="23040BE2"/>
    <w:rsid w:val="234A45C7"/>
    <w:rsid w:val="24B93C4E"/>
    <w:rsid w:val="24FE05CC"/>
    <w:rsid w:val="251827E2"/>
    <w:rsid w:val="251F09A3"/>
    <w:rsid w:val="25217BBE"/>
    <w:rsid w:val="252F107F"/>
    <w:rsid w:val="25374131"/>
    <w:rsid w:val="25457FB6"/>
    <w:rsid w:val="25A0175A"/>
    <w:rsid w:val="25AF3AE8"/>
    <w:rsid w:val="25BC08B3"/>
    <w:rsid w:val="26661237"/>
    <w:rsid w:val="26712A32"/>
    <w:rsid w:val="26AF39E6"/>
    <w:rsid w:val="26B9454A"/>
    <w:rsid w:val="26C8461C"/>
    <w:rsid w:val="26F74CA0"/>
    <w:rsid w:val="275C022A"/>
    <w:rsid w:val="277E3D51"/>
    <w:rsid w:val="279F712B"/>
    <w:rsid w:val="27FC27CF"/>
    <w:rsid w:val="281E4373"/>
    <w:rsid w:val="287A36F4"/>
    <w:rsid w:val="28BC52FE"/>
    <w:rsid w:val="28D76D98"/>
    <w:rsid w:val="28FE60D3"/>
    <w:rsid w:val="290D115B"/>
    <w:rsid w:val="290E0DEE"/>
    <w:rsid w:val="298011DE"/>
    <w:rsid w:val="29A675E8"/>
    <w:rsid w:val="2A592485"/>
    <w:rsid w:val="2A5D507B"/>
    <w:rsid w:val="2A924FAA"/>
    <w:rsid w:val="2B0403AB"/>
    <w:rsid w:val="2B2424F1"/>
    <w:rsid w:val="2B4C1378"/>
    <w:rsid w:val="2BE315B0"/>
    <w:rsid w:val="2BF612E4"/>
    <w:rsid w:val="2C6A6A19"/>
    <w:rsid w:val="2CAA4E52"/>
    <w:rsid w:val="2CB27900"/>
    <w:rsid w:val="2CD33B58"/>
    <w:rsid w:val="2D0A773C"/>
    <w:rsid w:val="2D306A77"/>
    <w:rsid w:val="2D335CC2"/>
    <w:rsid w:val="2D3769B2"/>
    <w:rsid w:val="2D634127"/>
    <w:rsid w:val="2D6D7CCB"/>
    <w:rsid w:val="2D7C65D3"/>
    <w:rsid w:val="2D7F0EC3"/>
    <w:rsid w:val="2D920D7E"/>
    <w:rsid w:val="2DAB5213"/>
    <w:rsid w:val="2DB2520E"/>
    <w:rsid w:val="2DC53913"/>
    <w:rsid w:val="2DC96BB5"/>
    <w:rsid w:val="2E8620EB"/>
    <w:rsid w:val="2EB730FD"/>
    <w:rsid w:val="2EC35DF5"/>
    <w:rsid w:val="2F0F3E95"/>
    <w:rsid w:val="2F25085E"/>
    <w:rsid w:val="2FAA2B11"/>
    <w:rsid w:val="2FEC3B2C"/>
    <w:rsid w:val="30144BA3"/>
    <w:rsid w:val="306C426A"/>
    <w:rsid w:val="30F027A5"/>
    <w:rsid w:val="30F77FD8"/>
    <w:rsid w:val="310479C7"/>
    <w:rsid w:val="31083DB4"/>
    <w:rsid w:val="311F5A96"/>
    <w:rsid w:val="31945AEF"/>
    <w:rsid w:val="31A16195"/>
    <w:rsid w:val="31E8264B"/>
    <w:rsid w:val="31F959F9"/>
    <w:rsid w:val="322743F1"/>
    <w:rsid w:val="324A2916"/>
    <w:rsid w:val="325F5E35"/>
    <w:rsid w:val="326F6AD0"/>
    <w:rsid w:val="32A73338"/>
    <w:rsid w:val="3313385B"/>
    <w:rsid w:val="33137AD9"/>
    <w:rsid w:val="332D5F33"/>
    <w:rsid w:val="33837A98"/>
    <w:rsid w:val="33C341A1"/>
    <w:rsid w:val="34631C4D"/>
    <w:rsid w:val="34BE0ADC"/>
    <w:rsid w:val="34D637CA"/>
    <w:rsid w:val="34E97C37"/>
    <w:rsid w:val="34F32864"/>
    <w:rsid w:val="35037DAF"/>
    <w:rsid w:val="355F097A"/>
    <w:rsid w:val="35EB79DF"/>
    <w:rsid w:val="35F133D0"/>
    <w:rsid w:val="3624740E"/>
    <w:rsid w:val="36372C24"/>
    <w:rsid w:val="3681501F"/>
    <w:rsid w:val="36B35E8D"/>
    <w:rsid w:val="36F0799C"/>
    <w:rsid w:val="373351F0"/>
    <w:rsid w:val="38174ABC"/>
    <w:rsid w:val="384275F9"/>
    <w:rsid w:val="38860A81"/>
    <w:rsid w:val="38B465B8"/>
    <w:rsid w:val="38EC7CF6"/>
    <w:rsid w:val="392E47B3"/>
    <w:rsid w:val="39382F3B"/>
    <w:rsid w:val="397006C8"/>
    <w:rsid w:val="39B14863"/>
    <w:rsid w:val="39C0428B"/>
    <w:rsid w:val="39C34076"/>
    <w:rsid w:val="3A033549"/>
    <w:rsid w:val="3A1A4D37"/>
    <w:rsid w:val="3A371445"/>
    <w:rsid w:val="3AF72484"/>
    <w:rsid w:val="3B1E6E3D"/>
    <w:rsid w:val="3B653D90"/>
    <w:rsid w:val="3B783AC3"/>
    <w:rsid w:val="3BAE3989"/>
    <w:rsid w:val="3BBF4768"/>
    <w:rsid w:val="3BC91AB6"/>
    <w:rsid w:val="3BEE1FD7"/>
    <w:rsid w:val="3C327361"/>
    <w:rsid w:val="3C546FAC"/>
    <w:rsid w:val="3C8A515F"/>
    <w:rsid w:val="3C8F175B"/>
    <w:rsid w:val="3C913DAA"/>
    <w:rsid w:val="3C952CA7"/>
    <w:rsid w:val="3CB90837"/>
    <w:rsid w:val="3CEA1083"/>
    <w:rsid w:val="3D185085"/>
    <w:rsid w:val="3D197528"/>
    <w:rsid w:val="3D2757A1"/>
    <w:rsid w:val="3D2B4E13"/>
    <w:rsid w:val="3D4C388C"/>
    <w:rsid w:val="3D5B18EE"/>
    <w:rsid w:val="3D8B1C3F"/>
    <w:rsid w:val="3E412892"/>
    <w:rsid w:val="3E530817"/>
    <w:rsid w:val="3E5A7DF8"/>
    <w:rsid w:val="3E622809"/>
    <w:rsid w:val="3E9C3F9B"/>
    <w:rsid w:val="3EBE2135"/>
    <w:rsid w:val="3EDB4A95"/>
    <w:rsid w:val="3EF849DB"/>
    <w:rsid w:val="3F092439"/>
    <w:rsid w:val="3F5400D1"/>
    <w:rsid w:val="3F620D12"/>
    <w:rsid w:val="3F731171"/>
    <w:rsid w:val="3F9B525F"/>
    <w:rsid w:val="3FA346B3"/>
    <w:rsid w:val="3FBA6DA0"/>
    <w:rsid w:val="3FF878C8"/>
    <w:rsid w:val="40033813"/>
    <w:rsid w:val="40231D13"/>
    <w:rsid w:val="40515CE0"/>
    <w:rsid w:val="4070745F"/>
    <w:rsid w:val="40914003"/>
    <w:rsid w:val="40D774DE"/>
    <w:rsid w:val="4101455B"/>
    <w:rsid w:val="412C02C8"/>
    <w:rsid w:val="41467332"/>
    <w:rsid w:val="41A5138A"/>
    <w:rsid w:val="41A6591F"/>
    <w:rsid w:val="41B802AC"/>
    <w:rsid w:val="41E104A2"/>
    <w:rsid w:val="41F7515B"/>
    <w:rsid w:val="42091919"/>
    <w:rsid w:val="42366486"/>
    <w:rsid w:val="42677D51"/>
    <w:rsid w:val="42760460"/>
    <w:rsid w:val="427904E9"/>
    <w:rsid w:val="42AE0712"/>
    <w:rsid w:val="42DC4658"/>
    <w:rsid w:val="42F826DA"/>
    <w:rsid w:val="43192030"/>
    <w:rsid w:val="433A4FE4"/>
    <w:rsid w:val="434C63A9"/>
    <w:rsid w:val="438D4F8C"/>
    <w:rsid w:val="43A01E09"/>
    <w:rsid w:val="43BD6E5F"/>
    <w:rsid w:val="440B6197"/>
    <w:rsid w:val="446472DA"/>
    <w:rsid w:val="446C7997"/>
    <w:rsid w:val="44894335"/>
    <w:rsid w:val="448D464B"/>
    <w:rsid w:val="4493259D"/>
    <w:rsid w:val="44AB315B"/>
    <w:rsid w:val="44D77AAC"/>
    <w:rsid w:val="451A1082"/>
    <w:rsid w:val="457C36E1"/>
    <w:rsid w:val="4597723C"/>
    <w:rsid w:val="45CB06C0"/>
    <w:rsid w:val="45D16BF2"/>
    <w:rsid w:val="462E1341"/>
    <w:rsid w:val="46855E29"/>
    <w:rsid w:val="46873754"/>
    <w:rsid w:val="46A323FD"/>
    <w:rsid w:val="46C027C2"/>
    <w:rsid w:val="473421F2"/>
    <w:rsid w:val="4760647F"/>
    <w:rsid w:val="47FC1476"/>
    <w:rsid w:val="48593D3E"/>
    <w:rsid w:val="486509DD"/>
    <w:rsid w:val="48A645A4"/>
    <w:rsid w:val="48D2515B"/>
    <w:rsid w:val="49136C47"/>
    <w:rsid w:val="492457F0"/>
    <w:rsid w:val="492D3C35"/>
    <w:rsid w:val="494D2A33"/>
    <w:rsid w:val="49B347A5"/>
    <w:rsid w:val="49F03F8B"/>
    <w:rsid w:val="4A286FFC"/>
    <w:rsid w:val="4A8E6E5F"/>
    <w:rsid w:val="4AD62649"/>
    <w:rsid w:val="4AE141D1"/>
    <w:rsid w:val="4AF13A7C"/>
    <w:rsid w:val="4B2F3A5D"/>
    <w:rsid w:val="4B7C6006"/>
    <w:rsid w:val="4BDB2578"/>
    <w:rsid w:val="4BF3631D"/>
    <w:rsid w:val="4C5D3D3B"/>
    <w:rsid w:val="4C644B24"/>
    <w:rsid w:val="4C7932EC"/>
    <w:rsid w:val="4C7D437E"/>
    <w:rsid w:val="4CB701C3"/>
    <w:rsid w:val="4CBE0764"/>
    <w:rsid w:val="4CC14E5B"/>
    <w:rsid w:val="4CC72AFC"/>
    <w:rsid w:val="4CCE79E7"/>
    <w:rsid w:val="4CD0465A"/>
    <w:rsid w:val="4CD15387"/>
    <w:rsid w:val="4CE70AA9"/>
    <w:rsid w:val="4D185694"/>
    <w:rsid w:val="4D3361C7"/>
    <w:rsid w:val="4D340A38"/>
    <w:rsid w:val="4DDB73E6"/>
    <w:rsid w:val="4DE17BEE"/>
    <w:rsid w:val="4E086F29"/>
    <w:rsid w:val="4E5659E2"/>
    <w:rsid w:val="4E6D76D3"/>
    <w:rsid w:val="4EBC62BA"/>
    <w:rsid w:val="4EC92B5C"/>
    <w:rsid w:val="4ED00689"/>
    <w:rsid w:val="4F1B6DAD"/>
    <w:rsid w:val="4F471CD3"/>
    <w:rsid w:val="4FC50C7A"/>
    <w:rsid w:val="4FDA0780"/>
    <w:rsid w:val="4FF45EEA"/>
    <w:rsid w:val="500B71A4"/>
    <w:rsid w:val="50355FCF"/>
    <w:rsid w:val="504D156B"/>
    <w:rsid w:val="508036EE"/>
    <w:rsid w:val="509947B0"/>
    <w:rsid w:val="50A32F39"/>
    <w:rsid w:val="50CA4969"/>
    <w:rsid w:val="51595CED"/>
    <w:rsid w:val="51870AAC"/>
    <w:rsid w:val="519B00B4"/>
    <w:rsid w:val="51BD002A"/>
    <w:rsid w:val="51E8779D"/>
    <w:rsid w:val="520B348B"/>
    <w:rsid w:val="52306A4E"/>
    <w:rsid w:val="52412A09"/>
    <w:rsid w:val="524B0FAF"/>
    <w:rsid w:val="52506A55"/>
    <w:rsid w:val="52513F5C"/>
    <w:rsid w:val="528A050C"/>
    <w:rsid w:val="52907657"/>
    <w:rsid w:val="52AA6F50"/>
    <w:rsid w:val="52DE64AA"/>
    <w:rsid w:val="531358A6"/>
    <w:rsid w:val="531C6FD2"/>
    <w:rsid w:val="531F62D4"/>
    <w:rsid w:val="536D080A"/>
    <w:rsid w:val="53A16C04"/>
    <w:rsid w:val="53B37937"/>
    <w:rsid w:val="542645AC"/>
    <w:rsid w:val="54451C2E"/>
    <w:rsid w:val="54C85E85"/>
    <w:rsid w:val="554051FA"/>
    <w:rsid w:val="55576158"/>
    <w:rsid w:val="55C97D61"/>
    <w:rsid w:val="55E42029"/>
    <w:rsid w:val="562F395F"/>
    <w:rsid w:val="56551276"/>
    <w:rsid w:val="568F45A4"/>
    <w:rsid w:val="56B20379"/>
    <w:rsid w:val="56CE04C4"/>
    <w:rsid w:val="56D93B58"/>
    <w:rsid w:val="57174680"/>
    <w:rsid w:val="57407E98"/>
    <w:rsid w:val="57B40121"/>
    <w:rsid w:val="57D74A7C"/>
    <w:rsid w:val="57E62E9D"/>
    <w:rsid w:val="58070251"/>
    <w:rsid w:val="586D0088"/>
    <w:rsid w:val="58751616"/>
    <w:rsid w:val="58794ECC"/>
    <w:rsid w:val="58D52F3D"/>
    <w:rsid w:val="590B36CF"/>
    <w:rsid w:val="59317FBD"/>
    <w:rsid w:val="59403720"/>
    <w:rsid w:val="59527BF2"/>
    <w:rsid w:val="598760F4"/>
    <w:rsid w:val="598C6B52"/>
    <w:rsid w:val="59D26E89"/>
    <w:rsid w:val="59FE5684"/>
    <w:rsid w:val="5A8042EB"/>
    <w:rsid w:val="5AA74399"/>
    <w:rsid w:val="5ACA2B01"/>
    <w:rsid w:val="5B1F45E6"/>
    <w:rsid w:val="5B6224CD"/>
    <w:rsid w:val="5BCF1086"/>
    <w:rsid w:val="5BE71E0B"/>
    <w:rsid w:val="5C09353C"/>
    <w:rsid w:val="5CAE7A21"/>
    <w:rsid w:val="5CDA4186"/>
    <w:rsid w:val="5CDF48D3"/>
    <w:rsid w:val="5D0631CD"/>
    <w:rsid w:val="5D30024A"/>
    <w:rsid w:val="5D335675"/>
    <w:rsid w:val="5D823DB2"/>
    <w:rsid w:val="5DAF116F"/>
    <w:rsid w:val="5E6727D4"/>
    <w:rsid w:val="5F8A1E93"/>
    <w:rsid w:val="5F942D12"/>
    <w:rsid w:val="5FB213EA"/>
    <w:rsid w:val="5FBC06C6"/>
    <w:rsid w:val="5FFC38FF"/>
    <w:rsid w:val="60145C01"/>
    <w:rsid w:val="60587509"/>
    <w:rsid w:val="60A95F24"/>
    <w:rsid w:val="60EC092C"/>
    <w:rsid w:val="611C19CC"/>
    <w:rsid w:val="611E15D2"/>
    <w:rsid w:val="612D484E"/>
    <w:rsid w:val="615A6FF1"/>
    <w:rsid w:val="61736554"/>
    <w:rsid w:val="618B1EF3"/>
    <w:rsid w:val="61E33F36"/>
    <w:rsid w:val="62587E94"/>
    <w:rsid w:val="62AA45FB"/>
    <w:rsid w:val="62FE04A2"/>
    <w:rsid w:val="63106C6D"/>
    <w:rsid w:val="632154F3"/>
    <w:rsid w:val="6346570E"/>
    <w:rsid w:val="640B2E77"/>
    <w:rsid w:val="64102996"/>
    <w:rsid w:val="646D113C"/>
    <w:rsid w:val="64942E6C"/>
    <w:rsid w:val="64D94D23"/>
    <w:rsid w:val="6502425D"/>
    <w:rsid w:val="65586BF5"/>
    <w:rsid w:val="6578453C"/>
    <w:rsid w:val="657D1B52"/>
    <w:rsid w:val="65A661AA"/>
    <w:rsid w:val="65D00149"/>
    <w:rsid w:val="669A08BD"/>
    <w:rsid w:val="67B97DDD"/>
    <w:rsid w:val="67E337A4"/>
    <w:rsid w:val="67FF5CC8"/>
    <w:rsid w:val="6803749A"/>
    <w:rsid w:val="687731D1"/>
    <w:rsid w:val="68F01200"/>
    <w:rsid w:val="69194288"/>
    <w:rsid w:val="693576C7"/>
    <w:rsid w:val="6961518B"/>
    <w:rsid w:val="69744D0D"/>
    <w:rsid w:val="69872FA0"/>
    <w:rsid w:val="69961435"/>
    <w:rsid w:val="69C45FA2"/>
    <w:rsid w:val="69C565B5"/>
    <w:rsid w:val="69FD59C9"/>
    <w:rsid w:val="6A1924FB"/>
    <w:rsid w:val="6B260810"/>
    <w:rsid w:val="6BD570A1"/>
    <w:rsid w:val="6C4E249B"/>
    <w:rsid w:val="6C6425D2"/>
    <w:rsid w:val="6C755441"/>
    <w:rsid w:val="6CDA66CC"/>
    <w:rsid w:val="6CDB3196"/>
    <w:rsid w:val="6CF12AFE"/>
    <w:rsid w:val="6D1B641C"/>
    <w:rsid w:val="6D1C1422"/>
    <w:rsid w:val="6D400872"/>
    <w:rsid w:val="6D405D07"/>
    <w:rsid w:val="6DAA329E"/>
    <w:rsid w:val="6DAF644C"/>
    <w:rsid w:val="6DCD73EF"/>
    <w:rsid w:val="6DE74A35"/>
    <w:rsid w:val="6DE93738"/>
    <w:rsid w:val="6DF42BCE"/>
    <w:rsid w:val="6E057C2A"/>
    <w:rsid w:val="6E332741"/>
    <w:rsid w:val="6E4F71A3"/>
    <w:rsid w:val="6E7D40C7"/>
    <w:rsid w:val="6E9F4C71"/>
    <w:rsid w:val="6EB72579"/>
    <w:rsid w:val="6EEB3FD1"/>
    <w:rsid w:val="6EEB569A"/>
    <w:rsid w:val="6EEE586F"/>
    <w:rsid w:val="6F342237"/>
    <w:rsid w:val="6F372726"/>
    <w:rsid w:val="6F4638FD"/>
    <w:rsid w:val="6F8C56AF"/>
    <w:rsid w:val="6FB645DF"/>
    <w:rsid w:val="700D438E"/>
    <w:rsid w:val="701A250C"/>
    <w:rsid w:val="706E310B"/>
    <w:rsid w:val="70AA75C3"/>
    <w:rsid w:val="70E91FD2"/>
    <w:rsid w:val="71792D50"/>
    <w:rsid w:val="717B7C74"/>
    <w:rsid w:val="717C46D9"/>
    <w:rsid w:val="71CC00E9"/>
    <w:rsid w:val="71FE03CB"/>
    <w:rsid w:val="721A6FBB"/>
    <w:rsid w:val="727A5DEC"/>
    <w:rsid w:val="7299012A"/>
    <w:rsid w:val="729D6F25"/>
    <w:rsid w:val="72FC67AC"/>
    <w:rsid w:val="7305227F"/>
    <w:rsid w:val="731714ED"/>
    <w:rsid w:val="731F693F"/>
    <w:rsid w:val="73226C19"/>
    <w:rsid w:val="732B339D"/>
    <w:rsid w:val="738162BD"/>
    <w:rsid w:val="74BD1F6B"/>
    <w:rsid w:val="74DB0643"/>
    <w:rsid w:val="74E443E8"/>
    <w:rsid w:val="74E67A04"/>
    <w:rsid w:val="753205D0"/>
    <w:rsid w:val="755E374E"/>
    <w:rsid w:val="759A503A"/>
    <w:rsid w:val="75BF7F65"/>
    <w:rsid w:val="75C8506C"/>
    <w:rsid w:val="761402B1"/>
    <w:rsid w:val="7625601A"/>
    <w:rsid w:val="762B1157"/>
    <w:rsid w:val="764844CC"/>
    <w:rsid w:val="76A41B25"/>
    <w:rsid w:val="76BB24DB"/>
    <w:rsid w:val="76D0242A"/>
    <w:rsid w:val="77100D4F"/>
    <w:rsid w:val="777668B4"/>
    <w:rsid w:val="779466F7"/>
    <w:rsid w:val="77996CC0"/>
    <w:rsid w:val="77A42CFA"/>
    <w:rsid w:val="77FE2AB1"/>
    <w:rsid w:val="77FE2FC7"/>
    <w:rsid w:val="782D11B6"/>
    <w:rsid w:val="783A2F4A"/>
    <w:rsid w:val="78834627"/>
    <w:rsid w:val="78A3477C"/>
    <w:rsid w:val="78F169F6"/>
    <w:rsid w:val="7911726E"/>
    <w:rsid w:val="79556C16"/>
    <w:rsid w:val="796C6041"/>
    <w:rsid w:val="7A122D59"/>
    <w:rsid w:val="7A130ADB"/>
    <w:rsid w:val="7A2214E0"/>
    <w:rsid w:val="7A454EDD"/>
    <w:rsid w:val="7A530237"/>
    <w:rsid w:val="7A637573"/>
    <w:rsid w:val="7A666C01"/>
    <w:rsid w:val="7A8A6D94"/>
    <w:rsid w:val="7AC724E7"/>
    <w:rsid w:val="7B7A2964"/>
    <w:rsid w:val="7BAD67D7"/>
    <w:rsid w:val="7BE733F7"/>
    <w:rsid w:val="7BFB520C"/>
    <w:rsid w:val="7BFD5343"/>
    <w:rsid w:val="7C1D6E61"/>
    <w:rsid w:val="7C413482"/>
    <w:rsid w:val="7C4B2553"/>
    <w:rsid w:val="7C9A2C7E"/>
    <w:rsid w:val="7CB43C54"/>
    <w:rsid w:val="7CD24A22"/>
    <w:rsid w:val="7D056BA5"/>
    <w:rsid w:val="7D1E1FE0"/>
    <w:rsid w:val="7D2C4132"/>
    <w:rsid w:val="7D4D686D"/>
    <w:rsid w:val="7D5D078F"/>
    <w:rsid w:val="7D805BCF"/>
    <w:rsid w:val="7D9A0D10"/>
    <w:rsid w:val="7DAB14FB"/>
    <w:rsid w:val="7E2E3EDA"/>
    <w:rsid w:val="7E34441A"/>
    <w:rsid w:val="7E35482A"/>
    <w:rsid w:val="7E37007D"/>
    <w:rsid w:val="7E3A6ABC"/>
    <w:rsid w:val="7E612541"/>
    <w:rsid w:val="7E6B0C8A"/>
    <w:rsid w:val="7E7F6C78"/>
    <w:rsid w:val="7EAF0B77"/>
    <w:rsid w:val="7EDF383E"/>
    <w:rsid w:val="7F517E80"/>
    <w:rsid w:val="7F983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autoRedefine/>
    <w:semiHidden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kern w:val="0"/>
      <w:sz w:val="27"/>
      <w:szCs w:val="27"/>
    </w:rPr>
  </w:style>
  <w:style w:type="paragraph" w:styleId="4">
    <w:name w:val="heading 4"/>
    <w:basedOn w:val="1"/>
    <w:next w:val="1"/>
    <w:autoRedefine/>
    <w:semiHidden/>
    <w:unhideWhenUsed/>
    <w:qFormat/>
    <w:uiPriority w:val="0"/>
    <w:pPr>
      <w:spacing w:beforeAutospacing="1" w:afterAutospacing="1"/>
      <w:jc w:val="left"/>
      <w:outlineLvl w:val="3"/>
    </w:pPr>
    <w:rPr>
      <w:rFonts w:hint="eastAsia" w:ascii="宋体" w:hAnsi="宋体" w:eastAsia="宋体" w:cs="Times New Roman"/>
      <w:b/>
      <w:kern w:val="0"/>
      <w:sz w:val="24"/>
    </w:rPr>
  </w:style>
  <w:style w:type="paragraph" w:styleId="5">
    <w:name w:val="heading 5"/>
    <w:basedOn w:val="1"/>
    <w:next w:val="1"/>
    <w:autoRedefine/>
    <w:semiHidden/>
    <w:unhideWhenUsed/>
    <w:qFormat/>
    <w:uiPriority w:val="0"/>
    <w:pPr>
      <w:spacing w:beforeAutospacing="1" w:afterAutospacing="1"/>
      <w:jc w:val="left"/>
      <w:outlineLvl w:val="4"/>
    </w:pPr>
    <w:rPr>
      <w:rFonts w:hint="eastAsia" w:ascii="宋体" w:hAnsi="宋体" w:eastAsia="宋体" w:cs="Times New Roman"/>
      <w:b/>
      <w:kern w:val="0"/>
      <w:sz w:val="20"/>
      <w:szCs w:val="20"/>
    </w:rPr>
  </w:style>
  <w:style w:type="character" w:default="1" w:styleId="13">
    <w:name w:val="Default Paragraph Font"/>
    <w:autoRedefine/>
    <w:semiHidden/>
    <w:unhideWhenUsed/>
    <w:qFormat/>
    <w:uiPriority w:val="1"/>
  </w:style>
  <w:style w:type="table" w:default="1" w:styleId="1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autoRedefine/>
    <w:qFormat/>
    <w:uiPriority w:val="0"/>
    <w:pPr>
      <w:jc w:val="left"/>
    </w:pPr>
  </w:style>
  <w:style w:type="paragraph" w:styleId="7">
    <w:name w:val="Body Text"/>
    <w:basedOn w:val="1"/>
    <w:autoRedefine/>
    <w:qFormat/>
    <w:uiPriority w:val="0"/>
    <w:pPr>
      <w:spacing w:after="120"/>
    </w:pPr>
  </w:style>
  <w:style w:type="paragraph" w:styleId="8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Normal (Web)"/>
    <w:basedOn w:val="1"/>
    <w:next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12">
    <w:name w:val="Table Grid"/>
    <w:basedOn w:val="11"/>
    <w:autoRedefine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Strong"/>
    <w:basedOn w:val="13"/>
    <w:autoRedefine/>
    <w:qFormat/>
    <w:uiPriority w:val="0"/>
    <w:rPr>
      <w:b/>
    </w:rPr>
  </w:style>
  <w:style w:type="character" w:styleId="15">
    <w:name w:val="FollowedHyperlink"/>
    <w:basedOn w:val="13"/>
    <w:autoRedefine/>
    <w:qFormat/>
    <w:uiPriority w:val="0"/>
    <w:rPr>
      <w:color w:val="000000"/>
      <w:u w:val="none"/>
    </w:rPr>
  </w:style>
  <w:style w:type="character" w:styleId="16">
    <w:name w:val="Emphasis"/>
    <w:basedOn w:val="13"/>
    <w:autoRedefine/>
    <w:qFormat/>
    <w:uiPriority w:val="0"/>
    <w:rPr>
      <w:i/>
    </w:rPr>
  </w:style>
  <w:style w:type="character" w:styleId="17">
    <w:name w:val="HTML Definition"/>
    <w:basedOn w:val="13"/>
    <w:autoRedefine/>
    <w:qFormat/>
    <w:uiPriority w:val="0"/>
    <w:rPr>
      <w:i/>
    </w:rPr>
  </w:style>
  <w:style w:type="character" w:styleId="18">
    <w:name w:val="HTML Variable"/>
    <w:basedOn w:val="13"/>
    <w:autoRedefine/>
    <w:qFormat/>
    <w:uiPriority w:val="0"/>
    <w:rPr>
      <w:i/>
    </w:rPr>
  </w:style>
  <w:style w:type="character" w:styleId="19">
    <w:name w:val="Hyperlink"/>
    <w:basedOn w:val="13"/>
    <w:autoRedefine/>
    <w:qFormat/>
    <w:uiPriority w:val="0"/>
    <w:rPr>
      <w:color w:val="000000"/>
      <w:u w:val="none"/>
    </w:rPr>
  </w:style>
  <w:style w:type="character" w:styleId="20">
    <w:name w:val="HTML Code"/>
    <w:basedOn w:val="13"/>
    <w:autoRedefine/>
    <w:qFormat/>
    <w:uiPriority w:val="0"/>
    <w:rPr>
      <w:rFonts w:ascii="monospace" w:hAnsi="monospace" w:eastAsia="monospace" w:cs="monospace"/>
      <w:sz w:val="21"/>
      <w:szCs w:val="21"/>
    </w:rPr>
  </w:style>
  <w:style w:type="character" w:styleId="21">
    <w:name w:val="HTML Keyboard"/>
    <w:basedOn w:val="13"/>
    <w:autoRedefine/>
    <w:qFormat/>
    <w:uiPriority w:val="0"/>
    <w:rPr>
      <w:rFonts w:hint="default" w:ascii="monospace" w:hAnsi="monospace" w:eastAsia="monospace" w:cs="monospace"/>
      <w:sz w:val="21"/>
      <w:szCs w:val="21"/>
    </w:rPr>
  </w:style>
  <w:style w:type="character" w:styleId="22">
    <w:name w:val="HTML Sample"/>
    <w:basedOn w:val="13"/>
    <w:autoRedefine/>
    <w:qFormat/>
    <w:uiPriority w:val="0"/>
    <w:rPr>
      <w:rFonts w:hint="default" w:ascii="monospace" w:hAnsi="monospace" w:eastAsia="monospace" w:cs="monospace"/>
      <w:sz w:val="21"/>
      <w:szCs w:val="21"/>
    </w:rPr>
  </w:style>
  <w:style w:type="paragraph" w:customStyle="1" w:styleId="23">
    <w:name w:val="正文首行缩进 21"/>
    <w:basedOn w:val="24"/>
    <w:next w:val="10"/>
    <w:autoRedefine/>
    <w:qFormat/>
    <w:uiPriority w:val="0"/>
    <w:pPr>
      <w:widowControl/>
      <w:ind w:firstLine="200" w:firstLineChars="200"/>
      <w:jc w:val="left"/>
    </w:pPr>
    <w:rPr>
      <w:rFonts w:eastAsia="仿宋_GB2312" w:cs="Calibri"/>
      <w:kern w:val="0"/>
      <w:sz w:val="24"/>
    </w:rPr>
  </w:style>
  <w:style w:type="paragraph" w:customStyle="1" w:styleId="24">
    <w:name w:val="正文文本缩进1"/>
    <w:basedOn w:val="1"/>
    <w:autoRedefine/>
    <w:qFormat/>
    <w:uiPriority w:val="0"/>
    <w:pPr>
      <w:ind w:left="200" w:leftChars="200"/>
    </w:pPr>
    <w:rPr>
      <w:rFonts w:ascii="Calibri" w:hAnsi="Calibri" w:eastAsia="宋体" w:cs="Times New Roman"/>
    </w:rPr>
  </w:style>
  <w:style w:type="character" w:customStyle="1" w:styleId="25">
    <w:name w:val="ca-11"/>
    <w:basedOn w:val="13"/>
    <w:autoRedefine/>
    <w:qFormat/>
    <w:uiPriority w:val="0"/>
    <w:rPr>
      <w:rFonts w:hint="eastAsia" w:ascii="仿宋_GB2312" w:hAnsi="Times New Roman" w:eastAsia="仿宋_GB2312" w:cs="Times New Roman"/>
      <w:sz w:val="32"/>
      <w:szCs w:val="32"/>
    </w:rPr>
  </w:style>
  <w:style w:type="paragraph" w:customStyle="1" w:styleId="26">
    <w:name w:val="Table Paragraph"/>
    <w:basedOn w:val="1"/>
    <w:autoRedefine/>
    <w:qFormat/>
    <w:uiPriority w:val="0"/>
    <w:rPr>
      <w:rFonts w:ascii="宋体" w:hAnsi="宋体" w:cs="宋体"/>
    </w:rPr>
  </w:style>
  <w:style w:type="table" w:customStyle="1" w:styleId="27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35</Pages>
  <Words>16535</Words>
  <Characters>17535</Characters>
  <Lines>120</Lines>
  <Paragraphs>33</Paragraphs>
  <TotalTime>37</TotalTime>
  <ScaleCrop>false</ScaleCrop>
  <LinksUpToDate>false</LinksUpToDate>
  <CharactersWithSpaces>17613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2020-06-16T03:58:00Z</dcterms:created>
  <dc:creator>blx</dc:creator>
  <cp:lastModifiedBy>陈利平</cp:lastModifiedBy>
  <cp:lastPrinted>2024-01-09T01:22:00Z</cp:lastPrinted>
  <dcterms:modified xsi:type="dcterms:W3CDTF">2024-02-01T09:46:20Z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KSOSaveFontToCloudKey">
    <vt:lpwstr>248774090_embed</vt:lpwstr>
  </property>
  <property fmtid="{D5CDD505-2E9C-101B-9397-08002B2CF9AE}" pid="4" name="ICV">
    <vt:lpwstr>6135BC48C43A4FB7A0861EF29979626D_13</vt:lpwstr>
  </property>
</Properties>
</file>