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340" w:lineRule="atLeast"/>
        <w:jc w:val="center"/>
        <w:outlineLvl w:val="1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阳城县公安局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2018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年度部门决算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公开</w:t>
      </w:r>
    </w:p>
    <w:p>
      <w:pPr>
        <w:widowControl/>
        <w:spacing w:line="520" w:lineRule="atLeast"/>
        <w:rPr>
          <w:rFonts w:ascii="Arial" w:hAnsi="Arial" w:cs="Arial"/>
          <w:b/>
          <w:bCs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eastAsia="zh-CN"/>
        </w:rPr>
        <w:t>第一部分</w:t>
      </w:r>
      <w:r>
        <w:rPr>
          <w:rFonts w:hint="eastAsia" w:ascii="宋体" w:hAnsi="宋体" w:cs="Arial"/>
          <w:b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Arial"/>
          <w:b/>
          <w:bCs/>
          <w:color w:val="333333"/>
          <w:kern w:val="0"/>
          <w:szCs w:val="21"/>
        </w:rPr>
        <w:t>概况</w:t>
      </w: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一、主要职能</w:t>
      </w: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二、部门（单位）机构设置情况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>第二部分  2018年度</w:t>
      </w:r>
      <w:r>
        <w:rPr>
          <w:rFonts w:hint="eastAsia" w:ascii="宋体" w:hAnsi="宋体" w:cs="Arial"/>
          <w:b/>
          <w:bCs/>
          <w:color w:val="333333"/>
          <w:kern w:val="0"/>
          <w:szCs w:val="21"/>
        </w:rPr>
        <w:t>部门决算</w:t>
      </w:r>
      <w:r>
        <w:rPr>
          <w:rFonts w:hint="eastAsia" w:ascii="宋体" w:hAnsi="宋体" w:cs="Arial"/>
          <w:b/>
          <w:bCs/>
          <w:color w:val="333333"/>
          <w:kern w:val="0"/>
          <w:szCs w:val="21"/>
          <w:lang w:eastAsia="zh-CN"/>
        </w:rPr>
        <w:t>报</w:t>
      </w:r>
      <w:r>
        <w:rPr>
          <w:rFonts w:hint="eastAsia" w:ascii="宋体" w:hAnsi="宋体" w:cs="Arial"/>
          <w:b/>
          <w:bCs/>
          <w:color w:val="333333"/>
          <w:kern w:val="0"/>
          <w:szCs w:val="21"/>
        </w:rPr>
        <w:t>表</w:t>
      </w: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一、2018年收入支出决算总表</w:t>
      </w: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二、2018年收入决算表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三、2018年支出决算表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四、2018年财政拨款收入支出决算总表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五、2018年一般公共预算财政拨款支出决算表（一）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六、2018年一般公共预算财政拨款支出决算表（二）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七、2018年一般公共预算财政拨款“三公”经费支出表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八、2018年部门决算公开相关信息统计表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>第三部分 2018年度部门决算情况说明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>第四部分  名词解释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>第五部分  附阳城县看守所2018年部门决算报表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spacing w:line="520" w:lineRule="atLeast"/>
        <w:rPr>
          <w:rFonts w:ascii="Arial" w:hAnsi="Arial" w:cs="Arial"/>
          <w:b/>
          <w:bCs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eastAsia="zh-CN"/>
        </w:rPr>
        <w:t>第一部分</w:t>
      </w:r>
      <w:r>
        <w:rPr>
          <w:rFonts w:hint="eastAsia" w:ascii="宋体" w:hAnsi="宋体" w:cs="Arial"/>
          <w:b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Arial"/>
          <w:b/>
          <w:bCs/>
          <w:color w:val="333333"/>
          <w:kern w:val="0"/>
          <w:szCs w:val="21"/>
        </w:rPr>
        <w:t>概况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一、</w:t>
      </w:r>
      <w:r>
        <w:rPr>
          <w:rFonts w:hint="eastAsia" w:ascii="宋体" w:hAnsi="宋体" w:cs="Arial"/>
          <w:color w:val="333333"/>
          <w:kern w:val="0"/>
          <w:szCs w:val="21"/>
        </w:rPr>
        <w:t>主要职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能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预防、制止、侦查全县范围内的违法犯罪活动，维护全县社会治安秩序。参与社会治安综合治理，组织、协调全县重大警务行动，协调、处置全县重大治安案件、事件和事故。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管理枪支弹药、民爆物品、管制刀具和易燃、易爆、剧毒、放射性等危险物品，依法对全县的特种行业进行管理。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管理全县户政、国籍、入境出境事务和外国人在我县的居留、旅行的有关事务。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指导和监督全县国家机关、社会团体、企事业单位和重点工程的安全保卫工作，指导企事业单位保卫组织的建设，指导治安保卫委员会等群众性组织的治安防范工作。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管理全县的集会、游行、示威活动。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负责全县道路交通管理，维护全县交通、消防安全，处理交通、火灾事故。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对判处管制、拘役、剥夺政治权利的罪犯和监外执行的罪犯执行刑罚，对被宣告缓刑、假释的罪犯实行监督、考察。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负责全县计算机信息系统和公共信息网络安全的监督管理工作。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负责对违法犯罪嫌疑人的看押、管理、教育，保障其合法权益。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接待和处理涉及公安刑事、行政执法中涉法问题的群众来信来访。</w:t>
      </w:r>
    </w:p>
    <w:p>
      <w:pPr>
        <w:widowControl/>
        <w:spacing w:line="520" w:lineRule="atLeast"/>
        <w:ind w:firstLine="420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hint="eastAsia" w:ascii="宋体" w:hAnsi="宋体" w:cs="Arial"/>
          <w:color w:val="333333"/>
          <w:kern w:val="0"/>
          <w:szCs w:val="21"/>
        </w:rPr>
        <w:t>履行法律、法规规定的其他职责，承办县委、县政府和上级公安机关交办的其他事项。</w:t>
      </w: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二、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部门（单位）机构设置情况</w:t>
      </w:r>
    </w:p>
    <w:p>
      <w:pPr>
        <w:widowControl/>
        <w:spacing w:line="520" w:lineRule="atLeast"/>
        <w:ind w:firstLine="420"/>
        <w:rPr>
          <w:rFonts w:hint="default" w:ascii="宋体" w:hAnsi="宋体" w:eastAsia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</w:rPr>
        <w:t>阳城县公安局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现有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42个机构，其中执法执勤机构15个、综合管理机构3个、直属机构2个、派出机构20个、所属事业单位2个。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>第二部分  2018年度</w:t>
      </w:r>
      <w:r>
        <w:rPr>
          <w:rFonts w:hint="eastAsia" w:ascii="宋体" w:hAnsi="宋体" w:cs="Arial"/>
          <w:b/>
          <w:bCs/>
          <w:color w:val="333333"/>
          <w:kern w:val="0"/>
          <w:szCs w:val="21"/>
        </w:rPr>
        <w:t>部门决算</w:t>
      </w:r>
      <w:r>
        <w:rPr>
          <w:rFonts w:hint="eastAsia" w:ascii="宋体" w:hAnsi="宋体" w:cs="Arial"/>
          <w:b/>
          <w:bCs/>
          <w:color w:val="333333"/>
          <w:kern w:val="0"/>
          <w:szCs w:val="21"/>
          <w:lang w:eastAsia="zh-CN"/>
        </w:rPr>
        <w:t>报</w:t>
      </w:r>
      <w:r>
        <w:rPr>
          <w:rFonts w:hint="eastAsia" w:ascii="宋体" w:hAnsi="宋体" w:cs="Arial"/>
          <w:b/>
          <w:bCs/>
          <w:color w:val="333333"/>
          <w:kern w:val="0"/>
          <w:szCs w:val="21"/>
        </w:rPr>
        <w:t>表</w:t>
      </w: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一、2018年收入支出决算总表</w:t>
      </w: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</w:rPr>
      </w:pP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 xml:space="preserve">  </w:t>
      </w:r>
    </w:p>
    <w:p>
      <w:pPr>
        <w:widowControl/>
        <w:spacing w:line="520" w:lineRule="atLeast"/>
        <w:ind w:firstLine="420"/>
        <w:rPr>
          <w:rFonts w:hint="default" w:ascii="宋体" w:hAnsi="宋体" w:cs="Arial"/>
          <w:color w:val="333333"/>
          <w:kern w:val="0"/>
          <w:szCs w:val="21"/>
          <w:lang w:val="en-US" w:eastAsia="zh-CN"/>
        </w:rPr>
      </w:pP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</w:rPr>
      </w:pPr>
    </w:p>
    <w:tbl>
      <w:tblPr>
        <w:tblStyle w:val="4"/>
        <w:tblpPr w:leftFromText="180" w:rightFromText="180" w:vertAnchor="text" w:horzAnchor="page" w:tblpX="1474" w:tblpY="141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5"/>
        <w:gridCol w:w="435"/>
        <w:gridCol w:w="1488"/>
        <w:gridCol w:w="2610"/>
        <w:gridCol w:w="507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</w:p>
        </w:tc>
        <w:tc>
          <w:tcPr>
            <w:tcW w:w="45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83,189,005.51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其中：政府性基金预算财政拨款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80,594,613.34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四、经营收入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五、附属单位上缴收入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六、其他收入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83,189,005.51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88,179,294.30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用事业基金弥补收支差额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结余分配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年初结转和结余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15,718,016.79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交纳所得税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基本支出结转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3,194,731.94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提取职工福利基金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项目支出结转和结余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12,523,284.85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转入事业基金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经营结余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年末结转和结余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10,727,728.00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基本支出结转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5,371,884.47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项目支出结转和结余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5,355,843.53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经营结余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98,907,022.30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98,907,022.30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二、2018年收入决算表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263"/>
        <w:gridCol w:w="263"/>
        <w:gridCol w:w="3090"/>
        <w:gridCol w:w="1371"/>
        <w:gridCol w:w="1350"/>
        <w:gridCol w:w="510"/>
        <w:gridCol w:w="405"/>
        <w:gridCol w:w="450"/>
        <w:gridCol w:w="495"/>
        <w:gridCol w:w="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83,189,005.51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83,189,005.51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2010308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信访事务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75,398,661.55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75,398,661.55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75,398,661.55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75,398,661.55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48,578,409.55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48,578,409.55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20,180,547.00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20,180,547.00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道路交通管理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3,957,300.00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3,957,300.00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180,000.00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2040250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1,326,205.00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1,326,205.00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2040299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其他公安支出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1,176,200.00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1,176,200.00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3,735,901.00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3,735,901.00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归口管理的行政单位离退休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74,248.00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74,248.00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3,661,653.00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3,661,653.00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抚恤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2080801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死亡抚恤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其他社会保障和就业支出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计划生育事务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2100799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其他计划生育事务支出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1,112,866.24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1,112,866.24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1,052,254.24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1,052,254.24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60,612.00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60,612.00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三、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</w:t>
      </w:r>
      <w:r>
        <w:rPr>
          <w:rFonts w:hint="eastAsia"/>
          <w:lang w:val="en-US" w:eastAsia="zh-CN"/>
        </w:rPr>
        <w:t>年支出决算表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"/>
        <w:gridCol w:w="245"/>
        <w:gridCol w:w="245"/>
        <w:gridCol w:w="2927"/>
        <w:gridCol w:w="1257"/>
        <w:gridCol w:w="1230"/>
        <w:gridCol w:w="1320"/>
        <w:gridCol w:w="495"/>
        <w:gridCol w:w="51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29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88,179,294.30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62,316,803.02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25,862,491.28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20103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2010308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信访事务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80,594,613.34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54,732,122.06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25,862,491.28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80,594,613.34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54,732,122.06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25,862,491.28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48,831,909.05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47,864,718.05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967,191.00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2040202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25,454,370.79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3,269,952.51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22,184,418.28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道路交通管理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3,371,511.50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725,811.50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2,645,700.00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2040217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152,951.00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27,049.00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2040250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1,326,205.00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1,326,205.00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2040299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其他公安支出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1,430,617.00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1,392,484.00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38,133.00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3,735,901.00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3,735,901.00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归口管理的行政单位离退休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74,248.00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74,248.00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3,661,653.00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3,661,653.00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20808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抚恤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2080801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死亡抚恤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2089901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其他社会保障和就业支出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计划生育事务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2100799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其他计划生育事务支出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1,112,866.24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1,112,866.24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1,052,254.24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1,052,254.24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60,612.00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60,612.00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四、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</w:t>
      </w:r>
      <w:r>
        <w:rPr>
          <w:rFonts w:hint="eastAsia"/>
          <w:lang w:val="en-US" w:eastAsia="zh-CN"/>
        </w:rPr>
        <w:t>年财政拨款收入支出决算总表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230"/>
        <w:gridCol w:w="1261"/>
        <w:gridCol w:w="1954"/>
        <w:gridCol w:w="230"/>
        <w:gridCol w:w="1371"/>
        <w:gridCol w:w="1335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57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1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83,189,005.51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80,594,613.34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80,594,613.34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83,189,005.51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88,179,294.30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88,179,294.30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15,718,016.79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10,727,728.00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10,727,728.00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15,718,016.79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基本支出结转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5,371,884.47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5,371,884.47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项目支出结转和结余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5,355,843.53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5,355,843.53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98,907,022.30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98,907,022.30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98,907,022.30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五、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</w:t>
      </w:r>
      <w:r>
        <w:rPr>
          <w:rFonts w:hint="eastAsia"/>
          <w:lang w:val="en-US" w:eastAsia="zh-CN"/>
        </w:rPr>
        <w:t>年一般公共预算财政拨款支出决算表（一）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522"/>
        <w:gridCol w:w="521"/>
        <w:gridCol w:w="3090"/>
        <w:gridCol w:w="1764"/>
        <w:gridCol w:w="1590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88,179,294.30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62,316,803.02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25,862,491.28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2010308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信访事务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294,337.00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80,594,613.34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54,732,122.06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25,862,491.28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80,594,613.34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54,732,122.06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25,862,491.28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48,831,909.05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47,864,718.05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967,191.00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2040202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25,454,370.79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3,269,952.51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22,184,418.28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道路交通管理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3,371,511.50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725,811.50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2,645,700.00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180,000.00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152,951.00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27,049.00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2040250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1,326,205.00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1,326,205.00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2040299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其他公安支出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1,430,617.00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1,392,484.00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38,133.00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3,970,400.88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3,735,901.00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3,735,901.00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归口管理的行政单位离退休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74,248.00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74,248.00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3,661,653.00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3,661,653.00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抚恤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2080801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死亡抚恤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其他社会保障和就业支出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1,122,947.08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计划生育事务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2100799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其他计划生育事务支出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1,112,866.24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1,112,866.24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1,052,254.24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1,052,254.24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60,612.00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60,612.00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六、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</w:t>
      </w:r>
      <w:r>
        <w:rPr>
          <w:rFonts w:hint="eastAsia"/>
          <w:lang w:val="en-US" w:eastAsia="zh-CN"/>
        </w:rPr>
        <w:t>年一般公共预算财政拨款支出决算表（二）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3869"/>
        <w:gridCol w:w="1"/>
        <w:gridCol w:w="1965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49,193,326.53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49,193,326.53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9,517,951.00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9,517,951.00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14,936,034.00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14,936,034.00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7,140,249.25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7,140,249.25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525,500.00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525,500.00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5,132,498.34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5,132,498.34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1,112,866.24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1,112,866.24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70,771.88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2,196,996.00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8,560,459.82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8,560,459.82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792,003.37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792,003.37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78,168.00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78,168.00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281,680.00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281,680.00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163,728.00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258,346.53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258,346.53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10,080.84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其他对个人和家庭的补助支出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49,985,329.90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49,985,329.90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12,331,473.12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12,331,473.12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297,052.93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297,052.93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625,903.23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625,903.23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17,450.00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17,450.00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527,260.39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527,260.39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515,561.00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515,561.00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66,634.73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66,634.73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312,433.90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312,433.90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1,751,395.20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1,751,395.20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1,703,990.59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1,703,990.59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149,155.00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149,155.00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27,405.00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27,405.00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986,753.90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986,753.90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201,564.00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201,564.00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830,304.30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830,304.30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206,462.40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206,462.40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334,985.81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334,985.81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1,028,744.74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1,028,744.74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1,732,800.00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1,732,800.00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1,007,616.00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1,007,616.00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其他基本建设支出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25,862,491.28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418,859.32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436,070.00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7,606,390.96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16,544,000.00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857,171.00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国内债务发行费用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国外债务发行费用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对企业补助（基本建设）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政府投资基金股权投资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费用补贴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利息补贴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对民间非营利组织和群众性自治组织补贴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对社会保险基金补助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补充全国社会保障基金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9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196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38,193,964.40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12,331,473.12</w:t>
            </w:r>
          </w:p>
        </w:tc>
      </w:tr>
    </w:tbl>
    <w:tbl>
      <w:tblPr>
        <w:tblStyle w:val="5"/>
        <w:tblpPr w:leftFromText="180" w:rightFromText="180" w:vertAnchor="text" w:tblpX="10214" w:tblpY="4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43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20" w:lineRule="atLeas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</w:t>
      </w:r>
      <w:r>
        <w:rPr>
          <w:rFonts w:hint="eastAsia"/>
          <w:lang w:val="en-US" w:eastAsia="zh-CN"/>
        </w:rPr>
        <w:t>年一般公共预算财政拨款“三公”经费支出表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420" w:firstLineChars="0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477"/>
        <w:gridCol w:w="789"/>
        <w:gridCol w:w="789"/>
        <w:gridCol w:w="789"/>
        <w:gridCol w:w="599"/>
        <w:gridCol w:w="789"/>
        <w:gridCol w:w="477"/>
        <w:gridCol w:w="789"/>
        <w:gridCol w:w="662"/>
        <w:gridCol w:w="789"/>
        <w:gridCol w:w="5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1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4,175,000.00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4,100,000.00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2,100,000.00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75,000.00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1,913,320.74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1,885,915.74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857,171.00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1,028,744.74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27,405.00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八、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</w:t>
      </w:r>
      <w:r>
        <w:rPr>
          <w:rFonts w:hint="eastAsia"/>
          <w:lang w:val="en-US" w:eastAsia="zh-CN"/>
        </w:rPr>
        <w:t>年部门决算公开相关信息统计表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8"/>
        <w:gridCol w:w="628"/>
        <w:gridCol w:w="1482"/>
        <w:gridCol w:w="1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一、政府采购情况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采购预算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7,300,000.00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6,262,333.32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5,500,000.00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5,396,963.82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639,869.50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225,500.00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5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5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二、机关运行经费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（一）行政单位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12,331,473.12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（二）参照公务员法管理事业单位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5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三、国有资产占用情况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（一）车辆数合计（辆）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1.副部（省）级及以上领导用车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2.主要领导干部用车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3.机要通信用车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4.应急保障用车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5.执法执勤用车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6.特种专业技术用车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7.离退休干部用车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8.其他用车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（二）单价50万元以上通用设备        （台、套）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（三）单价100万元以上专用设备       （台、套）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>第三部分   阳城县公安局部门收入支出决算情况说明</w:t>
      </w: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一、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2018年度部门决算收支增减变化情况及原因</w:t>
      </w: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阳城县公安局</w:t>
      </w:r>
      <w:r>
        <w:rPr>
          <w:rFonts w:hint="eastAsia"/>
          <w:color w:val="333333"/>
          <w:kern w:val="0"/>
          <w:szCs w:val="21"/>
          <w:lang w:eastAsia="zh-CN"/>
        </w:rPr>
        <w:t>2018</w:t>
      </w:r>
      <w:r>
        <w:rPr>
          <w:rFonts w:hint="eastAsia" w:ascii="宋体" w:hAnsi="宋体" w:cs="Arial"/>
          <w:color w:val="333333"/>
          <w:kern w:val="0"/>
          <w:szCs w:val="21"/>
        </w:rPr>
        <w:t>年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财政拨款收入为83189005.51元，全部为一般公共预算拨款，无政府性基金预算财政拨款，与上年相比增加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6.36%，主要原因是财政专项拨款增加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。上年结转为15718016.79元，本年支出为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88179294.3元，结转下年10727728元，其中项目支出结余5355843.53元，本年支出同上年相比基本持平</w:t>
      </w:r>
      <w:r>
        <w:rPr>
          <w:rFonts w:hint="eastAsia" w:ascii="宋体" w:hAnsi="宋体" w:cs="Arial"/>
          <w:color w:val="333333"/>
          <w:kern w:val="0"/>
          <w:szCs w:val="21"/>
        </w:rPr>
        <w:t>。</w:t>
      </w: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公共安全支出为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80594613.34元，占91.40%；社会保障和就业支出为3970400.88元，占4.50%；医疗卫生与计划生育支出为1122947.08元，占1.27%；住房保障支出为2196996元，占2.49%；一般公共服务支出为294337元，占0.34%。</w:t>
      </w: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  <w:lang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二、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2018年度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机关运行经费安排情况</w:t>
      </w:r>
    </w:p>
    <w:p>
      <w:pPr>
        <w:widowControl/>
        <w:spacing w:line="520" w:lineRule="atLeast"/>
        <w:ind w:firstLine="420"/>
        <w:rPr>
          <w:rFonts w:hint="default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2018年度机关运行经费支出为12331473.12元，主要为办公费、印刷费、电费、差旅费、办案费等方面支出，保障了机关日常工作和扫黑除恶工作的开展。</w:t>
      </w: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三、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2018年度</w:t>
      </w:r>
      <w:r>
        <w:rPr>
          <w:rFonts w:hint="default" w:ascii="宋体" w:hAnsi="宋体" w:cs="Arial"/>
          <w:color w:val="333333"/>
          <w:kern w:val="0"/>
          <w:szCs w:val="21"/>
        </w:rPr>
        <w:t>政府采购情况</w:t>
      </w:r>
    </w:p>
    <w:p>
      <w:pPr>
        <w:widowControl/>
        <w:spacing w:line="520" w:lineRule="atLeast"/>
        <w:ind w:firstLine="420"/>
        <w:rPr>
          <w:rFonts w:hint="default" w:ascii="宋体" w:hAnsi="宋体" w:eastAsia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2018</w:t>
      </w:r>
      <w:r>
        <w:rPr>
          <w:rFonts w:hint="default" w:ascii="宋体" w:hAnsi="宋体" w:cs="Arial"/>
          <w:color w:val="333333"/>
          <w:kern w:val="0"/>
          <w:szCs w:val="21"/>
        </w:rPr>
        <w:t>年度采购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预算总额为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7300000</w:t>
      </w:r>
      <w:r>
        <w:rPr>
          <w:rFonts w:hint="default" w:ascii="宋体" w:hAnsi="宋体" w:cs="Arial"/>
          <w:color w:val="333333"/>
          <w:kern w:val="0"/>
          <w:szCs w:val="21"/>
        </w:rPr>
        <w:t>元，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实际采购金额为6262333.32元，</w:t>
      </w:r>
      <w:r>
        <w:rPr>
          <w:rFonts w:hint="default" w:ascii="宋体" w:hAnsi="宋体" w:cs="Arial"/>
          <w:color w:val="333333"/>
          <w:kern w:val="0"/>
          <w:szCs w:val="21"/>
        </w:rPr>
        <w:t>其中：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货物类采购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5396963.82元，工程类采购639869.5元，服务类采购225500元。</w:t>
      </w:r>
    </w:p>
    <w:p>
      <w:pPr>
        <w:widowControl/>
        <w:spacing w:line="520" w:lineRule="atLeast"/>
        <w:ind w:firstLine="42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四、2018年“三公”经费支出及增减变化情况</w:t>
      </w:r>
    </w:p>
    <w:p>
      <w:pPr>
        <w:widowControl/>
        <w:spacing w:line="520" w:lineRule="atLeast"/>
        <w:ind w:firstLine="420"/>
        <w:rPr>
          <w:rFonts w:hint="default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阳城县公安局2018年“三公”经费支出为1913320.74元，其中公务接待费支出为27405元，比上年增加8572元，主要原因是公务接待人员增加。 因公出国（境）费用为0元。公务用车运行维护费为1028744.74元，比去年减少232166.42元，主要原因是更新车辆增多，修车费和油耗都有所降低。公务用车购置费为857171元，主要原因是老旧车辆淘汰更新。2018年公务用车更新10辆，总保有量68辆。</w:t>
      </w:r>
    </w:p>
    <w:p>
      <w:pPr>
        <w:widowControl/>
        <w:spacing w:line="520" w:lineRule="atLeast"/>
        <w:ind w:firstLine="420"/>
        <w:rPr>
          <w:rFonts w:hint="default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2018年公务接待39批，248人。</w:t>
      </w:r>
    </w:p>
    <w:p>
      <w:pPr>
        <w:widowControl/>
        <w:spacing w:line="520" w:lineRule="atLeast"/>
        <w:ind w:firstLine="420"/>
        <w:rPr>
          <w:rFonts w:hint="default"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五、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2018年度</w:t>
      </w:r>
      <w:r>
        <w:rPr>
          <w:rFonts w:hint="default" w:ascii="宋体" w:hAnsi="宋体" w:cs="Arial"/>
          <w:color w:val="333333"/>
          <w:kern w:val="0"/>
          <w:szCs w:val="21"/>
        </w:rPr>
        <w:t>国有资产占用情况</w:t>
      </w:r>
    </w:p>
    <w:p>
      <w:pPr>
        <w:widowControl/>
        <w:spacing w:line="520" w:lineRule="atLeast"/>
        <w:ind w:firstLine="420"/>
        <w:rPr>
          <w:rFonts w:hint="default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阳城县公安局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2018年度公务用车116辆，其中执法执勤车68辆</w:t>
      </w:r>
      <w:r>
        <w:rPr>
          <w:rFonts w:hint="default" w:ascii="宋体" w:hAnsi="宋体" w:cs="Arial"/>
          <w:color w:val="333333"/>
          <w:kern w:val="0"/>
          <w:szCs w:val="21"/>
        </w:rPr>
        <w:t>，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特种专业技术用车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13辆，其他车辆35辆</w:t>
      </w:r>
      <w:r>
        <w:rPr>
          <w:rFonts w:hint="default" w:ascii="宋体" w:hAnsi="宋体" w:cs="Arial"/>
          <w:color w:val="333333"/>
          <w:kern w:val="0"/>
          <w:szCs w:val="21"/>
        </w:rPr>
        <w:t>。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单价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50万元以上通用设备25台，单价100万元以上专用设备8台。</w:t>
      </w:r>
    </w:p>
    <w:p>
      <w:pPr>
        <w:widowControl/>
        <w:spacing w:line="520" w:lineRule="atLeast"/>
        <w:ind w:firstLine="420"/>
        <w:rPr>
          <w:rFonts w:hint="default"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六、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2018年度项目</w:t>
      </w:r>
      <w:r>
        <w:rPr>
          <w:rFonts w:hint="default" w:ascii="宋体" w:hAnsi="宋体" w:cs="Arial"/>
          <w:color w:val="333333"/>
          <w:kern w:val="0"/>
          <w:szCs w:val="21"/>
        </w:rPr>
        <w:t>预算绩效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目标及绩效</w:t>
      </w:r>
      <w:r>
        <w:rPr>
          <w:rFonts w:hint="default" w:ascii="宋体" w:hAnsi="宋体" w:cs="Arial"/>
          <w:color w:val="333333"/>
          <w:kern w:val="0"/>
          <w:szCs w:val="21"/>
        </w:rPr>
        <w:t>评价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结果</w:t>
      </w:r>
      <w:r>
        <w:rPr>
          <w:rFonts w:hint="default" w:ascii="宋体" w:hAnsi="宋体" w:cs="Arial"/>
          <w:color w:val="333333"/>
          <w:kern w:val="0"/>
          <w:szCs w:val="21"/>
        </w:rPr>
        <w:t>情况</w:t>
      </w:r>
    </w:p>
    <w:p>
      <w:pPr>
        <w:widowControl/>
        <w:spacing w:line="520" w:lineRule="atLeast"/>
        <w:ind w:firstLine="420"/>
        <w:rPr>
          <w:rFonts w:hint="default"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2018</w:t>
      </w:r>
      <w:r>
        <w:rPr>
          <w:rFonts w:hint="default" w:ascii="宋体" w:hAnsi="宋体" w:cs="Arial"/>
          <w:color w:val="333333"/>
          <w:kern w:val="0"/>
          <w:szCs w:val="21"/>
        </w:rPr>
        <w:t>年度本单位涉及预算绩效评价项目为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6个</w:t>
      </w:r>
      <w:r>
        <w:rPr>
          <w:rFonts w:hint="default" w:ascii="宋体" w:hAnsi="宋体" w:cs="Arial"/>
          <w:color w:val="333333"/>
          <w:kern w:val="0"/>
          <w:szCs w:val="21"/>
        </w:rPr>
        <w:t>，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  <w:t>分别为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护栏清洗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  <w:t>、拘留所经费、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损坏护栏赔偿、天网工程、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  <w:t>政法转移支付资金、信访维稳经费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，</w:t>
      </w:r>
      <w:r>
        <w:rPr>
          <w:rFonts w:hint="default" w:ascii="宋体" w:hAnsi="宋体" w:cs="Arial"/>
          <w:color w:val="333333"/>
          <w:kern w:val="0"/>
          <w:szCs w:val="21"/>
        </w:rPr>
        <w:t>绩效评价结果</w:t>
      </w:r>
      <w:r>
        <w:rPr>
          <w:rFonts w:hint="eastAsia" w:ascii="宋体" w:hAnsi="宋体" w:cs="Arial"/>
          <w:color w:val="333333"/>
          <w:kern w:val="0"/>
          <w:szCs w:val="21"/>
          <w:lang w:eastAsia="zh-CN"/>
        </w:rPr>
        <w:t>均</w:t>
      </w:r>
      <w:r>
        <w:rPr>
          <w:rFonts w:hint="default" w:ascii="宋体" w:hAnsi="宋体" w:cs="Arial"/>
          <w:color w:val="333333"/>
          <w:kern w:val="0"/>
          <w:szCs w:val="21"/>
        </w:rPr>
        <w:t>为优秀。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>第四部分  名词解释</w:t>
      </w:r>
    </w:p>
    <w:p>
      <w:pPr>
        <w:widowControl/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（一）基本支出：指为保障机构正常运转、完成日常工作任务而发生的人员支出和公用支出。</w:t>
      </w:r>
    </w:p>
    <w:p>
      <w:pPr>
        <w:widowControl/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（二）项目支出：指在基本支出之外为完成特定行政任务和事业发展所发生的支出。</w:t>
      </w:r>
    </w:p>
    <w:p>
      <w:pPr>
        <w:widowControl/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（三）“三公”经费：纳入财政预决算管理的“三公”经费是指用财政拨款安排的因公出国（境）费、公务用车购置及运行维护费和公务接待费等。其中：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。公务接待费反映单位按规定开支的各类公务接待支出。</w:t>
      </w:r>
    </w:p>
    <w:p>
      <w:pPr>
        <w:widowControl/>
        <w:numPr>
          <w:ilvl w:val="0"/>
          <w:numId w:val="0"/>
        </w:numPr>
        <w:spacing w:line="520" w:lineRule="atLeast"/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b/>
          <w:bCs/>
          <w:color w:val="333333"/>
          <w:kern w:val="0"/>
          <w:szCs w:val="21"/>
          <w:lang w:val="en-US" w:eastAsia="zh-CN"/>
        </w:rPr>
        <w:t>第五部分  附阳城县看守所2018年部门决算报表</w:t>
      </w: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一、</w:t>
      </w:r>
      <w:r>
        <w:rPr>
          <w:rFonts w:hint="eastAsia"/>
          <w:lang w:val="en-US" w:eastAsia="zh-CN"/>
        </w:rPr>
        <w:t>2018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年收入支出决算总表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3"/>
        <w:gridCol w:w="398"/>
        <w:gridCol w:w="1073"/>
        <w:gridCol w:w="2421"/>
        <w:gridCol w:w="398"/>
        <w:gridCol w:w="1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</w:p>
        </w:tc>
        <w:tc>
          <w:tcPr>
            <w:tcW w:w="3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其中：政府性基金预算财政拨款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四、经营收入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五、附属单位上缴收入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六、其他收入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用事业基金弥补收支差额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结余分配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年初结转和结余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320,237.00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交纳所得税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基本支出结转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提取职工福利基金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项目支出结转和结余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320,237.00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转入事业基金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经营结余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年末结转和结余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190,843.00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基本支出结转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项目支出结转和结余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190,843.00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经营结余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1,770,237.00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1,770,237.00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ind w:firstLine="420" w:firstLineChars="200"/>
        <w:rPr>
          <w:rFonts w:hint="eastAsia" w:ascii="宋体" w:hAnsi="宋体" w:cs="Arial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二、</w:t>
      </w:r>
      <w:r>
        <w:rPr>
          <w:rFonts w:hint="eastAsia"/>
          <w:lang w:val="en-US" w:eastAsia="zh-CN"/>
        </w:rPr>
        <w:t>2018</w:t>
      </w:r>
      <w:r>
        <w:rPr>
          <w:rFonts w:hint="eastAsia" w:ascii="宋体" w:hAnsi="宋体" w:cs="Arial"/>
          <w:color w:val="333333"/>
          <w:kern w:val="0"/>
          <w:szCs w:val="21"/>
          <w:lang w:val="en-US" w:eastAsia="zh-CN"/>
        </w:rPr>
        <w:t>年收入决算表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398"/>
        <w:gridCol w:w="398"/>
        <w:gridCol w:w="1650"/>
        <w:gridCol w:w="1182"/>
        <w:gridCol w:w="1182"/>
        <w:gridCol w:w="678"/>
        <w:gridCol w:w="546"/>
        <w:gridCol w:w="546"/>
        <w:gridCol w:w="811"/>
        <w:gridCol w:w="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三、2018年支出决算表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449"/>
        <w:gridCol w:w="449"/>
        <w:gridCol w:w="1650"/>
        <w:gridCol w:w="1207"/>
        <w:gridCol w:w="600"/>
        <w:gridCol w:w="1110"/>
        <w:gridCol w:w="778"/>
        <w:gridCol w:w="600"/>
        <w:gridCol w:w="1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四、2018年财政拨款收入支出决算总表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6"/>
        <w:gridCol w:w="233"/>
        <w:gridCol w:w="1165"/>
        <w:gridCol w:w="2076"/>
        <w:gridCol w:w="233"/>
        <w:gridCol w:w="1111"/>
        <w:gridCol w:w="1110"/>
        <w:gridCol w:w="4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49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1,450,000.00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320,237.00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190,843.00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190,843.00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320,237.00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基本支出结转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项目支出结转和结余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190,843.00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190,843.00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1,770,237.00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1,770,237.00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1,770,237.00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五、2018年一般公共预算财政拨款支出决算表（一）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44"/>
        <w:gridCol w:w="743"/>
        <w:gridCol w:w="1650"/>
        <w:gridCol w:w="1489"/>
        <w:gridCol w:w="1320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2040217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六、2018年一般公共预算财政拨款决算表（二）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3870"/>
        <w:gridCol w:w="1965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3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其他对个人和家庭的补助支出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3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270,770.34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194,255.75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448,044.15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36,848.00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276,475.76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其他基本建设支出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国内债务发行费用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国外债务发行费用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对企业补助（基本建设）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政府投资基金股权投资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费用补贴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利息补贴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对民间非营利组织和群众性自治组织补贴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对社会保险基金补助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补充全国社会保障基金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19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1,579,394.00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七、2018年一般公共预算财政拨款“三公”经费支出表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389"/>
        <w:gridCol w:w="1021"/>
        <w:gridCol w:w="300"/>
        <w:gridCol w:w="1095"/>
        <w:gridCol w:w="345"/>
        <w:gridCol w:w="1035"/>
        <w:gridCol w:w="373"/>
        <w:gridCol w:w="1097"/>
        <w:gridCol w:w="510"/>
        <w:gridCol w:w="1080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2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6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40,000.00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40,000.00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40,000.00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36,848.00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36,848.00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36,848.00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八、2018年部门决算公开相关信息统计表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420" w:firstLineChars="0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8"/>
        <w:gridCol w:w="669"/>
        <w:gridCol w:w="1296"/>
        <w:gridCol w:w="1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一、政府采购情况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采购预算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5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5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二、机关运行经费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（一）行政单位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（二）参照公务员法管理事业单位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5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三、国有资产占用情况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（一）车辆数合计（辆）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1.副部（省）级及以上领导用车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2.主要领导干部用车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3.机要通信用车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4.应急保障用车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5.执法执勤用车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6.特种专业技术用车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7.离退休干部用车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8.其他用车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（二）单价50万元以上通用设备        （台、套）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（三）单价100万元以上专用设备       （台、套）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</w:pP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E45B7F"/>
    <w:rsid w:val="09A70C7B"/>
    <w:rsid w:val="0A8826F6"/>
    <w:rsid w:val="0BD87AEA"/>
    <w:rsid w:val="12321E1E"/>
    <w:rsid w:val="142901D4"/>
    <w:rsid w:val="14C0448D"/>
    <w:rsid w:val="152F6044"/>
    <w:rsid w:val="16483873"/>
    <w:rsid w:val="1A04642D"/>
    <w:rsid w:val="280C3C47"/>
    <w:rsid w:val="2C6325DC"/>
    <w:rsid w:val="30D4249E"/>
    <w:rsid w:val="3A641045"/>
    <w:rsid w:val="3CD43D91"/>
    <w:rsid w:val="3DE42BB7"/>
    <w:rsid w:val="41EC133D"/>
    <w:rsid w:val="45225DE1"/>
    <w:rsid w:val="467F0F42"/>
    <w:rsid w:val="46870D6C"/>
    <w:rsid w:val="4A94528A"/>
    <w:rsid w:val="52C85534"/>
    <w:rsid w:val="574334D5"/>
    <w:rsid w:val="5A464F05"/>
    <w:rsid w:val="5C8927F8"/>
    <w:rsid w:val="5F2A4A56"/>
    <w:rsid w:val="5FCE0B53"/>
    <w:rsid w:val="612F3202"/>
    <w:rsid w:val="61435371"/>
    <w:rsid w:val="624D2976"/>
    <w:rsid w:val="6529286A"/>
    <w:rsid w:val="6A040F9F"/>
    <w:rsid w:val="71C924B3"/>
    <w:rsid w:val="74C03F1B"/>
    <w:rsid w:val="7AF46E68"/>
    <w:rsid w:val="7F160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kern w:val="0"/>
      <w:sz w:val="24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666666"/>
      <w:u w:val="none"/>
    </w:rPr>
  </w:style>
  <w:style w:type="paragraph" w:customStyle="1" w:styleId="8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166</Words>
  <Characters>948</Characters>
  <Lines>7</Lines>
  <Paragraphs>2</Paragraphs>
  <TotalTime>10</TotalTime>
  <ScaleCrop>false</ScaleCrop>
  <LinksUpToDate>false</LinksUpToDate>
  <CharactersWithSpaces>1112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2015-09-23T02:25:00Z</dcterms:created>
  <dc:creator>微软用户</dc:creator>
  <cp:lastModifiedBy>Administrator</cp:lastModifiedBy>
  <cp:lastPrinted>2019-08-30T01:20:05Z</cp:lastPrinted>
  <dcterms:modified xsi:type="dcterms:W3CDTF">2021-06-02T04:23:11Z</dcterms:modified>
  <dc:title>2014年度阳城县公安局部门决算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66E0A4F560024984BAF64912D08D94B2</vt:lpwstr>
  </property>
</Properties>
</file>