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Cs/>
          <w:sz w:val="44"/>
          <w:szCs w:val="36"/>
        </w:rPr>
      </w:pPr>
      <w:r>
        <w:rPr>
          <w:rFonts w:hint="eastAsia" w:eastAsia="黑体" w:cs="Times New Roman"/>
          <w:bCs/>
          <w:sz w:val="44"/>
          <w:szCs w:val="36"/>
        </w:rPr>
        <w:t>阳城县</w:t>
      </w:r>
      <w:r>
        <w:rPr>
          <w:rFonts w:eastAsia="黑体" w:cs="Times New Roman"/>
          <w:bCs/>
          <w:sz w:val="44"/>
          <w:szCs w:val="36"/>
        </w:rPr>
        <w:t>农村公路“十四五”发展规划</w:t>
      </w: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bookmarkStart w:id="193" w:name="_GoBack"/>
      <w:bookmarkEnd w:id="193"/>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pacing w:line="360" w:lineRule="auto"/>
        <w:ind w:firstLine="0" w:firstLineChars="0"/>
        <w:jc w:val="center"/>
        <w:rPr>
          <w:rFonts w:eastAsia="黑体" w:cs="Times New Roman"/>
          <w:b/>
          <w:bCs/>
          <w:sz w:val="44"/>
          <w:szCs w:val="36"/>
        </w:rPr>
      </w:pPr>
    </w:p>
    <w:p>
      <w:pPr>
        <w:overflowPunct w:val="0"/>
        <w:snapToGrid w:val="0"/>
        <w:spacing w:before="312" w:beforeLines="100" w:after="156" w:afterLines="50" w:line="340" w:lineRule="exact"/>
        <w:ind w:firstLine="0" w:firstLineChars="0"/>
        <w:jc w:val="center"/>
        <w:rPr>
          <w:rFonts w:eastAsia="黑体" w:cs="Times New Roman"/>
          <w:sz w:val="36"/>
          <w:szCs w:val="28"/>
        </w:rPr>
      </w:pPr>
      <w:r>
        <w:rPr>
          <w:rFonts w:eastAsia="黑体" w:cs="Times New Roman"/>
          <w:sz w:val="36"/>
          <w:szCs w:val="28"/>
        </w:rPr>
        <w:t>阳城县交通运输局</w:t>
      </w:r>
    </w:p>
    <w:p>
      <w:pPr>
        <w:overflowPunct w:val="0"/>
        <w:snapToGrid w:val="0"/>
        <w:spacing w:before="312" w:beforeLines="100" w:after="156" w:afterLines="50" w:line="340" w:lineRule="exact"/>
        <w:ind w:firstLine="0" w:firstLineChars="0"/>
        <w:jc w:val="center"/>
        <w:rPr>
          <w:rFonts w:eastAsia="黑体" w:cs="Times New Roman"/>
          <w:sz w:val="36"/>
          <w:szCs w:val="28"/>
        </w:rPr>
      </w:pPr>
      <w:r>
        <w:rPr>
          <w:rFonts w:eastAsia="黑体" w:cs="Times New Roman"/>
          <w:sz w:val="36"/>
          <w:szCs w:val="28"/>
        </w:rPr>
        <w:t>山西省交通规划勘察设计院有限公司</w:t>
      </w:r>
    </w:p>
    <w:p>
      <w:pPr>
        <w:widowControl/>
        <w:spacing w:before="312" w:beforeLines="100" w:line="340" w:lineRule="exact"/>
        <w:ind w:firstLine="0" w:firstLineChars="0"/>
        <w:jc w:val="center"/>
        <w:rPr>
          <w:rFonts w:eastAsia="黑体" w:cs="Times New Roman"/>
          <w:sz w:val="36"/>
          <w:szCs w:val="28"/>
        </w:rPr>
      </w:pPr>
      <w:r>
        <w:rPr>
          <w:rFonts w:eastAsia="黑体" w:cs="Times New Roman"/>
          <w:sz w:val="36"/>
          <w:szCs w:val="28"/>
        </w:rPr>
        <w:t>2021年7月</w:t>
      </w:r>
    </w:p>
    <w:p>
      <w:pPr>
        <w:ind w:firstLine="640"/>
        <w:jc w:val="center"/>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531" w:left="1531" w:header="851" w:footer="992" w:gutter="0"/>
          <w:cols w:space="425" w:num="1"/>
          <w:docGrid w:type="lines" w:linePitch="312" w:charSpace="0"/>
        </w:sectPr>
      </w:pPr>
    </w:p>
    <w:p>
      <w:pPr>
        <w:ind w:firstLine="800"/>
        <w:jc w:val="center"/>
        <w:rPr>
          <w:rFonts w:ascii="黑体" w:hAnsi="黑体" w:eastAsia="黑体" w:cs="Times New Roman"/>
          <w:sz w:val="40"/>
        </w:rPr>
      </w:pPr>
      <w:r>
        <w:rPr>
          <w:rFonts w:ascii="黑体" w:hAnsi="黑体" w:eastAsia="黑体" w:cs="Times New Roman"/>
          <w:sz w:val="40"/>
        </w:rPr>
        <w:t>目</w:t>
      </w:r>
      <w:r>
        <w:rPr>
          <w:rFonts w:hint="eastAsia" w:ascii="黑体" w:hAnsi="黑体" w:eastAsia="黑体" w:cs="Times New Roman"/>
          <w:sz w:val="40"/>
        </w:rPr>
        <w:t xml:space="preserve"> </w:t>
      </w:r>
      <w:r>
        <w:rPr>
          <w:rFonts w:ascii="黑体" w:hAnsi="黑体" w:eastAsia="黑体" w:cs="Times New Roman"/>
          <w:sz w:val="40"/>
        </w:rPr>
        <w:t xml:space="preserve"> 录</w:t>
      </w:r>
    </w:p>
    <w:p>
      <w:pPr>
        <w:pStyle w:val="11"/>
        <w:rPr>
          <w:rFonts w:asciiTheme="minorHAnsi" w:hAnsiTheme="minorHAnsi" w:eastAsiaTheme="minorEastAsia"/>
          <w:sz w:val="21"/>
        </w:rPr>
      </w:pPr>
      <w:r>
        <w:rPr>
          <w:rFonts w:cs="Times New Roman"/>
        </w:rPr>
        <w:fldChar w:fldCharType="begin"/>
      </w:r>
      <w:r>
        <w:rPr>
          <w:rFonts w:cs="Times New Roman"/>
        </w:rPr>
        <w:instrText xml:space="preserve"> </w:instrText>
      </w:r>
      <w:r>
        <w:rPr>
          <w:rFonts w:hint="eastAsia" w:cs="Times New Roman"/>
        </w:rPr>
        <w:instrText xml:space="preserve">TOC \o "1-3" \h \z \u</w:instrText>
      </w:r>
      <w:r>
        <w:rPr>
          <w:rFonts w:cs="Times New Roman"/>
        </w:rPr>
        <w:instrText xml:space="preserve"> </w:instrText>
      </w:r>
      <w:r>
        <w:rPr>
          <w:rFonts w:cs="Times New Roman"/>
        </w:rPr>
        <w:fldChar w:fldCharType="separate"/>
      </w:r>
      <w:r>
        <w:fldChar w:fldCharType="begin"/>
      </w:r>
      <w:r>
        <w:instrText xml:space="preserve"> HYPERLINK \l "_Toc49243358" </w:instrText>
      </w:r>
      <w:r>
        <w:fldChar w:fldCharType="separate"/>
      </w:r>
      <w:r>
        <w:rPr>
          <w:rStyle w:val="16"/>
          <w:rFonts w:cs="Times New Roman"/>
        </w:rPr>
        <w:t>第1章 概述</w:t>
      </w:r>
      <w:r>
        <w:tab/>
      </w:r>
      <w:r>
        <w:fldChar w:fldCharType="begin"/>
      </w:r>
      <w:r>
        <w:instrText xml:space="preserve"> PAGEREF _Toc49243358 \h </w:instrText>
      </w:r>
      <w:r>
        <w:fldChar w:fldCharType="separate"/>
      </w:r>
      <w:r>
        <w:t>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"_Toc49243359" </w:instrText>
      </w:r>
      <w:r>
        <w:fldChar w:fldCharType="separate"/>
      </w:r>
      <w:r>
        <w:rPr>
          <w:rStyle w:val="16"/>
          <w:rFonts w:cs="Times New Roman"/>
        </w:rPr>
        <w:t>1.1 规划背景</w:t>
      </w:r>
      <w:r>
        <w:tab/>
      </w:r>
      <w:r>
        <w:fldChar w:fldCharType="begin"/>
      </w:r>
      <w:r>
        <w:instrText xml:space="preserve"> PAGEREF _Toc49243359 \h </w:instrText>
      </w:r>
      <w:r>
        <w:fldChar w:fldCharType="separate"/>
      </w:r>
      <w:r>
        <w:t>1</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"_Toc49243360" </w:instrText>
      </w:r>
      <w:r>
        <w:fldChar w:fldCharType="separate"/>
      </w:r>
      <w:r>
        <w:rPr>
          <w:rStyle w:val="16"/>
          <w:rFonts w:cs="Times New Roman"/>
        </w:rPr>
        <w:t>1.1.1 规划背景</w:t>
      </w:r>
      <w:r>
        <w:tab/>
      </w:r>
      <w:r>
        <w:fldChar w:fldCharType="begin"/>
      </w:r>
      <w:r>
        <w:instrText xml:space="preserve"> PAGEREF _Toc49243360 \h </w:instrText>
      </w:r>
      <w:r>
        <w:fldChar w:fldCharType="separate"/>
      </w:r>
      <w:r>
        <w:t>1</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"_Toc49243361" </w:instrText>
      </w:r>
      <w:r>
        <w:fldChar w:fldCharType="separate"/>
      </w:r>
      <w:r>
        <w:rPr>
          <w:rStyle w:val="16"/>
          <w:rFonts w:cs="Times New Roman"/>
        </w:rPr>
        <w:t>1.1.2 规划目标</w:t>
      </w:r>
      <w:r>
        <w:tab/>
      </w:r>
      <w:r>
        <w:fldChar w:fldCharType="begin"/>
      </w:r>
      <w:r>
        <w:instrText xml:space="preserve"> PAGEREF _Toc49243361 \h </w:instrText>
      </w:r>
      <w:r>
        <w:fldChar w:fldCharType="separate"/>
      </w:r>
      <w:r>
        <w:t>4</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"_Toc49243362" </w:instrText>
      </w:r>
      <w:r>
        <w:fldChar w:fldCharType="separate"/>
      </w:r>
      <w:r>
        <w:rPr>
          <w:rStyle w:val="16"/>
          <w:rFonts w:cs="Times New Roman"/>
        </w:rPr>
        <w:t>1.1.3 规划意义</w:t>
      </w:r>
      <w:r>
        <w:tab/>
      </w:r>
      <w:r>
        <w:fldChar w:fldCharType="begin"/>
      </w:r>
      <w:r>
        <w:instrText xml:space="preserve"> PAGEREF _Toc49243362 \h </w:instrText>
      </w:r>
      <w:r>
        <w:fldChar w:fldCharType="separate"/>
      </w:r>
      <w:r>
        <w:t>6</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"_Toc49243363" </w:instrText>
      </w:r>
      <w:r>
        <w:fldChar w:fldCharType="separate"/>
      </w:r>
      <w:r>
        <w:rPr>
          <w:rStyle w:val="16"/>
          <w:rFonts w:cs="Times New Roman"/>
        </w:rPr>
        <w:t>1.2</w:t>
      </w:r>
      <w:r>
        <w:rPr>
          <w:rStyle w:val="16"/>
          <w:rFonts w:eastAsia="方正楷体简体" w:cs="Times New Roman"/>
        </w:rPr>
        <w:t xml:space="preserve"> 规划编制依据</w:t>
      </w:r>
      <w:r>
        <w:tab/>
      </w:r>
      <w:r>
        <w:fldChar w:fldCharType="begin"/>
      </w:r>
      <w:r>
        <w:instrText xml:space="preserve"> PAGEREF _Toc49243363 \h </w:instrText>
      </w:r>
      <w:r>
        <w:fldChar w:fldCharType="separate"/>
      </w:r>
      <w:r>
        <w:t>10</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"_Toc49243364" </w:instrText>
      </w:r>
      <w:r>
        <w:fldChar w:fldCharType="separate"/>
      </w:r>
      <w:r>
        <w:rPr>
          <w:rStyle w:val="16"/>
          <w:rFonts w:cs="Times New Roman"/>
        </w:rPr>
        <w:t>1.3</w:t>
      </w:r>
      <w:r>
        <w:rPr>
          <w:rStyle w:val="16"/>
          <w:rFonts w:eastAsia="方正楷体简体" w:cs="Times New Roman"/>
        </w:rPr>
        <w:t xml:space="preserve"> 规划范围和期限</w:t>
      </w:r>
      <w:r>
        <w:tab/>
      </w:r>
      <w:r>
        <w:fldChar w:fldCharType="begin"/>
      </w:r>
      <w:r>
        <w:instrText xml:space="preserve"> PAGEREF _Toc49243364 \h </w:instrText>
      </w:r>
      <w:r>
        <w:fldChar w:fldCharType="separate"/>
      </w:r>
      <w:r>
        <w:t>11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"_Toc49243365" </w:instrText>
      </w:r>
      <w:r>
        <w:fldChar w:fldCharType="separate"/>
      </w:r>
      <w:r>
        <w:rPr>
          <w:rStyle w:val="16"/>
          <w:rFonts w:cs="Times New Roman"/>
        </w:rPr>
        <w:t>第2章 经济社会及交通运输发展现状</w:t>
      </w:r>
      <w:r>
        <w:tab/>
      </w:r>
      <w:r>
        <w:fldChar w:fldCharType="begin"/>
      </w:r>
      <w:r>
        <w:instrText xml:space="preserve"> PAGEREF _Toc49243365 \h </w:instrText>
      </w:r>
      <w:r>
        <w:fldChar w:fldCharType="separate"/>
      </w:r>
      <w:r>
        <w:t>14</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"_Toc49243366" </w:instrText>
      </w:r>
      <w:r>
        <w:fldChar w:fldCharType="separate"/>
      </w:r>
      <w:r>
        <w:rPr>
          <w:rStyle w:val="16"/>
          <w:rFonts w:cs="Times New Roman"/>
        </w:rPr>
        <w:t>2.1</w:t>
      </w:r>
      <w:r>
        <w:rPr>
          <w:rStyle w:val="16"/>
          <w:rFonts w:eastAsia="方正楷体简体" w:cs="Times New Roman"/>
        </w:rPr>
        <w:t xml:space="preserve"> 地理位置及自然条件</w:t>
      </w:r>
      <w:r>
        <w:tab/>
      </w:r>
      <w:r>
        <w:fldChar w:fldCharType="begin"/>
      </w:r>
      <w:r>
        <w:instrText xml:space="preserve"> PAGEREF _Toc49243366 \h </w:instrText>
      </w:r>
      <w:r>
        <w:fldChar w:fldCharType="separate"/>
      </w:r>
      <w:r>
        <w:t>14</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"_Toc49243367" </w:instrText>
      </w:r>
      <w:r>
        <w:fldChar w:fldCharType="separate"/>
      </w:r>
      <w:r>
        <w:rPr>
          <w:rStyle w:val="16"/>
          <w:rFonts w:cs="Times New Roman"/>
        </w:rPr>
        <w:t>2.1.1 地理位置</w:t>
      </w:r>
      <w:r>
        <w:tab/>
      </w:r>
      <w:r>
        <w:fldChar w:fldCharType="begin"/>
      </w:r>
      <w:r>
        <w:instrText xml:space="preserve"> PAGEREF _Toc49243367 \h </w:instrText>
      </w:r>
      <w:r>
        <w:fldChar w:fldCharType="separate"/>
      </w:r>
      <w:r>
        <w:t>14</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"_Toc49243368" </w:instrText>
      </w:r>
      <w:r>
        <w:fldChar w:fldCharType="separate"/>
      </w:r>
      <w:r>
        <w:rPr>
          <w:rStyle w:val="16"/>
          <w:rFonts w:cs="Times New Roman"/>
        </w:rPr>
        <w:t>2.1.2 行政区划</w:t>
      </w:r>
      <w:r>
        <w:tab/>
      </w:r>
      <w:r>
        <w:fldChar w:fldCharType="begin"/>
      </w:r>
      <w:r>
        <w:instrText xml:space="preserve"> PAGEREF _Toc49243368 \h </w:instrText>
      </w:r>
      <w:r>
        <w:fldChar w:fldCharType="separate"/>
      </w:r>
      <w:r>
        <w:t>15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"_Toc49243369" </w:instrText>
      </w:r>
      <w:r>
        <w:fldChar w:fldCharType="separate"/>
      </w:r>
      <w:r>
        <w:rPr>
          <w:rStyle w:val="16"/>
          <w:rFonts w:cs="Times New Roman"/>
        </w:rPr>
        <w:t>2.1.3 自然条件</w:t>
      </w:r>
      <w:r>
        <w:tab/>
      </w:r>
      <w:r>
        <w:fldChar w:fldCharType="begin"/>
      </w:r>
      <w:r>
        <w:instrText xml:space="preserve"> PAGEREF _Toc49243369 \h </w:instrText>
      </w:r>
      <w:r>
        <w:fldChar w:fldCharType="separate"/>
      </w:r>
      <w:r>
        <w:t>16</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"_Toc49243370" </w:instrText>
      </w:r>
      <w:r>
        <w:fldChar w:fldCharType="separate"/>
      </w:r>
      <w:r>
        <w:rPr>
          <w:rStyle w:val="16"/>
          <w:rFonts w:cs="Times New Roman"/>
        </w:rPr>
        <w:t>2.1.4 自然资源</w:t>
      </w:r>
      <w:r>
        <w:tab/>
      </w:r>
      <w:r>
        <w:fldChar w:fldCharType="begin"/>
      </w:r>
      <w:r>
        <w:instrText xml:space="preserve"> PAGEREF _Toc49243370 \h </w:instrText>
      </w:r>
      <w:r>
        <w:fldChar w:fldCharType="separate"/>
      </w:r>
      <w:r>
        <w:t>17</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"_Toc49243371" </w:instrText>
      </w:r>
      <w:r>
        <w:fldChar w:fldCharType="separate"/>
      </w:r>
      <w:r>
        <w:rPr>
          <w:rStyle w:val="16"/>
          <w:rFonts w:cs="Times New Roman"/>
        </w:rPr>
        <w:t>2.2</w:t>
      </w:r>
      <w:r>
        <w:rPr>
          <w:rStyle w:val="16"/>
          <w:rFonts w:eastAsia="方正楷体简体" w:cs="Times New Roman"/>
        </w:rPr>
        <w:t xml:space="preserve"> 经济社会发展概况</w:t>
      </w:r>
      <w:r>
        <w:tab/>
      </w:r>
      <w:r>
        <w:fldChar w:fldCharType="begin"/>
      </w:r>
      <w:r>
        <w:instrText xml:space="preserve"> PAGEREF _Toc49243371 \h </w:instrText>
      </w:r>
      <w:r>
        <w:fldChar w:fldCharType="separate"/>
      </w:r>
      <w:r>
        <w:t>25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"_Toc49243372" </w:instrText>
      </w:r>
      <w:r>
        <w:fldChar w:fldCharType="separate"/>
      </w:r>
      <w:r>
        <w:rPr>
          <w:rStyle w:val="16"/>
          <w:rFonts w:cs="Times New Roman"/>
        </w:rPr>
        <w:t>2.2.1 经济发展现状</w:t>
      </w:r>
      <w:r>
        <w:tab/>
      </w:r>
      <w:r>
        <w:fldChar w:fldCharType="begin"/>
      </w:r>
      <w:r>
        <w:instrText xml:space="preserve"> PAGEREF _Toc49243372 \h </w:instrText>
      </w:r>
      <w:r>
        <w:fldChar w:fldCharType="separate"/>
      </w:r>
      <w:r>
        <w:t>25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"_Toc49243373" </w:instrText>
      </w:r>
      <w:r>
        <w:fldChar w:fldCharType="separate"/>
      </w:r>
      <w:r>
        <w:rPr>
          <w:rStyle w:val="16"/>
          <w:rFonts w:cs="Times New Roman"/>
        </w:rPr>
        <w:t>2.2.2 旅游资源状况</w:t>
      </w:r>
      <w:r>
        <w:tab/>
      </w:r>
      <w:r>
        <w:fldChar w:fldCharType="begin"/>
      </w:r>
      <w:r>
        <w:instrText xml:space="preserve"> PAGEREF _Toc49243373 \h </w:instrText>
      </w:r>
      <w:r>
        <w:fldChar w:fldCharType="separate"/>
      </w:r>
      <w:r>
        <w:t>30</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"_Toc49243374" </w:instrText>
      </w:r>
      <w:r>
        <w:fldChar w:fldCharType="separate"/>
      </w:r>
      <w:r>
        <w:rPr>
          <w:rStyle w:val="16"/>
          <w:rFonts w:cs="Times New Roman"/>
        </w:rPr>
        <w:t>2.2.3 城镇、人口状况</w:t>
      </w:r>
      <w:r>
        <w:tab/>
      </w:r>
      <w:r>
        <w:fldChar w:fldCharType="begin"/>
      </w:r>
      <w:r>
        <w:instrText xml:space="preserve"> PAGEREF _Toc49243374 \h </w:instrText>
      </w:r>
      <w:r>
        <w:fldChar w:fldCharType="separate"/>
      </w:r>
      <w:r>
        <w:t>31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"_Toc49243375" </w:instrText>
      </w:r>
      <w:r>
        <w:fldChar w:fldCharType="separate"/>
      </w:r>
      <w:r>
        <w:rPr>
          <w:rStyle w:val="16"/>
          <w:rFonts w:cs="Times New Roman"/>
        </w:rPr>
        <w:t>2.3</w:t>
      </w:r>
      <w:r>
        <w:rPr>
          <w:rStyle w:val="16"/>
          <w:rFonts w:eastAsia="方正楷体简体" w:cs="Times New Roman"/>
        </w:rPr>
        <w:t xml:space="preserve"> 交通运输发展概况</w:t>
      </w:r>
      <w:r>
        <w:tab/>
      </w:r>
      <w:r>
        <w:fldChar w:fldCharType="begin"/>
      </w:r>
      <w:r>
        <w:instrText xml:space="preserve"> PAGEREF _Toc49243375 \h </w:instrText>
      </w:r>
      <w:r>
        <w:fldChar w:fldCharType="separate"/>
      </w:r>
      <w:r>
        <w:t>32</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"_Toc49243376" </w:instrText>
      </w:r>
      <w:r>
        <w:fldChar w:fldCharType="separate"/>
      </w:r>
      <w:r>
        <w:rPr>
          <w:rStyle w:val="16"/>
          <w:rFonts w:cs="Times New Roman"/>
        </w:rPr>
        <w:t>2.3.1 公路网总体情况</w:t>
      </w:r>
      <w:r>
        <w:tab/>
      </w:r>
      <w:r>
        <w:fldChar w:fldCharType="begin"/>
      </w:r>
      <w:r>
        <w:instrText xml:space="preserve"> PAGEREF _Toc49243376 \h </w:instrText>
      </w:r>
      <w:r>
        <w:fldChar w:fldCharType="separate"/>
      </w:r>
      <w:r>
        <w:t>32</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"_Toc49243377" </w:instrText>
      </w:r>
      <w:r>
        <w:fldChar w:fldCharType="separate"/>
      </w:r>
      <w:r>
        <w:rPr>
          <w:rStyle w:val="16"/>
          <w:rFonts w:cs="Times New Roman"/>
        </w:rPr>
        <w:t>2.3.2 干线公路情况</w:t>
      </w:r>
      <w:r>
        <w:tab/>
      </w:r>
      <w:r>
        <w:fldChar w:fldCharType="begin"/>
      </w:r>
      <w:r>
        <w:instrText xml:space="preserve"> PAGEREF _Toc49243377 \h </w:instrText>
      </w:r>
      <w:r>
        <w:fldChar w:fldCharType="separate"/>
      </w:r>
      <w:r>
        <w:t>39</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"_Toc49243378" </w:instrText>
      </w:r>
      <w:r>
        <w:fldChar w:fldCharType="separate"/>
      </w:r>
      <w:r>
        <w:rPr>
          <w:rStyle w:val="16"/>
          <w:rFonts w:cs="Times New Roman"/>
        </w:rPr>
        <w:t>2.3.3 农村公路情况</w:t>
      </w:r>
      <w:r>
        <w:tab/>
      </w:r>
      <w:r>
        <w:fldChar w:fldCharType="begin"/>
      </w:r>
      <w:r>
        <w:instrText xml:space="preserve"> PAGEREF _Toc49243378 \h </w:instrText>
      </w:r>
      <w:r>
        <w:fldChar w:fldCharType="separate"/>
      </w:r>
      <w:r>
        <w:t>40</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"_Toc49243379" </w:instrText>
      </w:r>
      <w:r>
        <w:fldChar w:fldCharType="separate"/>
      </w:r>
      <w:r>
        <w:rPr>
          <w:rStyle w:val="16"/>
          <w:rFonts w:cs="Times New Roman"/>
        </w:rPr>
        <w:t>2.3.4 铁路发展现状</w:t>
      </w:r>
      <w:r>
        <w:tab/>
      </w:r>
      <w:r>
        <w:fldChar w:fldCharType="begin"/>
      </w:r>
      <w:r>
        <w:instrText xml:space="preserve"> PAGEREF _Toc49243379 \h </w:instrText>
      </w:r>
      <w:r>
        <w:fldChar w:fldCharType="separate"/>
      </w:r>
      <w:r>
        <w:t>41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"_Toc49243380" </w:instrText>
      </w:r>
      <w:r>
        <w:fldChar w:fldCharType="separate"/>
      </w:r>
      <w:r>
        <w:rPr>
          <w:rStyle w:val="16"/>
          <w:rFonts w:cs="Times New Roman"/>
        </w:rPr>
        <w:t>2.4</w:t>
      </w:r>
      <w:r>
        <w:rPr>
          <w:rStyle w:val="16"/>
          <w:rFonts w:eastAsia="方正楷体简体" w:cs="Times New Roman"/>
        </w:rPr>
        <w:t xml:space="preserve"> 农村公路发展现状</w:t>
      </w:r>
      <w:r>
        <w:tab/>
      </w:r>
      <w:r>
        <w:fldChar w:fldCharType="begin"/>
      </w:r>
      <w:r>
        <w:instrText xml:space="preserve"> PAGEREF _Toc49243380 \h </w:instrText>
      </w:r>
      <w:r>
        <w:fldChar w:fldCharType="separate"/>
      </w:r>
      <w:r>
        <w:t>43</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"_Toc49243381" </w:instrText>
      </w:r>
      <w:r>
        <w:fldChar w:fldCharType="separate"/>
      </w:r>
      <w:r>
        <w:rPr>
          <w:rStyle w:val="16"/>
          <w:rFonts w:cs="Times New Roman"/>
        </w:rPr>
        <w:t>2.4.1 公路网现状分析</w:t>
      </w:r>
      <w:r>
        <w:tab/>
      </w:r>
      <w:r>
        <w:fldChar w:fldCharType="begin"/>
      </w:r>
      <w:r>
        <w:instrText xml:space="preserve"> PAGEREF _Toc49243381 \h </w:instrText>
      </w:r>
      <w:r>
        <w:fldChar w:fldCharType="separate"/>
      </w:r>
      <w:r>
        <w:t>43</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"_Toc49243382" </w:instrText>
      </w:r>
      <w:r>
        <w:fldChar w:fldCharType="separate"/>
      </w:r>
      <w:r>
        <w:rPr>
          <w:rStyle w:val="16"/>
          <w:rFonts w:cs="Times New Roman"/>
        </w:rPr>
        <w:t>2.4.2 农村公路发展现状</w:t>
      </w:r>
      <w:r>
        <w:tab/>
      </w:r>
      <w:r>
        <w:fldChar w:fldCharType="begin"/>
      </w:r>
      <w:r>
        <w:instrText xml:space="preserve"> PAGEREF _Toc49243382 \h </w:instrText>
      </w:r>
      <w:r>
        <w:fldChar w:fldCharType="separate"/>
      </w:r>
      <w:r>
        <w:t>47</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"_Toc49243383" </w:instrText>
      </w:r>
      <w:r>
        <w:fldChar w:fldCharType="separate"/>
      </w:r>
      <w:r>
        <w:rPr>
          <w:rStyle w:val="16"/>
          <w:rFonts w:cs="Times New Roman"/>
        </w:rPr>
        <w:t>第3章 发展形势</w:t>
      </w:r>
      <w:r>
        <w:tab/>
      </w:r>
      <w:r>
        <w:fldChar w:fldCharType="begin"/>
      </w:r>
      <w:r>
        <w:instrText xml:space="preserve"> PAGEREF _Toc49243383 \h </w:instrText>
      </w:r>
      <w:r>
        <w:fldChar w:fldCharType="separate"/>
      </w:r>
      <w:r>
        <w:t>51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"_Toc49243384" </w:instrText>
      </w:r>
      <w:r>
        <w:fldChar w:fldCharType="separate"/>
      </w:r>
      <w:r>
        <w:rPr>
          <w:rStyle w:val="16"/>
          <w:rFonts w:cs="Times New Roman"/>
        </w:rPr>
        <w:t>3.1</w:t>
      </w:r>
      <w:r>
        <w:rPr>
          <w:rStyle w:val="16"/>
          <w:rFonts w:eastAsia="方正楷体简体" w:cs="Times New Roman"/>
        </w:rPr>
        <w:t xml:space="preserve"> 经济社会发展形势</w:t>
      </w:r>
      <w:r>
        <w:tab/>
      </w:r>
      <w:r>
        <w:fldChar w:fldCharType="begin"/>
      </w:r>
      <w:r>
        <w:instrText xml:space="preserve"> PAGEREF _Toc49243384 \h </w:instrText>
      </w:r>
      <w:r>
        <w:fldChar w:fldCharType="separate"/>
      </w:r>
      <w:r>
        <w:t>51</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"_Toc49243385" </w:instrText>
      </w:r>
      <w:r>
        <w:fldChar w:fldCharType="separate"/>
      </w:r>
      <w:r>
        <w:rPr>
          <w:rStyle w:val="16"/>
          <w:rFonts w:cs="Times New Roman"/>
        </w:rPr>
        <w:t>3.1.1 经济社会发展相关规划</w:t>
      </w:r>
      <w:r>
        <w:tab/>
      </w:r>
      <w:r>
        <w:fldChar w:fldCharType="begin"/>
      </w:r>
      <w:r>
        <w:instrText xml:space="preserve"> PAGEREF _Toc49243385 \h </w:instrText>
      </w:r>
      <w:r>
        <w:fldChar w:fldCharType="separate"/>
      </w:r>
      <w:r>
        <w:t>51</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"_Toc49243386" </w:instrText>
      </w:r>
      <w:r>
        <w:fldChar w:fldCharType="separate"/>
      </w:r>
      <w:r>
        <w:rPr>
          <w:rStyle w:val="16"/>
          <w:rFonts w:cs="Times New Roman"/>
        </w:rPr>
        <w:t>3.1.2 经济社会发展新要求</w:t>
      </w:r>
      <w:r>
        <w:tab/>
      </w:r>
      <w:r>
        <w:fldChar w:fldCharType="begin"/>
      </w:r>
      <w:r>
        <w:instrText xml:space="preserve"> PAGEREF _Toc49243386 \h </w:instrText>
      </w:r>
      <w:r>
        <w:fldChar w:fldCharType="separate"/>
      </w:r>
      <w:r>
        <w:t>53</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"_Toc49243387" </w:instrText>
      </w:r>
      <w:r>
        <w:fldChar w:fldCharType="separate"/>
      </w:r>
      <w:r>
        <w:rPr>
          <w:rStyle w:val="16"/>
          <w:rFonts w:cs="Times New Roman"/>
        </w:rPr>
        <w:t>3.2</w:t>
      </w:r>
      <w:r>
        <w:rPr>
          <w:rStyle w:val="16"/>
          <w:rFonts w:eastAsia="方正楷体简体" w:cs="Times New Roman"/>
        </w:rPr>
        <w:t xml:space="preserve"> 综合交通运输发展形势</w:t>
      </w:r>
      <w:r>
        <w:tab/>
      </w:r>
      <w:r>
        <w:fldChar w:fldCharType="begin"/>
      </w:r>
      <w:r>
        <w:instrText xml:space="preserve"> PAGEREF _Toc49243387 \h </w:instrText>
      </w:r>
      <w:r>
        <w:fldChar w:fldCharType="separate"/>
      </w:r>
      <w:r>
        <w:t>56</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"_Toc49243388" </w:instrText>
      </w:r>
      <w:r>
        <w:fldChar w:fldCharType="separate"/>
      </w:r>
      <w:r>
        <w:rPr>
          <w:rStyle w:val="16"/>
          <w:rFonts w:cs="Times New Roman"/>
        </w:rPr>
        <w:t>第4章 发展思路与目标</w:t>
      </w:r>
      <w:r>
        <w:tab/>
      </w:r>
      <w:r>
        <w:fldChar w:fldCharType="begin"/>
      </w:r>
      <w:r>
        <w:instrText xml:space="preserve"> PAGEREF _Toc49243388 \h </w:instrText>
      </w:r>
      <w:r>
        <w:fldChar w:fldCharType="separate"/>
      </w:r>
      <w:r>
        <w:t>61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"_Toc49243389" </w:instrText>
      </w:r>
      <w:r>
        <w:fldChar w:fldCharType="separate"/>
      </w:r>
      <w:r>
        <w:rPr>
          <w:rStyle w:val="16"/>
          <w:rFonts w:cs="Times New Roman"/>
        </w:rPr>
        <w:t>4.1</w:t>
      </w:r>
      <w:r>
        <w:rPr>
          <w:rStyle w:val="16"/>
          <w:rFonts w:eastAsia="方正楷体简体" w:cs="Times New Roman"/>
        </w:rPr>
        <w:t xml:space="preserve"> 指导思想</w:t>
      </w:r>
      <w:r>
        <w:tab/>
      </w:r>
      <w:r>
        <w:fldChar w:fldCharType="begin"/>
      </w:r>
      <w:r>
        <w:instrText xml:space="preserve"> PAGEREF _Toc49243389 \h </w:instrText>
      </w:r>
      <w:r>
        <w:fldChar w:fldCharType="separate"/>
      </w:r>
      <w:r>
        <w:t>61</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"_Toc49243390" </w:instrText>
      </w:r>
      <w:r>
        <w:fldChar w:fldCharType="separate"/>
      </w:r>
      <w:r>
        <w:rPr>
          <w:rStyle w:val="16"/>
          <w:rFonts w:cs="Times New Roman"/>
        </w:rPr>
        <w:t>4.2 基本原则</w:t>
      </w:r>
      <w:r>
        <w:tab/>
      </w:r>
      <w:r>
        <w:fldChar w:fldCharType="begin"/>
      </w:r>
      <w:r>
        <w:instrText xml:space="preserve"> PAGEREF _Toc49243390 \h </w:instrText>
      </w:r>
      <w:r>
        <w:fldChar w:fldCharType="separate"/>
      </w:r>
      <w:r>
        <w:t>62</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"_Toc49243391" </w:instrText>
      </w:r>
      <w:r>
        <w:fldChar w:fldCharType="separate"/>
      </w:r>
      <w:r>
        <w:rPr>
          <w:rStyle w:val="16"/>
          <w:rFonts w:cs="Times New Roman"/>
        </w:rPr>
        <w:t>4.3</w:t>
      </w:r>
      <w:r>
        <w:rPr>
          <w:rStyle w:val="16"/>
          <w:rFonts w:eastAsia="方正楷体简体" w:cs="Times New Roman"/>
        </w:rPr>
        <w:t xml:space="preserve"> 规划目标</w:t>
      </w:r>
      <w:r>
        <w:tab/>
      </w:r>
      <w:r>
        <w:fldChar w:fldCharType="begin"/>
      </w:r>
      <w:r>
        <w:instrText xml:space="preserve"> PAGEREF _Toc49243391 \h </w:instrText>
      </w:r>
      <w:r>
        <w:fldChar w:fldCharType="separate"/>
      </w:r>
      <w:r>
        <w:t>63</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"_Toc49243392" </w:instrText>
      </w:r>
      <w:r>
        <w:fldChar w:fldCharType="separate"/>
      </w:r>
      <w:r>
        <w:rPr>
          <w:rStyle w:val="16"/>
          <w:rFonts w:cs="Times New Roman"/>
        </w:rPr>
        <w:t>4.3.1 目标任务</w:t>
      </w:r>
      <w:r>
        <w:tab/>
      </w:r>
      <w:r>
        <w:fldChar w:fldCharType="begin"/>
      </w:r>
      <w:r>
        <w:instrText xml:space="preserve"> PAGEREF _Toc49243392 \h </w:instrText>
      </w:r>
      <w:r>
        <w:fldChar w:fldCharType="separate"/>
      </w:r>
      <w:r>
        <w:t>64</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"_Toc49243393" </w:instrText>
      </w:r>
      <w:r>
        <w:fldChar w:fldCharType="separate"/>
      </w:r>
      <w:r>
        <w:rPr>
          <w:rStyle w:val="16"/>
          <w:rFonts w:cs="Times New Roman"/>
        </w:rPr>
        <w:t>4.3.2 建设目标</w:t>
      </w:r>
      <w:r>
        <w:tab/>
      </w:r>
      <w:r>
        <w:fldChar w:fldCharType="begin"/>
      </w:r>
      <w:r>
        <w:instrText xml:space="preserve"> PAGEREF _Toc49243393 \h </w:instrText>
      </w:r>
      <w:r>
        <w:fldChar w:fldCharType="separate"/>
      </w:r>
      <w:r>
        <w:t>67</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"_Toc49243394" </w:instrText>
      </w:r>
      <w:r>
        <w:fldChar w:fldCharType="separate"/>
      </w:r>
      <w:r>
        <w:rPr>
          <w:rStyle w:val="16"/>
          <w:rFonts w:cs="Times New Roman"/>
        </w:rPr>
        <w:t>4.3.3 管理目标</w:t>
      </w:r>
      <w:r>
        <w:tab/>
      </w:r>
      <w:r>
        <w:fldChar w:fldCharType="begin"/>
      </w:r>
      <w:r>
        <w:instrText xml:space="preserve"> PAGEREF _Toc49243394 \h </w:instrText>
      </w:r>
      <w:r>
        <w:fldChar w:fldCharType="separate"/>
      </w:r>
      <w:r>
        <w:t>67</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"_Toc49243395" </w:instrText>
      </w:r>
      <w:r>
        <w:fldChar w:fldCharType="separate"/>
      </w:r>
      <w:r>
        <w:rPr>
          <w:rStyle w:val="16"/>
          <w:rFonts w:cs="Times New Roman"/>
        </w:rPr>
        <w:t>4.3.4 养护目标</w:t>
      </w:r>
      <w:r>
        <w:tab/>
      </w:r>
      <w:r>
        <w:fldChar w:fldCharType="begin"/>
      </w:r>
      <w:r>
        <w:instrText xml:space="preserve"> PAGEREF _Toc49243395 \h </w:instrText>
      </w:r>
      <w:r>
        <w:fldChar w:fldCharType="separate"/>
      </w:r>
      <w:r>
        <w:t>68</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"_Toc49243396" </w:instrText>
      </w:r>
      <w:r>
        <w:fldChar w:fldCharType="separate"/>
      </w:r>
      <w:r>
        <w:rPr>
          <w:rStyle w:val="16"/>
          <w:rFonts w:cs="Times New Roman"/>
        </w:rPr>
        <w:t>4.3.5 运营目标</w:t>
      </w:r>
      <w:r>
        <w:tab/>
      </w:r>
      <w:r>
        <w:fldChar w:fldCharType="begin"/>
      </w:r>
      <w:r>
        <w:instrText xml:space="preserve"> PAGEREF _Toc49243396 \h </w:instrText>
      </w:r>
      <w:r>
        <w:fldChar w:fldCharType="separate"/>
      </w:r>
      <w:r>
        <w:t>72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"_Toc49243397" </w:instrText>
      </w:r>
      <w:r>
        <w:fldChar w:fldCharType="separate"/>
      </w:r>
      <w:r>
        <w:rPr>
          <w:rStyle w:val="16"/>
          <w:rFonts w:cs="Times New Roman"/>
        </w:rPr>
        <w:t>第5章 路网布局与建设方案</w:t>
      </w:r>
      <w:r>
        <w:tab/>
      </w:r>
      <w:r>
        <w:fldChar w:fldCharType="begin"/>
      </w:r>
      <w:r>
        <w:instrText xml:space="preserve"> PAGEREF _Toc49243397 \h </w:instrText>
      </w:r>
      <w:r>
        <w:fldChar w:fldCharType="separate"/>
      </w:r>
      <w:r>
        <w:t>74</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"_Toc49243398" </w:instrText>
      </w:r>
      <w:r>
        <w:fldChar w:fldCharType="separate"/>
      </w:r>
      <w:r>
        <w:rPr>
          <w:rStyle w:val="16"/>
          <w:rFonts w:cs="Times New Roman"/>
        </w:rPr>
        <w:t>5.1</w:t>
      </w:r>
      <w:r>
        <w:rPr>
          <w:rStyle w:val="16"/>
          <w:rFonts w:eastAsia="方正楷体简体" w:cs="Times New Roman"/>
        </w:rPr>
        <w:t xml:space="preserve"> 规划节点分析</w:t>
      </w:r>
      <w:r>
        <w:tab/>
      </w:r>
      <w:r>
        <w:fldChar w:fldCharType="begin"/>
      </w:r>
      <w:r>
        <w:instrText xml:space="preserve"> PAGEREF _Toc49243398 \h </w:instrText>
      </w:r>
      <w:r>
        <w:fldChar w:fldCharType="separate"/>
      </w:r>
      <w:r>
        <w:t>74</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"_Toc49243399" </w:instrText>
      </w:r>
      <w:r>
        <w:fldChar w:fldCharType="separate"/>
      </w:r>
      <w:r>
        <w:rPr>
          <w:rStyle w:val="16"/>
          <w:rFonts w:cs="Times New Roman"/>
        </w:rPr>
        <w:t>5.2 路网规模分析</w:t>
      </w:r>
      <w:r>
        <w:tab/>
      </w:r>
      <w:r>
        <w:fldChar w:fldCharType="begin"/>
      </w:r>
      <w:r>
        <w:instrText xml:space="preserve"> PAGEREF _Toc49243399 \h </w:instrText>
      </w:r>
      <w:r>
        <w:fldChar w:fldCharType="separate"/>
      </w:r>
      <w:r>
        <w:t>76</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"_Toc49243400" </w:instrText>
      </w:r>
      <w:r>
        <w:fldChar w:fldCharType="separate"/>
      </w:r>
      <w:r>
        <w:rPr>
          <w:rStyle w:val="16"/>
          <w:rFonts w:cs="Times New Roman"/>
        </w:rPr>
        <w:t>5.3</w:t>
      </w:r>
      <w:r>
        <w:rPr>
          <w:rStyle w:val="16"/>
          <w:rFonts w:eastAsia="方正楷体简体" w:cs="Times New Roman"/>
        </w:rPr>
        <w:t xml:space="preserve"> 布局方案</w:t>
      </w:r>
      <w:r>
        <w:tab/>
      </w:r>
      <w:r>
        <w:fldChar w:fldCharType="begin"/>
      </w:r>
      <w:r>
        <w:instrText xml:space="preserve"> PAGEREF _Toc49243400 \h </w:instrText>
      </w:r>
      <w:r>
        <w:fldChar w:fldCharType="separate"/>
      </w:r>
      <w:r>
        <w:t>78</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"_Toc49243401" </w:instrText>
      </w:r>
      <w:r>
        <w:fldChar w:fldCharType="separate"/>
      </w:r>
      <w:r>
        <w:rPr>
          <w:rStyle w:val="16"/>
          <w:rFonts w:cs="Times New Roman"/>
        </w:rPr>
        <w:t>5.4</w:t>
      </w:r>
      <w:r>
        <w:rPr>
          <w:rStyle w:val="16"/>
          <w:rFonts w:eastAsia="方正楷体简体" w:cs="Times New Roman"/>
        </w:rPr>
        <w:t xml:space="preserve"> 建设重点</w:t>
      </w:r>
      <w:r>
        <w:tab/>
      </w:r>
      <w:r>
        <w:fldChar w:fldCharType="begin"/>
      </w:r>
      <w:r>
        <w:instrText xml:space="preserve"> PAGEREF _Toc49243401 \h </w:instrText>
      </w:r>
      <w:r>
        <w:fldChar w:fldCharType="separate"/>
      </w:r>
      <w:r>
        <w:t>82</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"_Toc49243402" </w:instrText>
      </w:r>
      <w:r>
        <w:fldChar w:fldCharType="separate"/>
      </w:r>
      <w:r>
        <w:rPr>
          <w:rStyle w:val="16"/>
          <w:rFonts w:cs="Times New Roman"/>
        </w:rPr>
        <w:t>第6章 养护、运营与管理</w:t>
      </w:r>
      <w:r>
        <w:tab/>
      </w:r>
      <w:r>
        <w:fldChar w:fldCharType="begin"/>
      </w:r>
      <w:r>
        <w:instrText xml:space="preserve"> PAGEREF _Toc49243402 \h </w:instrText>
      </w:r>
      <w:r>
        <w:fldChar w:fldCharType="separate"/>
      </w:r>
      <w:r>
        <w:t>85</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"_Toc49243403" </w:instrText>
      </w:r>
      <w:r>
        <w:fldChar w:fldCharType="separate"/>
      </w:r>
      <w:r>
        <w:rPr>
          <w:rStyle w:val="16"/>
          <w:rFonts w:cs="Times New Roman"/>
        </w:rPr>
        <w:t>6.1</w:t>
      </w:r>
      <w:r>
        <w:rPr>
          <w:rStyle w:val="16"/>
          <w:rFonts w:eastAsia="方正楷体简体" w:cs="Times New Roman"/>
        </w:rPr>
        <w:t xml:space="preserve"> 农村公路养护</w:t>
      </w:r>
      <w:r>
        <w:tab/>
      </w:r>
      <w:r>
        <w:fldChar w:fldCharType="begin"/>
      </w:r>
      <w:r>
        <w:instrText xml:space="preserve"> PAGEREF _Toc49243403 \h </w:instrText>
      </w:r>
      <w:r>
        <w:fldChar w:fldCharType="separate"/>
      </w:r>
      <w:r>
        <w:t>85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"_Toc49243404" </w:instrText>
      </w:r>
      <w:r>
        <w:fldChar w:fldCharType="separate"/>
      </w:r>
      <w:r>
        <w:rPr>
          <w:rStyle w:val="16"/>
          <w:rFonts w:cs="Times New Roman"/>
        </w:rPr>
        <w:t>6.1.1 突出养护高质量发展</w:t>
      </w:r>
      <w:r>
        <w:tab/>
      </w:r>
      <w:r>
        <w:fldChar w:fldCharType="begin"/>
      </w:r>
      <w:r>
        <w:instrText xml:space="preserve"> PAGEREF _Toc49243404 \h </w:instrText>
      </w:r>
      <w:r>
        <w:fldChar w:fldCharType="separate"/>
      </w:r>
      <w:r>
        <w:t>85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"_Toc49243405" </w:instrText>
      </w:r>
      <w:r>
        <w:fldChar w:fldCharType="separate"/>
      </w:r>
      <w:r>
        <w:rPr>
          <w:rStyle w:val="16"/>
          <w:rFonts w:cs="Times New Roman"/>
        </w:rPr>
        <w:t>6.1.2 突出安全运营</w:t>
      </w:r>
      <w:r>
        <w:tab/>
      </w:r>
      <w:r>
        <w:fldChar w:fldCharType="begin"/>
      </w:r>
      <w:r>
        <w:instrText xml:space="preserve"> PAGEREF _Toc49243405 \h </w:instrText>
      </w:r>
      <w:r>
        <w:fldChar w:fldCharType="separate"/>
      </w:r>
      <w:r>
        <w:t>85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"_Toc49243406" </w:instrText>
      </w:r>
      <w:r>
        <w:fldChar w:fldCharType="separate"/>
      </w:r>
      <w:r>
        <w:rPr>
          <w:rStyle w:val="16"/>
          <w:rFonts w:cs="Times New Roman"/>
        </w:rPr>
        <w:t>6.1.3 突出创新驱动</w:t>
      </w:r>
      <w:r>
        <w:tab/>
      </w:r>
      <w:r>
        <w:fldChar w:fldCharType="begin"/>
      </w:r>
      <w:r>
        <w:instrText xml:space="preserve"> PAGEREF _Toc49243406 \h </w:instrText>
      </w:r>
      <w:r>
        <w:fldChar w:fldCharType="separate"/>
      </w:r>
      <w:r>
        <w:t>86</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"_Toc49243407" </w:instrText>
      </w:r>
      <w:r>
        <w:fldChar w:fldCharType="separate"/>
      </w:r>
      <w:r>
        <w:rPr>
          <w:rStyle w:val="16"/>
          <w:rFonts w:cs="Times New Roman"/>
        </w:rPr>
        <w:t>6.2</w:t>
      </w:r>
      <w:r>
        <w:rPr>
          <w:rStyle w:val="16"/>
          <w:rFonts w:eastAsia="方正楷体简体" w:cs="Times New Roman"/>
        </w:rPr>
        <w:t xml:space="preserve"> 农村公路运营</w:t>
      </w:r>
      <w:r>
        <w:tab/>
      </w:r>
      <w:r>
        <w:fldChar w:fldCharType="begin"/>
      </w:r>
      <w:r>
        <w:instrText xml:space="preserve"> PAGEREF _Toc49243407 \h </w:instrText>
      </w:r>
      <w:r>
        <w:fldChar w:fldCharType="separate"/>
      </w:r>
      <w:r>
        <w:t>86</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"_Toc49243408" </w:instrText>
      </w:r>
      <w:r>
        <w:fldChar w:fldCharType="separate"/>
      </w:r>
      <w:r>
        <w:rPr>
          <w:rStyle w:val="16"/>
          <w:rFonts w:cs="Times New Roman"/>
        </w:rPr>
        <w:t>6.2.1 推进城乡客运一体化</w:t>
      </w:r>
      <w:r>
        <w:tab/>
      </w:r>
      <w:r>
        <w:fldChar w:fldCharType="begin"/>
      </w:r>
      <w:r>
        <w:instrText xml:space="preserve"> PAGEREF _Toc49243408 \h </w:instrText>
      </w:r>
      <w:r>
        <w:fldChar w:fldCharType="separate"/>
      </w:r>
      <w:r>
        <w:t>87</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"_Toc49243409" </w:instrText>
      </w:r>
      <w:r>
        <w:fldChar w:fldCharType="separate"/>
      </w:r>
      <w:r>
        <w:rPr>
          <w:rStyle w:val="16"/>
          <w:rFonts w:cs="Times New Roman"/>
        </w:rPr>
        <w:t>6.2.2 推进农村物流网络化</w:t>
      </w:r>
      <w:r>
        <w:tab/>
      </w:r>
      <w:r>
        <w:fldChar w:fldCharType="begin"/>
      </w:r>
      <w:r>
        <w:instrText xml:space="preserve"> PAGEREF _Toc49243409 \h </w:instrText>
      </w:r>
      <w:r>
        <w:fldChar w:fldCharType="separate"/>
      </w:r>
      <w:r>
        <w:t>87</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"_Toc49243410" </w:instrText>
      </w:r>
      <w:r>
        <w:fldChar w:fldCharType="separate"/>
      </w:r>
      <w:r>
        <w:rPr>
          <w:rStyle w:val="16"/>
          <w:rFonts w:cs="Times New Roman"/>
        </w:rPr>
        <w:t>6.2.3 提升农村交通运输安全性</w:t>
      </w:r>
      <w:r>
        <w:tab/>
      </w:r>
      <w:r>
        <w:fldChar w:fldCharType="begin"/>
      </w:r>
      <w:r>
        <w:instrText xml:space="preserve"> PAGEREF _Toc49243410 \h </w:instrText>
      </w:r>
      <w:r>
        <w:fldChar w:fldCharType="separate"/>
      </w:r>
      <w:r>
        <w:t>88</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"_Toc49243411" </w:instrText>
      </w:r>
      <w:r>
        <w:fldChar w:fldCharType="separate"/>
      </w:r>
      <w:r>
        <w:rPr>
          <w:rStyle w:val="16"/>
          <w:rFonts w:cs="Times New Roman"/>
        </w:rPr>
        <w:t>6.3</w:t>
      </w:r>
      <w:r>
        <w:rPr>
          <w:rStyle w:val="16"/>
          <w:rFonts w:eastAsia="方正楷体简体" w:cs="Times New Roman"/>
        </w:rPr>
        <w:t xml:space="preserve"> 农村公路管理</w:t>
      </w:r>
      <w:r>
        <w:tab/>
      </w:r>
      <w:r>
        <w:fldChar w:fldCharType="begin"/>
      </w:r>
      <w:r>
        <w:instrText xml:space="preserve"> PAGEREF _Toc49243411 \h </w:instrText>
      </w:r>
      <w:r>
        <w:fldChar w:fldCharType="separate"/>
      </w:r>
      <w:r>
        <w:t>88</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"_Toc49243412" </w:instrText>
      </w:r>
      <w:r>
        <w:fldChar w:fldCharType="separate"/>
      </w:r>
      <w:r>
        <w:rPr>
          <w:rStyle w:val="16"/>
          <w:rFonts w:cs="Times New Roman"/>
        </w:rPr>
        <w:t>6.3.1 实施治理现代化工程</w:t>
      </w:r>
      <w:r>
        <w:tab/>
      </w:r>
      <w:r>
        <w:fldChar w:fldCharType="begin"/>
      </w:r>
      <w:r>
        <w:instrText xml:space="preserve"> PAGEREF _Toc49243412 \h </w:instrText>
      </w:r>
      <w:r>
        <w:fldChar w:fldCharType="separate"/>
      </w:r>
      <w:r>
        <w:t>88</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"_Toc49243413" </w:instrText>
      </w:r>
      <w:r>
        <w:fldChar w:fldCharType="separate"/>
      </w:r>
      <w:r>
        <w:rPr>
          <w:rStyle w:val="16"/>
          <w:rFonts w:cs="Times New Roman"/>
        </w:rPr>
        <w:t>6.3.2 实施依法治路工程</w:t>
      </w:r>
      <w:r>
        <w:tab/>
      </w:r>
      <w:r>
        <w:fldChar w:fldCharType="begin"/>
      </w:r>
      <w:r>
        <w:instrText xml:space="preserve"> PAGEREF _Toc49243413 \h </w:instrText>
      </w:r>
      <w:r>
        <w:fldChar w:fldCharType="separate"/>
      </w:r>
      <w:r>
        <w:t>89</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"_Toc49243414" </w:instrText>
      </w:r>
      <w:r>
        <w:fldChar w:fldCharType="separate"/>
      </w:r>
      <w:r>
        <w:rPr>
          <w:rStyle w:val="16"/>
          <w:rFonts w:cs="Times New Roman"/>
        </w:rPr>
        <w:t>6.3.3 实施科技强管工程</w:t>
      </w:r>
      <w:r>
        <w:tab/>
      </w:r>
      <w:r>
        <w:fldChar w:fldCharType="begin"/>
      </w:r>
      <w:r>
        <w:instrText xml:space="preserve"> PAGEREF _Toc49243414 \h </w:instrText>
      </w:r>
      <w:r>
        <w:fldChar w:fldCharType="separate"/>
      </w:r>
      <w:r>
        <w:t>90</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"_Toc49243415" </w:instrText>
      </w:r>
      <w:r>
        <w:fldChar w:fldCharType="separate"/>
      </w:r>
      <w:r>
        <w:rPr>
          <w:rStyle w:val="16"/>
          <w:rFonts w:cs="Times New Roman"/>
        </w:rPr>
        <w:t>6.3.4 实施文明创建工程</w:t>
      </w:r>
      <w:r>
        <w:tab/>
      </w:r>
      <w:r>
        <w:fldChar w:fldCharType="begin"/>
      </w:r>
      <w:r>
        <w:instrText xml:space="preserve"> PAGEREF _Toc49243415 \h </w:instrText>
      </w:r>
      <w:r>
        <w:fldChar w:fldCharType="separate"/>
      </w:r>
      <w:r>
        <w:t>91</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"_Toc49243416" </w:instrText>
      </w:r>
      <w:r>
        <w:fldChar w:fldCharType="separate"/>
      </w:r>
      <w:r>
        <w:rPr>
          <w:rStyle w:val="16"/>
          <w:rFonts w:cs="Times New Roman"/>
        </w:rPr>
        <w:t>第7章 效果分析</w:t>
      </w:r>
      <w:r>
        <w:tab/>
      </w:r>
      <w:r>
        <w:fldChar w:fldCharType="begin"/>
      </w:r>
      <w:r>
        <w:instrText xml:space="preserve"> PAGEREF _Toc49243416 \h </w:instrText>
      </w:r>
      <w:r>
        <w:fldChar w:fldCharType="separate"/>
      </w:r>
      <w:r>
        <w:t>92</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"_Toc49243417" </w:instrText>
      </w:r>
      <w:r>
        <w:fldChar w:fldCharType="separate"/>
      </w:r>
      <w:r>
        <w:rPr>
          <w:rStyle w:val="16"/>
          <w:rFonts w:cs="Times New Roman"/>
        </w:rPr>
        <w:t>7.1</w:t>
      </w:r>
      <w:r>
        <w:rPr>
          <w:rStyle w:val="16"/>
          <w:rFonts w:eastAsia="方正楷体简体" w:cs="Times New Roman"/>
        </w:rPr>
        <w:t xml:space="preserve"> 路网技术分析</w:t>
      </w:r>
      <w:r>
        <w:tab/>
      </w:r>
      <w:r>
        <w:fldChar w:fldCharType="begin"/>
      </w:r>
      <w:r>
        <w:instrText xml:space="preserve"> PAGEREF _Toc49243417 \h </w:instrText>
      </w:r>
      <w:r>
        <w:fldChar w:fldCharType="separate"/>
      </w:r>
      <w:r>
        <w:t>92</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"_Toc49243418" </w:instrText>
      </w:r>
      <w:r>
        <w:fldChar w:fldCharType="separate"/>
      </w:r>
      <w:r>
        <w:rPr>
          <w:rStyle w:val="16"/>
          <w:rFonts w:cs="Times New Roman"/>
        </w:rPr>
        <w:t>7.2</w:t>
      </w:r>
      <w:r>
        <w:rPr>
          <w:rStyle w:val="16"/>
          <w:rFonts w:eastAsia="方正楷体简体" w:cs="Times New Roman"/>
        </w:rPr>
        <w:t xml:space="preserve"> 经济社会效益分析</w:t>
      </w:r>
      <w:r>
        <w:tab/>
      </w:r>
      <w:r>
        <w:fldChar w:fldCharType="begin"/>
      </w:r>
      <w:r>
        <w:instrText xml:space="preserve"> PAGEREF _Toc49243418 \h </w:instrText>
      </w:r>
      <w:r>
        <w:fldChar w:fldCharType="separate"/>
      </w:r>
      <w:r>
        <w:t>95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"_Toc49243419" </w:instrText>
      </w:r>
      <w:r>
        <w:fldChar w:fldCharType="separate"/>
      </w:r>
      <w:r>
        <w:rPr>
          <w:rStyle w:val="16"/>
          <w:rFonts w:cs="Times New Roman"/>
        </w:rPr>
        <w:t>7.2.1 经济评价</w:t>
      </w:r>
      <w:r>
        <w:tab/>
      </w:r>
      <w:r>
        <w:fldChar w:fldCharType="begin"/>
      </w:r>
      <w:r>
        <w:instrText xml:space="preserve"> PAGEREF _Toc49243419 \h </w:instrText>
      </w:r>
      <w:r>
        <w:fldChar w:fldCharType="separate"/>
      </w:r>
      <w:r>
        <w:t>95</w:t>
      </w:r>
      <w:r>
        <w:fldChar w:fldCharType="end"/>
      </w:r>
      <w:r>
        <w:fldChar w:fldCharType="end"/>
      </w:r>
    </w:p>
    <w:p>
      <w:pPr>
        <w:pStyle w:val="7"/>
        <w:tabs>
          <w:tab w:val="right" w:leader="dot" w:pos="8834"/>
        </w:tabs>
        <w:ind w:left="1280" w:firstLine="640"/>
        <w:rPr>
          <w:rFonts w:asciiTheme="minorHAnsi" w:hAnsiTheme="minorHAnsi" w:eastAsiaTheme="minorEastAsia"/>
          <w:sz w:val="21"/>
        </w:rPr>
      </w:pPr>
      <w:r>
        <w:fldChar w:fldCharType="begin"/>
      </w:r>
      <w:r>
        <w:instrText xml:space="preserve"> HYPERLINK \l "_Toc49243420" </w:instrText>
      </w:r>
      <w:r>
        <w:fldChar w:fldCharType="separate"/>
      </w:r>
      <w:r>
        <w:rPr>
          <w:rStyle w:val="16"/>
          <w:rFonts w:cs="Times New Roman"/>
        </w:rPr>
        <w:t>7.2.2 社会评价</w:t>
      </w:r>
      <w:r>
        <w:tab/>
      </w:r>
      <w:r>
        <w:fldChar w:fldCharType="begin"/>
      </w:r>
      <w:r>
        <w:instrText xml:space="preserve"> PAGEREF _Toc49243420 \h </w:instrText>
      </w:r>
      <w:r>
        <w:fldChar w:fldCharType="separate"/>
      </w:r>
      <w:r>
        <w:t>97</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"_Toc49243421" </w:instrText>
      </w:r>
      <w:r>
        <w:fldChar w:fldCharType="separate"/>
      </w:r>
      <w:r>
        <w:rPr>
          <w:rStyle w:val="16"/>
          <w:rFonts w:cs="Times New Roman"/>
        </w:rPr>
        <w:t>第8章 实施安排</w:t>
      </w:r>
      <w:r>
        <w:tab/>
      </w:r>
      <w:r>
        <w:fldChar w:fldCharType="begin"/>
      </w:r>
      <w:r>
        <w:instrText xml:space="preserve"> PAGEREF _Toc49243421 \h </w:instrText>
      </w:r>
      <w:r>
        <w:fldChar w:fldCharType="separate"/>
      </w:r>
      <w:r>
        <w:t>103</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"_Toc49243422" </w:instrText>
      </w:r>
      <w:r>
        <w:fldChar w:fldCharType="separate"/>
      </w:r>
      <w:r>
        <w:rPr>
          <w:rStyle w:val="16"/>
          <w:rFonts w:cs="Times New Roman"/>
        </w:rPr>
        <w:t>8.1</w:t>
      </w:r>
      <w:r>
        <w:rPr>
          <w:rStyle w:val="16"/>
          <w:rFonts w:eastAsia="方正楷体简体" w:cs="Times New Roman"/>
        </w:rPr>
        <w:t xml:space="preserve"> 规划方案</w:t>
      </w:r>
      <w:r>
        <w:tab/>
      </w:r>
      <w:r>
        <w:fldChar w:fldCharType="begin"/>
      </w:r>
      <w:r>
        <w:instrText xml:space="preserve"> PAGEREF _Toc49243422 \h </w:instrText>
      </w:r>
      <w:r>
        <w:fldChar w:fldCharType="separate"/>
      </w:r>
      <w:r>
        <w:t>103</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"_Toc49243423" </w:instrText>
      </w:r>
      <w:r>
        <w:fldChar w:fldCharType="separate"/>
      </w:r>
      <w:r>
        <w:rPr>
          <w:rStyle w:val="16"/>
          <w:rFonts w:cs="Times New Roman"/>
        </w:rPr>
        <w:t>8.2</w:t>
      </w:r>
      <w:r>
        <w:rPr>
          <w:rStyle w:val="16"/>
          <w:rFonts w:eastAsia="方正楷体简体" w:cs="Times New Roman"/>
        </w:rPr>
        <w:t xml:space="preserve"> 用地规模</w:t>
      </w:r>
      <w:r>
        <w:tab/>
      </w:r>
      <w:r>
        <w:fldChar w:fldCharType="begin"/>
      </w:r>
      <w:r>
        <w:instrText xml:space="preserve"> PAGEREF _Toc49243423 \h </w:instrText>
      </w:r>
      <w:r>
        <w:fldChar w:fldCharType="separate"/>
      </w:r>
      <w:r>
        <w:t>104</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"_Toc49243424" </w:instrText>
      </w:r>
      <w:r>
        <w:fldChar w:fldCharType="separate"/>
      </w:r>
      <w:r>
        <w:rPr>
          <w:rStyle w:val="16"/>
          <w:rFonts w:cs="Times New Roman"/>
        </w:rPr>
        <w:t>8.3</w:t>
      </w:r>
      <w:r>
        <w:rPr>
          <w:rStyle w:val="16"/>
          <w:rFonts w:eastAsia="方正楷体简体" w:cs="Times New Roman"/>
        </w:rPr>
        <w:t xml:space="preserve"> 资金需求</w:t>
      </w:r>
      <w:r>
        <w:tab/>
      </w:r>
      <w:r>
        <w:fldChar w:fldCharType="begin"/>
      </w:r>
      <w:r>
        <w:instrText xml:space="preserve"> PAGEREF _Toc49243424 \h </w:instrText>
      </w:r>
      <w:r>
        <w:fldChar w:fldCharType="separate"/>
      </w:r>
      <w:r>
        <w:t>104</w:t>
      </w:r>
      <w:r>
        <w:fldChar w:fldCharType="end"/>
      </w:r>
      <w:r>
        <w:fldChar w:fldCharType="end"/>
      </w:r>
    </w:p>
    <w:p>
      <w:pPr>
        <w:pStyle w:val="11"/>
        <w:rPr>
          <w:rFonts w:asciiTheme="minorHAnsi" w:hAnsiTheme="minorHAnsi" w:eastAsiaTheme="minorEastAsia"/>
          <w:sz w:val="21"/>
        </w:rPr>
      </w:pPr>
      <w:r>
        <w:fldChar w:fldCharType="begin"/>
      </w:r>
      <w:r>
        <w:instrText xml:space="preserve"> HYPERLINK \l "_Toc49243425" </w:instrText>
      </w:r>
      <w:r>
        <w:fldChar w:fldCharType="separate"/>
      </w:r>
      <w:r>
        <w:rPr>
          <w:rStyle w:val="16"/>
          <w:rFonts w:cs="Times New Roman"/>
        </w:rPr>
        <w:t>第9章 保障措施</w:t>
      </w:r>
      <w:r>
        <w:tab/>
      </w:r>
      <w:r>
        <w:fldChar w:fldCharType="begin"/>
      </w:r>
      <w:r>
        <w:instrText xml:space="preserve"> PAGEREF _Toc49243425 \h </w:instrText>
      </w:r>
      <w:r>
        <w:fldChar w:fldCharType="separate"/>
      </w:r>
      <w:r>
        <w:t>106</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"_Toc49243426" </w:instrText>
      </w:r>
      <w:r>
        <w:fldChar w:fldCharType="separate"/>
      </w:r>
      <w:r>
        <w:rPr>
          <w:rStyle w:val="16"/>
        </w:rPr>
        <w:t>9.1 强化组织保障</w:t>
      </w:r>
      <w:r>
        <w:tab/>
      </w:r>
      <w:r>
        <w:fldChar w:fldCharType="begin"/>
      </w:r>
      <w:r>
        <w:instrText xml:space="preserve"> PAGEREF _Toc49243426 \h </w:instrText>
      </w:r>
      <w:r>
        <w:fldChar w:fldCharType="separate"/>
      </w:r>
      <w:r>
        <w:t>106</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"_Toc49243427" </w:instrText>
      </w:r>
      <w:r>
        <w:fldChar w:fldCharType="separate"/>
      </w:r>
      <w:r>
        <w:rPr>
          <w:rStyle w:val="16"/>
        </w:rPr>
        <w:t>9.2 资金、土地保障</w:t>
      </w:r>
      <w:r>
        <w:tab/>
      </w:r>
      <w:r>
        <w:fldChar w:fldCharType="begin"/>
      </w:r>
      <w:r>
        <w:instrText xml:space="preserve"> PAGEREF _Toc49243427 \h </w:instrText>
      </w:r>
      <w:r>
        <w:fldChar w:fldCharType="separate"/>
      </w:r>
      <w:r>
        <w:t>107</w:t>
      </w:r>
      <w:r>
        <w:fldChar w:fldCharType="end"/>
      </w:r>
      <w:r>
        <w:fldChar w:fldCharType="end"/>
      </w:r>
    </w:p>
    <w:p>
      <w:pPr>
        <w:pStyle w:val="12"/>
        <w:tabs>
          <w:tab w:val="right" w:leader="dot" w:pos="8834"/>
        </w:tabs>
        <w:ind w:left="640" w:firstLine="640"/>
        <w:rPr>
          <w:rFonts w:asciiTheme="minorHAnsi" w:hAnsiTheme="minorHAnsi" w:eastAsiaTheme="minorEastAsia"/>
          <w:sz w:val="21"/>
        </w:rPr>
      </w:pPr>
      <w:r>
        <w:fldChar w:fldCharType="begin"/>
      </w:r>
      <w:r>
        <w:instrText xml:space="preserve"> HYPERLINK \l "_Toc49243428" </w:instrText>
      </w:r>
      <w:r>
        <w:fldChar w:fldCharType="separate"/>
      </w:r>
      <w:r>
        <w:rPr>
          <w:rStyle w:val="16"/>
        </w:rPr>
        <w:t>9.3 建立“建管养运”长效机制</w:t>
      </w:r>
      <w:r>
        <w:tab/>
      </w:r>
      <w:r>
        <w:fldChar w:fldCharType="begin"/>
      </w:r>
      <w:r>
        <w:instrText xml:space="preserve"> PAGEREF _Toc49243428 \h </w:instrText>
      </w:r>
      <w:r>
        <w:fldChar w:fldCharType="separate"/>
      </w:r>
      <w:r>
        <w:t>111</w:t>
      </w:r>
      <w:r>
        <w:fldChar w:fldCharType="end"/>
      </w:r>
      <w:r>
        <w:fldChar w:fldCharType="end"/>
      </w:r>
    </w:p>
    <w:p>
      <w:pPr>
        <w:ind w:firstLine="0" w:firstLineChars="0"/>
        <w:rPr>
          <w:rFonts w:cs="Times New Roman"/>
        </w:rPr>
      </w:pPr>
      <w:r>
        <w:rPr>
          <w:rFonts w:cs="Times New Roman"/>
        </w:rPr>
        <w:fldChar w:fldCharType="end"/>
      </w:r>
    </w:p>
    <w:p>
      <w:pPr>
        <w:ind w:firstLine="640"/>
        <w:rPr>
          <w:rFonts w:cs="Times New Roman"/>
        </w:rPr>
        <w:sectPr>
          <w:headerReference r:id="rId11" w:type="default"/>
          <w:footerReference r:id="rId12" w:type="default"/>
          <w:pgSz w:w="11906" w:h="16838"/>
          <w:pgMar w:top="1701" w:right="1531" w:bottom="1531" w:left="1531" w:header="851" w:footer="992" w:gutter="0"/>
          <w:cols w:space="425" w:num="1"/>
          <w:docGrid w:type="lines" w:linePitch="312" w:charSpace="0"/>
        </w:sectPr>
      </w:pPr>
    </w:p>
    <w:p>
      <w:pPr>
        <w:pStyle w:val="2"/>
        <w:spacing w:before="156" w:after="156"/>
        <w:ind w:left="1134"/>
        <w:rPr>
          <w:rFonts w:cs="Times New Roman"/>
        </w:rPr>
      </w:pPr>
      <w:bookmarkStart w:id="0" w:name="_Toc49243358"/>
      <w:bookmarkStart w:id="1" w:name="_Toc49243284"/>
      <w:r>
        <w:rPr>
          <w:rFonts w:cs="Times New Roman"/>
        </w:rPr>
        <w:t>概述</w:t>
      </w:r>
      <w:bookmarkEnd w:id="0"/>
      <w:bookmarkEnd w:id="1"/>
    </w:p>
    <w:p>
      <w:pPr>
        <w:pStyle w:val="3"/>
        <w:ind w:firstLine="640"/>
        <w:rPr>
          <w:rFonts w:cs="Times New Roman"/>
        </w:rPr>
      </w:pPr>
      <w:bookmarkStart w:id="2" w:name="_Toc49243285"/>
      <w:bookmarkStart w:id="3" w:name="_Toc49243359"/>
      <w:r>
        <w:rPr>
          <w:rFonts w:cs="Times New Roman"/>
        </w:rPr>
        <w:t>规划背景</w:t>
      </w:r>
      <w:bookmarkEnd w:id="2"/>
      <w:bookmarkEnd w:id="3"/>
    </w:p>
    <w:p>
      <w:pPr>
        <w:pStyle w:val="4"/>
        <w:ind w:firstLine="602"/>
        <w:rPr>
          <w:rFonts w:cs="Times New Roman"/>
        </w:rPr>
      </w:pPr>
      <w:bookmarkStart w:id="4" w:name="_Toc49243360"/>
      <w:bookmarkStart w:id="5" w:name="_Toc49243286"/>
      <w:r>
        <w:rPr>
          <w:rFonts w:cs="Times New Roman"/>
        </w:rPr>
        <w:t>规划背景</w:t>
      </w:r>
      <w:bookmarkEnd w:id="4"/>
      <w:bookmarkEnd w:id="5"/>
    </w:p>
    <w:p>
      <w:pPr>
        <w:ind w:firstLine="640"/>
        <w:rPr>
          <w:rFonts w:cs="Times New Roman"/>
        </w:rPr>
      </w:pPr>
      <w:r>
        <w:rPr>
          <w:rFonts w:cs="Times New Roman"/>
        </w:rPr>
        <w:t>农村公路“十四五”发展规划是贯彻落实习近平总书记关于“四好农村路”建设重要指示精神、落实《交通强国建设纲要》、构建覆盖农村交通基础设施网，不断满足人民群众日益增长美好出行需要的纲领性文件。</w:t>
      </w:r>
    </w:p>
    <w:p>
      <w:pPr>
        <w:ind w:firstLine="640"/>
        <w:rPr>
          <w:rFonts w:cs="Times New Roman"/>
        </w:rPr>
      </w:pPr>
      <w:r>
        <w:rPr>
          <w:rFonts w:cs="Times New Roman"/>
        </w:rPr>
        <w:t>农村公路是保障农民群众生产生活的基本条件，是农业和农村发展的先导性、基础性设施，是社会主义新农村建设的重要支撑。2003年，交通运输部根据中央“三农”工作的部署要求，提出了“修好农村路，服务城镇化，让农民走上油路和水泥路”的建设目标。2013年，按照党的十八大全面建成小康社会的战略部署，交通运输部进一步提出了“小康路上绝不让任何一个地方因农村交通而掉队”的新目标。</w:t>
      </w:r>
    </w:p>
    <w:p>
      <w:pPr>
        <w:ind w:firstLine="640"/>
        <w:rPr>
          <w:rFonts w:cs="Times New Roman"/>
        </w:rPr>
      </w:pPr>
      <w:r>
        <w:rPr>
          <w:rFonts w:cs="Times New Roman"/>
        </w:rPr>
        <w:t>2017年，习近平总书记对“四好农村路”建设作出重要指示。他强调，近年来，“四好农村路”建设取得了实实在在的成效，为农村特别是贫困地区带去了人气、财气，也为党在基层凝聚了民心。交通运输部等有关部门和各地区要认真贯彻落实党的十九大精神，从实施乡村振兴战略、打赢脱贫攻坚战的高度，进一步深化对建设农村公路重要意义的认识，聚焦突出问题，完善政策机制，既要把农村公路建好，更要管好、护好、运营好，为广大农民致富奔小康、为加快推进农业农村现代化提供更好保障。</w:t>
      </w:r>
    </w:p>
    <w:p>
      <w:pPr>
        <w:ind w:firstLine="0" w:firstLineChars="0"/>
        <w:jc w:val="center"/>
        <w:rPr>
          <w:rFonts w:cs="Times New Roman"/>
        </w:rPr>
      </w:pPr>
      <w:r>
        <w:rPr>
          <w:rFonts w:cs="Times New Roman"/>
        </w:rPr>
        <w:drawing>
          <wp:inline distT="0" distB="0" distL="0" distR="0">
            <wp:extent cx="4312920" cy="3076575"/>
            <wp:effectExtent l="0" t="0" r="0" b="0"/>
            <wp:docPr id="26" name="图片 26" descr="F:\规划\阳城十四五规划\我的文本\图片\e850352ac65c10386587d205b0119313b17e8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规划\阳城十四五规划\我的文本\图片\e850352ac65c10386587d205b0119313b17e897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26830" cy="3086373"/>
                    </a:xfrm>
                    <a:prstGeom prst="rect">
                      <a:avLst/>
                    </a:prstGeom>
                    <a:noFill/>
                    <a:ln>
                      <a:noFill/>
                    </a:ln>
                  </pic:spPr>
                </pic:pic>
              </a:graphicData>
            </a:graphic>
          </wp:inline>
        </w:drawing>
      </w:r>
    </w:p>
    <w:p>
      <w:pPr>
        <w:ind w:firstLine="0" w:firstLineChars="0"/>
        <w:jc w:val="center"/>
        <w:rPr>
          <w:rFonts w:cs="Times New Roman"/>
          <w:sz w:val="28"/>
        </w:rPr>
      </w:pPr>
      <w:r>
        <w:rPr>
          <w:rFonts w:cs="Times New Roman"/>
          <w:sz w:val="28"/>
        </w:rPr>
        <w:t xml:space="preserve">图1-1 </w:t>
      </w:r>
      <w:r>
        <w:rPr>
          <w:rFonts w:hint="eastAsia" w:cs="Times New Roman"/>
          <w:sz w:val="28"/>
        </w:rPr>
        <w:t>皇城相府</w:t>
      </w:r>
      <w:r>
        <w:rPr>
          <w:rFonts w:cs="Times New Roman"/>
          <w:sz w:val="28"/>
        </w:rPr>
        <w:t>景区</w:t>
      </w:r>
    </w:p>
    <w:p>
      <w:pPr>
        <w:ind w:firstLine="640"/>
        <w:rPr>
          <w:rFonts w:cs="Times New Roman"/>
        </w:rPr>
      </w:pPr>
      <w:r>
        <w:rPr>
          <w:rFonts w:cs="Times New Roman"/>
        </w:rPr>
        <w:t>2019年，中共中央、国务院印发了《交通强国建设纲要》，并发出通知，要求各地区各部门结合实际认真贯彻落实。《纲要》指出，要形成广覆盖的农村交通基础设施网。全面推进“四好农村路”建设，加快实施通村组硬化路建设，建立规范化可持续管护机制。促进交通建设与农村地区资源开发、产业发展有机融合，加强特色农产品优势区与旅游资源富集区交通建设。大力推进革命老区、民族地区、边疆地区、贫困地区、垦区林区交通发展，实现以交通便利带动脱贫减贫，深度贫困地区交通建设项目尽量向进村入户倾斜。推动资源丰富和人口相对密集贫困地区开发性铁路建设，在有条件的地区推进具备旅游、农业作业、应急救援等功能的通用机场建设，加强农村邮政等基础设施建设。</w:t>
      </w:r>
    </w:p>
    <w:p>
      <w:pPr>
        <w:ind w:firstLine="640"/>
        <w:rPr>
          <w:rFonts w:cs="Times New Roman"/>
        </w:rPr>
      </w:pPr>
      <w:r>
        <w:rPr>
          <w:rFonts w:cs="Times New Roman"/>
        </w:rPr>
        <w:t>2020年3月，山西省交通运输厅为了指导市、县（市、区）科学编制农村公路“十四五”发展规划，提出符合中央“三农”工作要求和我省实际的农村公路网布局、发展目标、重点任务，推动农村公路高质量发展，有效支撑农村经济社会发展和乡村振兴的指导意见。根据《交通强国建设纲要》提出的“到本世纪中叶全面建成交通强国、到2035年基本建成交通强国”的目标要求，立足我省农村经济社会发展的阶段性特征，合理确定本地区农村公路“十四五”发展目标。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pPr>
        <w:ind w:firstLine="640"/>
        <w:rPr>
          <w:rFonts w:cs="Times New Roman"/>
        </w:rPr>
      </w:pPr>
      <w:r>
        <w:rPr>
          <w:rFonts w:hint="eastAsia" w:cs="Times New Roman"/>
        </w:rPr>
        <w:t>2</w:t>
      </w:r>
      <w:r>
        <w:rPr>
          <w:rFonts w:cs="Times New Roman"/>
        </w:rPr>
        <w:t>020</w:t>
      </w:r>
      <w:r>
        <w:rPr>
          <w:rFonts w:hint="eastAsia" w:cs="Times New Roman"/>
        </w:rPr>
        <w:t>年1</w:t>
      </w:r>
      <w:r>
        <w:rPr>
          <w:rFonts w:cs="Times New Roman"/>
        </w:rPr>
        <w:t>2</w:t>
      </w:r>
      <w:r>
        <w:rPr>
          <w:rFonts w:hint="eastAsia" w:cs="Times New Roman"/>
        </w:rPr>
        <w:t>月，山西省人民政府印发</w:t>
      </w:r>
      <w:r>
        <w:rPr>
          <w:rFonts w:cs="Times New Roman"/>
        </w:rPr>
        <w:t>《</w:t>
      </w:r>
      <w:r>
        <w:rPr>
          <w:rFonts w:hint="eastAsia" w:cs="Times New Roman"/>
        </w:rPr>
        <w:t>山西省推进交通强国建设行动计划（2</w:t>
      </w:r>
      <w:r>
        <w:rPr>
          <w:rFonts w:cs="Times New Roman"/>
        </w:rPr>
        <w:t>021-2022</w:t>
      </w:r>
      <w:r>
        <w:rPr>
          <w:rFonts w:hint="eastAsia" w:cs="Times New Roman"/>
        </w:rPr>
        <w:t>年）</w:t>
      </w:r>
      <w:r>
        <w:rPr>
          <w:rFonts w:cs="Times New Roman"/>
        </w:rPr>
        <w:t>》</w:t>
      </w:r>
      <w:r>
        <w:rPr>
          <w:rFonts w:hint="eastAsia" w:cs="Times New Roman"/>
        </w:rPr>
        <w:t>，强调按照“整体推进、重点突破、规划引领、项目为王”的原则，在综合立体交通网建设、交通运输一体化、智慧平安绿色交通建设、行业治理等领域取得新的突破，实现我省交通强国建设良好开局，为实现“十四五”交通强国建设目标打下坚实基础。建议指出建设主要目标为：综合立体交通网覆盖面进一步扩大，运输服务一体化发展格局初步形成，智慧、平安、绿色交通体系较快构建，行业治理能力进一步提高，交通强国建设试点取得阶段性成果。意见强调“四好”农村公路建设围绕服务脱贫攻坚和乡村振兴，实施农村公路联网畅通工程，推进乡镇通三级及以上公路、建制村通双车道公路及人口较大规模自然村通硬化路工程，建设一批资源路、产业路。继续推动交旅融合发展，基本实现主体区“城景通、景景通”。突出地域特色、文化价值和旅游需求，建设一批旅游风景区、绿道、公路驿站、乡村驿站、观景台，完善信息系统，提升旅游公路综合服务功能。</w:t>
      </w:r>
    </w:p>
    <w:p>
      <w:pPr>
        <w:pStyle w:val="4"/>
        <w:ind w:firstLine="602" w:firstLineChars="200"/>
        <w:rPr>
          <w:rFonts w:cs="Times New Roman"/>
        </w:rPr>
      </w:pPr>
      <w:bookmarkStart w:id="6" w:name="_Toc49243287"/>
      <w:bookmarkStart w:id="7" w:name="_Toc49243361"/>
      <w:r>
        <w:rPr>
          <w:rFonts w:cs="Times New Roman"/>
        </w:rPr>
        <w:t>规划目标</w:t>
      </w:r>
      <w:bookmarkEnd w:id="6"/>
      <w:bookmarkEnd w:id="7"/>
    </w:p>
    <w:p>
      <w:pPr>
        <w:ind w:firstLine="640"/>
        <w:rPr>
          <w:rFonts w:cs="Times New Roman"/>
        </w:rPr>
      </w:pPr>
      <w:r>
        <w:rPr>
          <w:rFonts w:cs="Times New Roman"/>
        </w:rPr>
        <w:t>“</w:t>
      </w:r>
      <w:r>
        <w:rPr>
          <w:rFonts w:hint="eastAsia" w:cs="Times New Roman"/>
          <w:lang w:eastAsia="zh-CN"/>
        </w:rPr>
        <w:t>“十三五”</w:t>
      </w:r>
      <w:r>
        <w:rPr>
          <w:rFonts w:cs="Times New Roman"/>
        </w:rPr>
        <w:t>”以来，在</w:t>
      </w:r>
      <w:r>
        <w:rPr>
          <w:rFonts w:hint="eastAsia" w:cs="Times New Roman"/>
        </w:rPr>
        <w:t>晋城</w:t>
      </w:r>
      <w:r>
        <w:rPr>
          <w:rFonts w:cs="Times New Roman"/>
        </w:rPr>
        <w:t>市委、市政府与</w:t>
      </w:r>
      <w:r>
        <w:rPr>
          <w:rFonts w:hint="eastAsia" w:cs="Times New Roman"/>
        </w:rPr>
        <w:t>阳城县</w:t>
      </w:r>
      <w:r>
        <w:rPr>
          <w:rFonts w:cs="Times New Roman"/>
        </w:rPr>
        <w:t>县委、县政府的正确领导下，在省交通运输厅的大力支持下，</w:t>
      </w:r>
      <w:r>
        <w:rPr>
          <w:rFonts w:hint="eastAsia" w:cs="Times New Roman"/>
        </w:rPr>
        <w:t>阳城县</w:t>
      </w:r>
      <w:r>
        <w:rPr>
          <w:rFonts w:cs="Times New Roman"/>
        </w:rPr>
        <w:t>交通基础设施建设进入了全面、深入实施的时期，围绕转型发展，创新筹资融资，立足惠民便民，实施脱贫攻坚，大力推进农村公路建设，路网结构进一步优化，通达通行水平明显提高。</w:t>
      </w:r>
    </w:p>
    <w:p>
      <w:pPr>
        <w:ind w:firstLine="640"/>
        <w:rPr>
          <w:rFonts w:cs="Times New Roman"/>
        </w:rPr>
      </w:pPr>
      <w:r>
        <w:rPr>
          <w:rFonts w:cs="Times New Roman"/>
        </w:rPr>
        <w:t>“十四五”期间，以习近平新时代中国特色社会主义思想为指导，全面贯彻落实党的十九大精神，按照稳中求进工作总基调和高质量发展要求，坚持把深化供改和综改结合起来，围绕省“三个目标、六大理念、五条路子”的要求，立足当前综合运输体系构建、公共交通服务、交通产业融合等核心矛盾补短板，放眼长远行业科学治理、低碳可持续发展等主要挑战提升，坚持问题导向、目标导向，提高规划的针对性、系统性、创新性和科学性，为“十四五”山西交通运输发展明确方向、制定目标、设计路径，为转型发展提供强有力的交通保障。继续完善“九横五纵”公路网建设，实现市到县通高速，打通高速出境路；加快国省干线公路升等改造及运煤出口通道建设步伐，提高运营的安全性和通行能力；强力推进农村公路通畅工程建设，完成县乡公路提升改造。实现国省干线公路网络化、市县连接高速化、县乡公路等级化、乡村道路通畅化。</w:t>
      </w:r>
    </w:p>
    <w:p>
      <w:pPr>
        <w:ind w:firstLine="640"/>
        <w:rPr>
          <w:rFonts w:cs="Times New Roman"/>
        </w:rPr>
      </w:pPr>
      <w:r>
        <w:rPr>
          <w:rFonts w:cs="Times New Roman"/>
        </w:rPr>
        <w:t>按照《交通强国建设纲要》提出的“到本世纪中叶全面建成交通强国、到2035年基本建成交通强国”的目标要求，立足我省农村经济社会发展的阶段性特征，合理确定本地区农村公路“十四五”发展目标。</w:t>
      </w:r>
    </w:p>
    <w:p>
      <w:pPr>
        <w:ind w:firstLine="640"/>
        <w:rPr>
          <w:rFonts w:cs="Times New Roman"/>
        </w:rPr>
      </w:pPr>
      <w:r>
        <w:rPr>
          <w:rFonts w:cs="Times New Roman"/>
        </w:rPr>
        <w:t>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pPr>
        <w:ind w:firstLine="640"/>
        <w:rPr>
          <w:rFonts w:cs="Times New Roman"/>
        </w:rPr>
      </w:pPr>
      <w:r>
        <w:rPr>
          <w:rFonts w:cs="Times New Roman"/>
        </w:rPr>
        <w:t>发展农村公路，是加快推进</w:t>
      </w:r>
      <w:r>
        <w:rPr>
          <w:rFonts w:hint="eastAsia" w:cs="Times New Roman"/>
          <w:lang w:eastAsia="zh-CN"/>
        </w:rPr>
        <w:t>全面建成小康社会</w:t>
      </w:r>
      <w:r>
        <w:rPr>
          <w:rFonts w:cs="Times New Roman"/>
        </w:rPr>
        <w:t>的客观需要。实现</w:t>
      </w:r>
      <w:r>
        <w:rPr>
          <w:rFonts w:hint="eastAsia" w:cs="Times New Roman"/>
          <w:lang w:eastAsia="zh-CN"/>
        </w:rPr>
        <w:t>全面建成小康社会</w:t>
      </w:r>
      <w:r>
        <w:rPr>
          <w:rFonts w:cs="Times New Roman"/>
        </w:rPr>
        <w:t xml:space="preserve">的宏伟目标，最繁重和最艰巨的任务在农村。在广大农村地区，生产运输和生活出行主要依赖于公路交通。加快农村公路建设，就是更好的完善农村生产和生活的基础设施条件，全面推进农村小康建设。 </w:t>
      </w:r>
    </w:p>
    <w:p>
      <w:pPr>
        <w:pStyle w:val="4"/>
        <w:ind w:firstLine="602" w:firstLineChars="200"/>
        <w:rPr>
          <w:rFonts w:cs="Times New Roman"/>
        </w:rPr>
      </w:pPr>
      <w:bookmarkStart w:id="8" w:name="_Toc49243362"/>
      <w:bookmarkStart w:id="9" w:name="_Toc49243288"/>
      <w:r>
        <w:rPr>
          <w:rFonts w:cs="Times New Roman"/>
        </w:rPr>
        <w:t>规划意义</w:t>
      </w:r>
      <w:bookmarkEnd w:id="8"/>
      <w:bookmarkEnd w:id="9"/>
    </w:p>
    <w:p>
      <w:pPr>
        <w:ind w:firstLine="640"/>
        <w:rPr>
          <w:rFonts w:cs="Times New Roman"/>
        </w:rPr>
      </w:pPr>
      <w:r>
        <w:rPr>
          <w:rFonts w:hint="eastAsia" w:cs="Times New Roman"/>
        </w:rPr>
        <w:t>阳城县</w:t>
      </w:r>
      <w:r>
        <w:rPr>
          <w:rFonts w:cs="Times New Roman"/>
        </w:rPr>
        <w:t>政府将加快推进农村公路“十四五”建设，一方面，农村公路是区域干线道路的补充与扩大，是区域干线道路的纵向延伸，它将干线公路未能到达的广大城镇与乡村联系起来，满足广大农村人口的基本出行需求，同时又起到完成国、省干线上的交通集散的作用；另一方面，农村公路作为公路网的重要组成部分，是农村生产生活、农村经济社会发展的基础，对社会主义新农村建设的有重要的战略意义。因此，基于农村公路网的特点和重要性，着力开展农村公路网规划，对于完善区域公路网络结构和促进区域经济发展具有十分重要的意义。</w:t>
      </w:r>
    </w:p>
    <w:p>
      <w:pPr>
        <w:ind w:firstLine="640"/>
        <w:rPr>
          <w:rFonts w:cs="Times New Roman"/>
        </w:rPr>
      </w:pPr>
      <w:r>
        <w:rPr>
          <w:rFonts w:cs="Times New Roman"/>
        </w:rPr>
        <w:t>从区域发展联系、县域自身发展等方面综</w:t>
      </w:r>
      <w:r>
        <w:rPr>
          <w:rFonts w:hint="eastAsia" w:cs="Times New Roman"/>
          <w:lang w:eastAsia="zh-CN"/>
        </w:rPr>
        <w:t>合</w:t>
      </w:r>
      <w:r>
        <w:rPr>
          <w:rFonts w:cs="Times New Roman"/>
        </w:rPr>
        <w:t>考虑阳城县的社会经济发展形势，现有公路网规划不能适应阳城县国民经济与社会发展的需要。与此同时，农村公路作为公路网的重要组成部分，是保障农村社会经济发展最重要的基础设施之一，也是社会主义新农村建设的重要支撑。因此，开展</w:t>
      </w:r>
      <w:r>
        <w:rPr>
          <w:rFonts w:hint="eastAsia" w:cs="Times New Roman"/>
        </w:rPr>
        <w:t>农村公路“十四五”发展规划</w:t>
      </w:r>
      <w:r>
        <w:rPr>
          <w:rFonts w:cs="Times New Roman"/>
        </w:rPr>
        <w:t>不仅是交通发展的客观要求，而且对农村经济社会发展乃至发挥阳城县在整个区域的主导作用和服务性功能具有重要的推动作用。</w:t>
      </w:r>
    </w:p>
    <w:p>
      <w:pPr>
        <w:ind w:firstLine="640"/>
        <w:rPr>
          <w:rFonts w:cs="Times New Roman"/>
        </w:rPr>
      </w:pPr>
      <w:r>
        <w:rPr>
          <w:rFonts w:cs="Times New Roman"/>
        </w:rPr>
        <w:t>（一）加强农村公路建设，为经济社会快速发展保驾护航。　</w:t>
      </w:r>
    </w:p>
    <w:p>
      <w:pPr>
        <w:ind w:firstLine="640"/>
        <w:rPr>
          <w:rFonts w:cs="Times New Roman"/>
        </w:rPr>
      </w:pPr>
      <w:r>
        <w:rPr>
          <w:rFonts w:hint="eastAsia" w:cs="Times New Roman"/>
        </w:rPr>
        <w:t>农村公路的全面和可持续发展是我们建设社会主义新农村的具体实践，是推进农村经济协调发展的重要动力。农村公路作为农村重要基础设施之一，是社会主义新农村的重要基础。建设社会主义新农村，促进持续增收，迫切需要与之配套的道路，迫切需要能够带动和促进区域经济发展的畅通渠道</w:t>
      </w:r>
      <w:r>
        <w:rPr>
          <w:rFonts w:cs="Times New Roman"/>
        </w:rPr>
        <w:t>。</w:t>
      </w:r>
    </w:p>
    <w:p>
      <w:pPr>
        <w:ind w:firstLine="640"/>
        <w:rPr>
          <w:rFonts w:cs="Times New Roman"/>
        </w:rPr>
      </w:pPr>
      <w:r>
        <w:rPr>
          <w:rFonts w:cs="Times New Roman"/>
        </w:rPr>
        <w:t>农村公路作为发展农村经济的重要基础设施，加强全县农村公路建设对于推进上述产业发展，促进城乡经济协调发展，加快农村城镇化进程，改善了农民的生产、生活条件，推动城乡统筹发展，提高农村运输车辆的运输效益，实现经济社会飞速发展具有十分重要的意义。</w:t>
      </w:r>
    </w:p>
    <w:p>
      <w:pPr>
        <w:ind w:firstLine="640"/>
        <w:rPr>
          <w:rFonts w:cs="Times New Roman"/>
        </w:rPr>
      </w:pPr>
      <w:r>
        <w:rPr>
          <w:rFonts w:cs="Times New Roman"/>
        </w:rPr>
        <w:t>因此，面对这一新形势，阳城县必须紧紧把握当前交通发展的大好机遇，统筹考虑，提前谋划，进一步明确公路基础设施建设的发展目标和重点任务，确保及时准确地做好与国家、省级路网规划的衔接。在此前提下，制定一个完善且能统领全县公路建设发展的公路交通科学规划，势在必行。</w:t>
      </w:r>
    </w:p>
    <w:p>
      <w:pPr>
        <w:ind w:firstLine="640"/>
        <w:rPr>
          <w:rFonts w:cs="Times New Roman"/>
        </w:rPr>
      </w:pPr>
      <w:r>
        <w:rPr>
          <w:rFonts w:cs="Times New Roman"/>
        </w:rPr>
        <w:t>（二）农村公路交通发展面临新的机遇和挑战。</w:t>
      </w:r>
    </w:p>
    <w:p>
      <w:pPr>
        <w:ind w:firstLine="640"/>
        <w:rPr>
          <w:rFonts w:cs="Times New Roman"/>
        </w:rPr>
      </w:pPr>
      <w:r>
        <w:rPr>
          <w:rFonts w:cs="Times New Roman"/>
        </w:rPr>
        <w:t>在我国交通运输业仍处于加快建设和发展的重要时期，尤其是我国农村公路实现了跨越式的发展。当前国内环境下，阳城县农村公路网的发展既有机遇，也有挑战。</w:t>
      </w:r>
    </w:p>
    <w:p>
      <w:pPr>
        <w:ind w:firstLine="640"/>
        <w:rPr>
          <w:rFonts w:cs="Times New Roman"/>
        </w:rPr>
      </w:pPr>
      <w:r>
        <w:rPr>
          <w:rFonts w:cs="Times New Roman"/>
        </w:rPr>
        <w:t>首先，机遇主要体现在：以习近平新时代中国特色社会主义思想为指导，全面贯彻党的十九大和十九届二中、三中、四中全会精神，深入贯彻习近平总书记“三篇光辉文献”精神，增强“四个意识”、坚定“四个自信”、做到“两个维护”，按照中央、省委、市委、</w:t>
      </w:r>
      <w:r>
        <w:rPr>
          <w:rFonts w:hint="eastAsia" w:cs="Times New Roman"/>
        </w:rPr>
        <w:t>县</w:t>
      </w:r>
      <w:r>
        <w:rPr>
          <w:rFonts w:cs="Times New Roman"/>
        </w:rPr>
        <w:t>委经济工作会议部署，紧扣全面建成小康社会目标任务，坚持稳中求进工作总基调，坚持新发展理念，坚持以脱贫攻坚统揽经济社会发展全局，坚持以供给侧结构性改革为主线，紧紧围绕省委“四为四高两同步”总体思路和要求，聚焦创新驱动引领区、产城融合示范区、绿色生态宜居区、以人为本首善区“四区”建设，着眼“三新五大”产业导向，一产抓特色、二产提质量、三产强素质、民生创品质，加快建设现代化经济体系和民生保障体系，坚决打好三大攻坚战，全面做好“六稳”工作，统筹推进稳增长、促改革、调结构、惠民生、防风险、保稳定各项工作，保持经济运行在合理区间，确保我区与全国、全省、全市同步全面建成小康社会，得到人民认可、经得起历史检验。</w:t>
      </w:r>
    </w:p>
    <w:p>
      <w:pPr>
        <w:ind w:firstLine="640"/>
        <w:rPr>
          <w:rFonts w:cs="Times New Roman"/>
        </w:rPr>
      </w:pPr>
      <w:r>
        <w:rPr>
          <w:rFonts w:cs="Times New Roman"/>
        </w:rPr>
        <w:t>以转型综改和供给侧结构性改革为主线，优化经济结构，强化十大举措，优化发展环境，全力打好项目攻坚年、优化服务专项行动年、城建起步年、改革深化年四大攻坚战，统筹做好稳增长、促改革、调结构、惠民生、防风险各项工作，推动经济社会持续健康发展。在这一经济社会发展的重要阶段，阳城县县委、县政府立足根本，抢抓机遇，加速需要交通基础设施建设，为经济的快速增长、区域经济一体化，提供重要的支撑和保障。</w:t>
      </w:r>
    </w:p>
    <w:p>
      <w:pPr>
        <w:ind w:firstLine="640"/>
        <w:rPr>
          <w:rFonts w:cs="Times New Roman"/>
        </w:rPr>
      </w:pPr>
      <w:r>
        <w:rPr>
          <w:rFonts w:cs="Times New Roman"/>
        </w:rPr>
        <w:t>虽然我国农村公路发展虽取得了举世瞩目的成就，但与全面建成小康社会的要求和人民群众的现实需求相比，阳城县农村公路建设现状仍不容乐观，确实存在一些不容忽视的问题，主要体现在以下四个方面：</w:t>
      </w:r>
    </w:p>
    <w:p>
      <w:pPr>
        <w:ind w:firstLine="640"/>
        <w:rPr>
          <w:rFonts w:cs="Times New Roman"/>
        </w:rPr>
      </w:pPr>
      <w:r>
        <w:rPr>
          <w:rFonts w:cs="Times New Roman"/>
        </w:rPr>
        <w:t>一是农村公路总体发展水平比较低，公路质量和服务水平比较差。农村物流发展刚刚起步，群众出行便利性、舒适性有待提高。公路建设等级低下，抗灾、抗害、防冻、耐久能力低下，与全省城市地区公路建设差距很大，尤其是贫困地区集中连片建制村通硬化路建设任务仍然艰巨。</w:t>
      </w:r>
    </w:p>
    <w:p>
      <w:pPr>
        <w:ind w:firstLine="640"/>
        <w:rPr>
          <w:rFonts w:cs="Times New Roman"/>
        </w:rPr>
      </w:pPr>
      <w:r>
        <w:rPr>
          <w:rFonts w:cs="Times New Roman"/>
        </w:rPr>
        <w:t xml:space="preserve">二是规划设计不合理，规模控制欠缺，质量低下，建设项目存在着隐患。农村公路建设主要包括县、乡、村道公路的建设，由于特殊原因，公路建设的造价比较高，技术达不到规定的要求，施工图纸、项目投标等方面都不到位，使农村公路建设形同流水，给公路建设带来了困扰。 </w:t>
      </w:r>
    </w:p>
    <w:p>
      <w:pPr>
        <w:ind w:firstLine="640"/>
        <w:rPr>
          <w:rFonts w:cs="Times New Roman"/>
        </w:rPr>
      </w:pPr>
      <w:r>
        <w:rPr>
          <w:rFonts w:cs="Times New Roman"/>
        </w:rPr>
        <w:t>三是养护任务大与资金不足的矛盾日益突出。一方面，农村公路建设成功以后，人们不注意维护，甚至任意破坏，超载、踩踏等现象比较常见，造成了在简称后期管理不够完善，存在着大量的交通隐患。在后期的维修过程中，也没有按照标准进行维修，多次维修的现象较常见。另一方面，缺乏财力、物力、人力的支持，且县级政府农村公路管养事权责任与财力不匹配。</w:t>
      </w:r>
    </w:p>
    <w:p>
      <w:pPr>
        <w:ind w:firstLine="640"/>
        <w:rPr>
          <w:rFonts w:cs="Times New Roman"/>
        </w:rPr>
      </w:pPr>
      <w:r>
        <w:rPr>
          <w:rFonts w:cs="Times New Roman"/>
        </w:rPr>
        <w:t>四是安全设施不足，基础工作仍然比较薄弱，农村公路上不少路段缺少桥涵，缺少必要的安保设施，交通安全发展面临严峻考验。</w:t>
      </w:r>
    </w:p>
    <w:p>
      <w:pPr>
        <w:ind w:firstLine="640"/>
        <w:rPr>
          <w:rFonts w:cs="Times New Roman"/>
        </w:rPr>
      </w:pPr>
      <w:r>
        <w:rPr>
          <w:rFonts w:cs="Times New Roman"/>
        </w:rPr>
        <w:t>因此，推进阳城县农村公路建设，农村公路网初步形成，布局日趋完善，通达深度逐步提高，为全力巩固脱贫攻坚、统筹城乡协调发展、推进“三农”工作提供了坚实的基础，是提高全县总体经济水平的重要环节，也是实现全面小康社会的重要保障。</w:t>
      </w:r>
    </w:p>
    <w:p>
      <w:pPr>
        <w:pStyle w:val="3"/>
        <w:ind w:firstLine="640"/>
        <w:rPr>
          <w:rFonts w:eastAsia="方正楷体简体" w:cs="Times New Roman"/>
          <w:bCs w:val="0"/>
        </w:rPr>
      </w:pPr>
      <w:bookmarkStart w:id="10" w:name="_Toc49243363"/>
      <w:bookmarkStart w:id="11" w:name="_Toc49243289"/>
      <w:r>
        <w:rPr>
          <w:rFonts w:eastAsia="方正楷体简体" w:cs="Times New Roman"/>
          <w:bCs w:val="0"/>
        </w:rPr>
        <w:t>规划编制依据</w:t>
      </w:r>
      <w:bookmarkEnd w:id="10"/>
      <w:bookmarkEnd w:id="11"/>
    </w:p>
    <w:p>
      <w:pPr>
        <w:ind w:firstLine="640"/>
        <w:rPr>
          <w:rFonts w:cs="Times New Roman"/>
        </w:rPr>
      </w:pPr>
      <w:r>
        <w:rPr>
          <w:rFonts w:cs="Times New Roman"/>
        </w:rPr>
        <w:t xml:space="preserve">本报告的编制依据有： </w:t>
      </w:r>
    </w:p>
    <w:p>
      <w:pPr>
        <w:ind w:firstLine="640"/>
        <w:rPr>
          <w:rFonts w:cs="Times New Roman"/>
        </w:rPr>
      </w:pPr>
      <w:r>
        <w:rPr>
          <w:rFonts w:cs="Times New Roman"/>
        </w:rPr>
        <w:t>1、《中华人民共和国公路法》（1998年）</w:t>
      </w:r>
    </w:p>
    <w:p>
      <w:pPr>
        <w:ind w:firstLine="640"/>
        <w:rPr>
          <w:rFonts w:cs="Times New Roman"/>
        </w:rPr>
      </w:pPr>
      <w:r>
        <w:rPr>
          <w:rFonts w:cs="Times New Roman"/>
        </w:rPr>
        <w:t>2、《公路网规划编制办法》（2010年3月）</w:t>
      </w:r>
    </w:p>
    <w:p>
      <w:pPr>
        <w:ind w:firstLine="640"/>
        <w:rPr>
          <w:rFonts w:cs="Times New Roman"/>
        </w:rPr>
      </w:pPr>
      <w:r>
        <w:rPr>
          <w:rFonts w:cs="Times New Roman"/>
        </w:rPr>
        <w:t>3、《关于加强干线公路与城市道路有效衔接的指导意见》</w:t>
      </w:r>
    </w:p>
    <w:p>
      <w:pPr>
        <w:ind w:firstLine="640"/>
        <w:rPr>
          <w:rFonts w:cs="Times New Roman"/>
        </w:rPr>
      </w:pPr>
      <w:r>
        <w:rPr>
          <w:rFonts w:cs="Times New Roman"/>
        </w:rPr>
        <w:t>4、《山西省高速公路网规划调整方案》</w:t>
      </w:r>
    </w:p>
    <w:p>
      <w:pPr>
        <w:ind w:firstLine="640"/>
        <w:rPr>
          <w:rFonts w:cs="Times New Roman"/>
        </w:rPr>
      </w:pPr>
      <w:r>
        <w:rPr>
          <w:rFonts w:cs="Times New Roman"/>
        </w:rPr>
        <w:t>5、山西省交通运输厅关于做好山西省交通运输“十四五”发展规划编制工作的通知</w:t>
      </w:r>
    </w:p>
    <w:p>
      <w:pPr>
        <w:ind w:firstLine="640"/>
        <w:rPr>
          <w:rFonts w:cs="Times New Roman"/>
        </w:rPr>
      </w:pPr>
      <w:r>
        <w:rPr>
          <w:rFonts w:cs="Times New Roman"/>
        </w:rPr>
        <w:t>6、山西省交通运输厅关于农村公路“十四五”发展规划编制的指导意见</w:t>
      </w:r>
    </w:p>
    <w:p>
      <w:pPr>
        <w:ind w:firstLine="640"/>
        <w:rPr>
          <w:rFonts w:cs="Times New Roman"/>
        </w:rPr>
      </w:pPr>
      <w:r>
        <w:rPr>
          <w:rFonts w:cs="Times New Roman"/>
        </w:rPr>
        <w:t>7、《公路工程技术标准》（JTG B01-2014）</w:t>
      </w:r>
    </w:p>
    <w:p>
      <w:pPr>
        <w:ind w:firstLine="640"/>
        <w:rPr>
          <w:rFonts w:cs="Times New Roman"/>
        </w:rPr>
      </w:pPr>
      <w:r>
        <w:rPr>
          <w:rFonts w:cs="Times New Roman"/>
        </w:rPr>
        <w:t>8、《公路工程项目建设用地指标》（2011）</w:t>
      </w:r>
    </w:p>
    <w:p>
      <w:pPr>
        <w:ind w:firstLine="640"/>
        <w:rPr>
          <w:rFonts w:cs="Times New Roman"/>
        </w:rPr>
      </w:pPr>
      <w:r>
        <w:rPr>
          <w:rFonts w:cs="Times New Roman"/>
        </w:rPr>
        <w:t>9、山西省交通运输厅关于编制县域“四好农村路”建设专项（2017-2020年）的指导意见</w:t>
      </w:r>
    </w:p>
    <w:p>
      <w:pPr>
        <w:ind w:firstLine="640"/>
        <w:rPr>
          <w:rFonts w:cs="Times New Roman"/>
        </w:rPr>
      </w:pPr>
      <w:r>
        <w:rPr>
          <w:rFonts w:cs="Times New Roman"/>
        </w:rPr>
        <w:t>10、关于开展《</w:t>
      </w:r>
      <w:r>
        <w:rPr>
          <w:rFonts w:hint="eastAsia" w:cs="Times New Roman"/>
        </w:rPr>
        <w:t>阳城县</w:t>
      </w:r>
      <w:r>
        <w:rPr>
          <w:rFonts w:cs="Times New Roman"/>
        </w:rPr>
        <w:t>农村公路“十四五”发展规划》委托函</w:t>
      </w:r>
    </w:p>
    <w:p>
      <w:pPr>
        <w:ind w:firstLine="640"/>
        <w:rPr>
          <w:rFonts w:cs="Times New Roman"/>
        </w:rPr>
      </w:pPr>
      <w:r>
        <w:rPr>
          <w:rFonts w:cs="Times New Roman"/>
        </w:rPr>
        <w:t>11、</w:t>
      </w:r>
      <w:r>
        <w:rPr>
          <w:rFonts w:hint="eastAsia" w:cs="Times New Roman"/>
        </w:rPr>
        <w:t>《阳城县城镇体系发展规划》</w:t>
      </w:r>
    </w:p>
    <w:p>
      <w:pPr>
        <w:ind w:firstLine="640"/>
        <w:rPr>
          <w:rFonts w:cs="Times New Roman"/>
        </w:rPr>
      </w:pPr>
      <w:r>
        <w:rPr>
          <w:rFonts w:hint="eastAsia" w:cs="Times New Roman"/>
        </w:rPr>
        <w:t>12、《阳城县旅游总体规划》</w:t>
      </w:r>
    </w:p>
    <w:p>
      <w:pPr>
        <w:ind w:firstLine="640"/>
        <w:rPr>
          <w:rFonts w:cs="Times New Roman"/>
        </w:rPr>
      </w:pPr>
      <w:r>
        <w:rPr>
          <w:rFonts w:hint="eastAsia" w:cs="Times New Roman"/>
        </w:rPr>
        <w:t>13、《山西省统计年鉴》</w:t>
      </w:r>
    </w:p>
    <w:p>
      <w:pPr>
        <w:ind w:firstLine="640"/>
        <w:rPr>
          <w:rFonts w:cs="Times New Roman"/>
        </w:rPr>
      </w:pPr>
      <w:r>
        <w:rPr>
          <w:rFonts w:hint="eastAsia" w:cs="Times New Roman"/>
        </w:rPr>
        <w:t>1</w:t>
      </w:r>
      <w:r>
        <w:rPr>
          <w:rFonts w:cs="Times New Roman"/>
        </w:rPr>
        <w:t>4</w:t>
      </w:r>
      <w:r>
        <w:rPr>
          <w:rFonts w:hint="eastAsia" w:cs="Times New Roman"/>
        </w:rPr>
        <w:t>、《交通强国建设纲要》</w:t>
      </w:r>
    </w:p>
    <w:p>
      <w:pPr>
        <w:ind w:firstLine="640"/>
        <w:rPr>
          <w:rFonts w:cs="Times New Roman"/>
        </w:rPr>
      </w:pPr>
      <w:r>
        <w:rPr>
          <w:rFonts w:hint="eastAsia" w:cs="Times New Roman"/>
        </w:rPr>
        <w:t>1</w:t>
      </w:r>
      <w:r>
        <w:rPr>
          <w:rFonts w:cs="Times New Roman"/>
        </w:rPr>
        <w:t>5</w:t>
      </w:r>
      <w:r>
        <w:rPr>
          <w:rFonts w:hint="eastAsia" w:cs="Times New Roman"/>
        </w:rPr>
        <w:t>、《国家综合立体交通网规划纲要》</w:t>
      </w:r>
    </w:p>
    <w:p>
      <w:pPr>
        <w:ind w:firstLine="640"/>
        <w:rPr>
          <w:rFonts w:cs="Times New Roman"/>
        </w:rPr>
      </w:pPr>
      <w:r>
        <w:rPr>
          <w:rFonts w:cs="Times New Roman"/>
        </w:rPr>
        <w:t>16</w:t>
      </w:r>
      <w:r>
        <w:rPr>
          <w:rFonts w:hint="eastAsia" w:cs="Times New Roman"/>
        </w:rPr>
        <w:t>、《山西省国民经济和社会发展第十四个五年规划和2</w:t>
      </w:r>
      <w:r>
        <w:rPr>
          <w:rFonts w:cs="Times New Roman"/>
        </w:rPr>
        <w:t>035</w:t>
      </w:r>
      <w:r>
        <w:rPr>
          <w:rFonts w:hint="eastAsia" w:cs="Times New Roman"/>
        </w:rPr>
        <w:t>年远景目标纲要》</w:t>
      </w:r>
    </w:p>
    <w:p>
      <w:pPr>
        <w:ind w:firstLine="640"/>
        <w:rPr>
          <w:rFonts w:cs="Times New Roman"/>
        </w:rPr>
      </w:pPr>
      <w:r>
        <w:rPr>
          <w:rFonts w:cs="Times New Roman"/>
        </w:rPr>
        <w:t>17</w:t>
      </w:r>
      <w:r>
        <w:rPr>
          <w:rFonts w:hint="eastAsia" w:cs="Times New Roman"/>
        </w:rPr>
        <w:t>、《山西省省道网规划（2</w:t>
      </w:r>
      <w:r>
        <w:rPr>
          <w:rFonts w:cs="Times New Roman"/>
        </w:rPr>
        <w:t>021-2035</w:t>
      </w:r>
      <w:r>
        <w:rPr>
          <w:rFonts w:hint="eastAsia" w:cs="Times New Roman"/>
        </w:rPr>
        <w:t>年）》</w:t>
      </w:r>
    </w:p>
    <w:p>
      <w:pPr>
        <w:ind w:firstLine="640"/>
        <w:rPr>
          <w:rFonts w:cs="Times New Roman"/>
        </w:rPr>
      </w:pPr>
      <w:r>
        <w:rPr>
          <w:rFonts w:cs="Times New Roman"/>
        </w:rPr>
        <w:t>18</w:t>
      </w:r>
      <w:r>
        <w:rPr>
          <w:rFonts w:hint="eastAsia" w:cs="Times New Roman"/>
        </w:rPr>
        <w:t>、《山西省交通运输“十四五”发展规划》</w:t>
      </w:r>
    </w:p>
    <w:p>
      <w:pPr>
        <w:pStyle w:val="3"/>
        <w:ind w:firstLine="640"/>
        <w:rPr>
          <w:rFonts w:eastAsia="方正楷体简体" w:cs="Times New Roman"/>
          <w:bCs w:val="0"/>
        </w:rPr>
      </w:pPr>
      <w:bookmarkStart w:id="12" w:name="_Toc49243290"/>
      <w:bookmarkStart w:id="13" w:name="_Toc49243364"/>
      <w:r>
        <w:rPr>
          <w:rFonts w:eastAsia="方正楷体简体" w:cs="Times New Roman"/>
          <w:bCs w:val="0"/>
        </w:rPr>
        <w:t>规划范围和期限</w:t>
      </w:r>
      <w:bookmarkEnd w:id="12"/>
      <w:bookmarkEnd w:id="13"/>
    </w:p>
    <w:p>
      <w:pPr>
        <w:ind w:firstLine="640"/>
        <w:rPr>
          <w:rFonts w:cs="Times New Roman"/>
        </w:rPr>
      </w:pPr>
      <w:r>
        <w:rPr>
          <w:rFonts w:cs="Times New Roman"/>
        </w:rPr>
        <w:t>简要介绍规划的区域范围、规划对象及规划年限。</w:t>
      </w:r>
    </w:p>
    <w:p>
      <w:pPr>
        <w:ind w:firstLine="640"/>
        <w:rPr>
          <w:rFonts w:cs="Times New Roman"/>
          <w:szCs w:val="28"/>
        </w:rPr>
      </w:pPr>
      <w:r>
        <w:rPr>
          <w:rFonts w:cs="Times New Roman"/>
          <w:szCs w:val="28"/>
        </w:rPr>
        <w:t>一、 规划范围</w:t>
      </w:r>
    </w:p>
    <w:p>
      <w:pPr>
        <w:ind w:firstLine="640"/>
        <w:rPr>
          <w:rFonts w:cs="Times New Roman"/>
          <w:szCs w:val="28"/>
        </w:rPr>
      </w:pPr>
      <w:r>
        <w:rPr>
          <w:rFonts w:cs="Times New Roman"/>
          <w:szCs w:val="28"/>
        </w:rPr>
        <w:t>本项目位于</w:t>
      </w:r>
      <w:r>
        <w:rPr>
          <w:rFonts w:hint="eastAsia" w:cs="Times New Roman"/>
          <w:szCs w:val="28"/>
        </w:rPr>
        <w:t>阳城县，古称获泽，隶属于山西省晋城市，位于山西省东南端，地处太岳山脉东支，中条山东北，太行山以西，沁河中游的西岸。</w:t>
      </w:r>
      <w:r>
        <w:rPr>
          <w:rFonts w:cs="Times New Roman"/>
          <w:szCs w:val="28"/>
        </w:rPr>
        <w:t>本规划所包括的范围为</w:t>
      </w:r>
      <w:r>
        <w:rPr>
          <w:rFonts w:hint="eastAsia" w:cs="Times New Roman"/>
          <w:szCs w:val="28"/>
        </w:rPr>
        <w:t>阳城</w:t>
      </w:r>
      <w:r>
        <w:rPr>
          <w:rFonts w:cs="Times New Roman"/>
          <w:szCs w:val="28"/>
        </w:rPr>
        <w:t>县现辖的10</w:t>
      </w:r>
      <w:r>
        <w:rPr>
          <w:rFonts w:hint="eastAsia" w:cs="Times New Roman"/>
          <w:szCs w:val="28"/>
        </w:rPr>
        <w:t>镇7乡426个行政村</w:t>
      </w:r>
      <w:r>
        <w:rPr>
          <w:rFonts w:cs="Times New Roman"/>
          <w:szCs w:val="28"/>
        </w:rPr>
        <w:t>，行政区域总面积1968平方公里。主要包括供机动车辆行驶并达到一定技术标准的农村县道、乡道和村道。</w:t>
      </w:r>
    </w:p>
    <w:p>
      <w:pPr>
        <w:ind w:firstLine="0" w:firstLineChars="0"/>
        <w:rPr>
          <w:rFonts w:cs="Times New Roman"/>
          <w:szCs w:val="28"/>
        </w:rPr>
      </w:pPr>
    </w:p>
    <w:p>
      <w:pPr>
        <w:ind w:firstLine="0" w:firstLineChars="0"/>
        <w:rPr>
          <w:rFonts w:cs="Times New Roman"/>
          <w:szCs w:val="28"/>
        </w:rPr>
      </w:pPr>
    </w:p>
    <w:p>
      <w:pPr>
        <w:ind w:firstLine="0" w:firstLineChars="0"/>
        <w:jc w:val="center"/>
        <w:rPr>
          <w:rFonts w:cs="Times New Roman"/>
          <w:szCs w:val="28"/>
        </w:rPr>
      </w:pPr>
    </w:p>
    <w:p>
      <w:pPr>
        <w:ind w:firstLine="0" w:firstLineChars="0"/>
        <w:jc w:val="center"/>
        <w:rPr>
          <w:rFonts w:cs="Times New Roman"/>
          <w:szCs w:val="28"/>
        </w:rPr>
      </w:pPr>
      <w:r>
        <w:rPr>
          <w:rFonts w:cs="Times New Roman"/>
          <w:szCs w:val="28"/>
        </w:rPr>
        <w:drawing>
          <wp:inline distT="0" distB="0" distL="0" distR="0">
            <wp:extent cx="5771515" cy="5010150"/>
            <wp:effectExtent l="0" t="0" r="635" b="0"/>
            <wp:docPr id="6" name="图片 6" descr="F:\规划\阳城十四五规划\我的文本\阳城县交通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规划\阳城十四五规划\我的文本\阳城县交通图.jpg"/>
                    <pic:cNvPicPr>
                      <a:picLocks noChangeAspect="1" noChangeArrowheads="1"/>
                    </pic:cNvPicPr>
                  </pic:nvPicPr>
                  <pic:blipFill>
                    <a:blip r:embed="rId25" cstate="print">
                      <a:extLst>
                        <a:ext uri="{28A0092B-C50C-407E-A947-70E740481C1C}">
                          <a14:useLocalDpi xmlns:a14="http://schemas.microsoft.com/office/drawing/2010/main" val="0"/>
                        </a:ext>
                      </a:extLst>
                    </a:blip>
                    <a:srcRect l="6523" t="6884" r="6201" b="7027"/>
                    <a:stretch>
                      <a:fillRect/>
                    </a:stretch>
                  </pic:blipFill>
                  <pic:spPr>
                    <a:xfrm>
                      <a:off x="0" y="0"/>
                      <a:ext cx="5775157" cy="5013041"/>
                    </a:xfrm>
                    <a:prstGeom prst="rect">
                      <a:avLst/>
                    </a:prstGeom>
                    <a:noFill/>
                    <a:ln>
                      <a:noFill/>
                    </a:ln>
                  </pic:spPr>
                </pic:pic>
              </a:graphicData>
            </a:graphic>
          </wp:inline>
        </w:drawing>
      </w:r>
    </w:p>
    <w:p>
      <w:pPr>
        <w:ind w:firstLine="0" w:firstLineChars="0"/>
        <w:jc w:val="center"/>
        <w:rPr>
          <w:rFonts w:cs="Times New Roman"/>
          <w:sz w:val="28"/>
          <w:szCs w:val="28"/>
        </w:rPr>
      </w:pPr>
      <w:r>
        <w:rPr>
          <w:rFonts w:hint="eastAsia" w:cs="Times New Roman"/>
          <w:sz w:val="28"/>
          <w:szCs w:val="28"/>
        </w:rPr>
        <w:t>图</w:t>
      </w:r>
      <w:r>
        <w:rPr>
          <w:rFonts w:cs="Times New Roman"/>
          <w:sz w:val="28"/>
          <w:szCs w:val="28"/>
        </w:rPr>
        <w:t xml:space="preserve">1-2 </w:t>
      </w:r>
      <w:r>
        <w:rPr>
          <w:rFonts w:hint="eastAsia" w:cs="Times New Roman"/>
          <w:sz w:val="28"/>
          <w:szCs w:val="28"/>
        </w:rPr>
        <w:t>阳城县交通图</w:t>
      </w:r>
    </w:p>
    <w:p>
      <w:pPr>
        <w:ind w:firstLine="640"/>
        <w:rPr>
          <w:rFonts w:cs="Times New Roman"/>
          <w:szCs w:val="28"/>
        </w:rPr>
      </w:pPr>
      <w:r>
        <w:rPr>
          <w:rFonts w:cs="Times New Roman"/>
          <w:szCs w:val="28"/>
        </w:rPr>
        <w:t>二、 规划期限</w:t>
      </w:r>
    </w:p>
    <w:p>
      <w:pPr>
        <w:ind w:firstLine="640"/>
        <w:rPr>
          <w:rFonts w:cs="Times New Roman"/>
          <w:szCs w:val="28"/>
        </w:rPr>
      </w:pPr>
      <w:r>
        <w:rPr>
          <w:rFonts w:cs="Times New Roman"/>
          <w:szCs w:val="28"/>
        </w:rPr>
        <w:t>本次农村公路为“十四五”规划内容，规划期限为2021年~2025年。　</w:t>
      </w:r>
    </w:p>
    <w:p>
      <w:pPr>
        <w:ind w:firstLine="640"/>
        <w:rPr>
          <w:rFonts w:cs="Times New Roman"/>
          <w:szCs w:val="28"/>
        </w:rPr>
      </w:pPr>
      <w:r>
        <w:rPr>
          <w:rFonts w:cs="Times New Roman"/>
          <w:szCs w:val="28"/>
        </w:rPr>
        <w:t>三、规划内容</w:t>
      </w:r>
    </w:p>
    <w:p>
      <w:pPr>
        <w:ind w:firstLine="640"/>
        <w:rPr>
          <w:rFonts w:cs="Times New Roman"/>
          <w:szCs w:val="28"/>
        </w:rPr>
      </w:pPr>
      <w:r>
        <w:rPr>
          <w:rFonts w:cs="Times New Roman"/>
          <w:szCs w:val="28"/>
        </w:rPr>
        <w:t>本次</w:t>
      </w:r>
      <w:r>
        <w:rPr>
          <w:rFonts w:hint="eastAsia" w:cs="Times New Roman"/>
          <w:szCs w:val="28"/>
        </w:rPr>
        <w:t>农村公路“十四五”发展规划</w:t>
      </w:r>
      <w:r>
        <w:rPr>
          <w:rFonts w:cs="Times New Roman"/>
          <w:szCs w:val="28"/>
        </w:rPr>
        <w:t>规划的内容，主要包括农村公路的建设、管理、养护等方面的内容。</w:t>
      </w:r>
    </w:p>
    <w:p>
      <w:pPr>
        <w:ind w:firstLine="640"/>
        <w:rPr>
          <w:rFonts w:cs="Times New Roman"/>
          <w:szCs w:val="28"/>
        </w:rPr>
      </w:pPr>
      <w:r>
        <w:rPr>
          <w:rFonts w:hint="eastAsia" w:cs="Times New Roman"/>
          <w:szCs w:val="28"/>
        </w:rPr>
        <w:t>四、规划目标</w:t>
      </w:r>
    </w:p>
    <w:p>
      <w:pPr>
        <w:ind w:firstLine="640"/>
        <w:rPr>
          <w:rFonts w:cs="Times New Roman"/>
          <w:szCs w:val="28"/>
        </w:rPr>
      </w:pPr>
      <w:r>
        <w:rPr>
          <w:rFonts w:hint="eastAsia" w:cs="Times New Roman"/>
          <w:szCs w:val="28"/>
        </w:rPr>
        <w:t>（1）路网目标</w:t>
      </w:r>
    </w:p>
    <w:p>
      <w:pPr>
        <w:ind w:firstLine="640"/>
        <w:rPr>
          <w:rFonts w:cs="Times New Roman"/>
          <w:szCs w:val="28"/>
        </w:rPr>
      </w:pPr>
      <w:r>
        <w:rPr>
          <w:rFonts w:hint="eastAsia" w:cs="Times New Roman"/>
          <w:szCs w:val="28"/>
        </w:rPr>
        <w:t>到202</w:t>
      </w:r>
      <w:r>
        <w:rPr>
          <w:rFonts w:cs="Times New Roman"/>
          <w:szCs w:val="28"/>
        </w:rPr>
        <w:t>5</w:t>
      </w:r>
      <w:r>
        <w:rPr>
          <w:rFonts w:hint="eastAsia" w:cs="Times New Roman"/>
          <w:szCs w:val="28"/>
        </w:rPr>
        <w:t>年，阳城县农村公路总里程为</w:t>
      </w:r>
      <w:r>
        <w:rPr>
          <w:rFonts w:cs="Times New Roman"/>
          <w:szCs w:val="28"/>
        </w:rPr>
        <w:t>2348.714</w:t>
      </w:r>
      <w:r>
        <w:rPr>
          <w:rFonts w:hint="eastAsia" w:cs="Times New Roman"/>
          <w:szCs w:val="28"/>
        </w:rPr>
        <w:t>公里。按技术等级划分，一级公路</w:t>
      </w:r>
      <w:r>
        <w:rPr>
          <w:rFonts w:cs="Times New Roman"/>
          <w:szCs w:val="28"/>
        </w:rPr>
        <w:t>14.774</w:t>
      </w:r>
      <w:r>
        <w:rPr>
          <w:rFonts w:hint="eastAsia" w:cs="Times New Roman"/>
          <w:szCs w:val="28"/>
        </w:rPr>
        <w:t>公里，占总里程的</w:t>
      </w:r>
      <w:r>
        <w:rPr>
          <w:rFonts w:cs="Times New Roman"/>
          <w:szCs w:val="28"/>
        </w:rPr>
        <w:t>0.63%</w:t>
      </w:r>
      <w:r>
        <w:rPr>
          <w:rFonts w:hint="eastAsia" w:cs="Times New Roman"/>
          <w:szCs w:val="28"/>
        </w:rPr>
        <w:t>；二级公路</w:t>
      </w:r>
      <w:r>
        <w:rPr>
          <w:rFonts w:cs="Times New Roman"/>
          <w:szCs w:val="28"/>
        </w:rPr>
        <w:t>134.536</w:t>
      </w:r>
      <w:r>
        <w:rPr>
          <w:rFonts w:hint="eastAsia" w:cs="Times New Roman"/>
          <w:szCs w:val="28"/>
        </w:rPr>
        <w:t>公里，占总里程的</w:t>
      </w:r>
      <w:r>
        <w:rPr>
          <w:rFonts w:cs="Times New Roman"/>
          <w:szCs w:val="28"/>
        </w:rPr>
        <w:t>5.73%</w:t>
      </w:r>
      <w:r>
        <w:rPr>
          <w:rFonts w:hint="eastAsia" w:cs="Times New Roman"/>
          <w:szCs w:val="28"/>
        </w:rPr>
        <w:t>；三级公路</w:t>
      </w:r>
      <w:r>
        <w:rPr>
          <w:rFonts w:cs="Times New Roman"/>
          <w:szCs w:val="28"/>
        </w:rPr>
        <w:t>291.088</w:t>
      </w:r>
      <w:r>
        <w:rPr>
          <w:rFonts w:hint="eastAsia" w:cs="Times New Roman"/>
          <w:szCs w:val="28"/>
        </w:rPr>
        <w:t>公里，占总里程的</w:t>
      </w:r>
      <w:r>
        <w:rPr>
          <w:rFonts w:cs="Times New Roman"/>
          <w:szCs w:val="28"/>
        </w:rPr>
        <w:t>12.40%</w:t>
      </w:r>
      <w:r>
        <w:rPr>
          <w:rFonts w:hint="eastAsia" w:cs="Times New Roman"/>
          <w:szCs w:val="28"/>
        </w:rPr>
        <w:t>；四级公路</w:t>
      </w:r>
      <w:r>
        <w:rPr>
          <w:rFonts w:cs="Times New Roman"/>
          <w:szCs w:val="28"/>
        </w:rPr>
        <w:t>1837.988</w:t>
      </w:r>
      <w:r>
        <w:rPr>
          <w:rFonts w:hint="eastAsia" w:cs="Times New Roman"/>
          <w:szCs w:val="28"/>
        </w:rPr>
        <w:t>公里，占总里程的</w:t>
      </w:r>
      <w:r>
        <w:rPr>
          <w:rFonts w:cs="Times New Roman"/>
          <w:szCs w:val="28"/>
        </w:rPr>
        <w:t>78.27%</w:t>
      </w:r>
      <w:r>
        <w:rPr>
          <w:rFonts w:hint="eastAsia" w:cs="Times New Roman"/>
          <w:szCs w:val="28"/>
        </w:rPr>
        <w:t>。按行政等级划分，县道</w:t>
      </w:r>
      <w:r>
        <w:rPr>
          <w:rFonts w:cs="Times New Roman"/>
          <w:szCs w:val="28"/>
        </w:rPr>
        <w:t>330.901</w:t>
      </w:r>
      <w:r>
        <w:rPr>
          <w:rFonts w:hint="eastAsia" w:cs="Times New Roman"/>
          <w:szCs w:val="28"/>
        </w:rPr>
        <w:t>公里，占总里程的</w:t>
      </w:r>
      <w:r>
        <w:rPr>
          <w:rFonts w:cs="Times New Roman"/>
          <w:szCs w:val="28"/>
        </w:rPr>
        <w:t>14.09%</w:t>
      </w:r>
      <w:r>
        <w:rPr>
          <w:rFonts w:hint="eastAsia" w:cs="Times New Roman"/>
          <w:szCs w:val="28"/>
        </w:rPr>
        <w:t>；乡道</w:t>
      </w:r>
      <w:r>
        <w:rPr>
          <w:rFonts w:cs="Times New Roman"/>
          <w:szCs w:val="28"/>
        </w:rPr>
        <w:t>914.793</w:t>
      </w:r>
      <w:r>
        <w:rPr>
          <w:rFonts w:hint="eastAsia" w:cs="Times New Roman"/>
          <w:szCs w:val="28"/>
        </w:rPr>
        <w:t>公里，占总里程的</w:t>
      </w:r>
      <w:r>
        <w:rPr>
          <w:rFonts w:cs="Times New Roman"/>
          <w:szCs w:val="28"/>
        </w:rPr>
        <w:t>38.95%</w:t>
      </w:r>
      <w:r>
        <w:rPr>
          <w:rFonts w:hint="eastAsia" w:cs="Times New Roman"/>
          <w:szCs w:val="28"/>
        </w:rPr>
        <w:t>；村道</w:t>
      </w:r>
      <w:r>
        <w:rPr>
          <w:rFonts w:cs="Times New Roman"/>
          <w:szCs w:val="28"/>
        </w:rPr>
        <w:t>1103.02</w:t>
      </w:r>
      <w:r>
        <w:rPr>
          <w:rFonts w:hint="eastAsia" w:cs="Times New Roman"/>
          <w:szCs w:val="28"/>
        </w:rPr>
        <w:t>公里，占总里程的</w:t>
      </w:r>
      <w:r>
        <w:rPr>
          <w:rFonts w:cs="Times New Roman"/>
          <w:szCs w:val="28"/>
        </w:rPr>
        <w:t>46.96%</w:t>
      </w:r>
      <w:r>
        <w:rPr>
          <w:rFonts w:hint="eastAsia" w:cs="Times New Roman"/>
          <w:szCs w:val="28"/>
        </w:rPr>
        <w:t>。</w:t>
      </w:r>
    </w:p>
    <w:p>
      <w:pPr>
        <w:adjustRightInd w:val="0"/>
        <w:snapToGrid w:val="0"/>
        <w:spacing w:line="360" w:lineRule="auto"/>
        <w:ind w:firstLine="482" w:firstLineChars="0"/>
        <w:rPr>
          <w:rFonts w:cs="Times New Roman"/>
          <w:szCs w:val="28"/>
        </w:rPr>
      </w:pPr>
      <w:r>
        <w:rPr>
          <w:rFonts w:hint="eastAsia" w:cs="Times New Roman"/>
          <w:szCs w:val="28"/>
        </w:rPr>
        <w:t>（2）公路运输目标</w:t>
      </w:r>
    </w:p>
    <w:p>
      <w:pPr>
        <w:adjustRightInd w:val="0"/>
        <w:snapToGrid w:val="0"/>
        <w:spacing w:line="360" w:lineRule="auto"/>
        <w:ind w:firstLine="482" w:firstLineChars="0"/>
        <w:rPr>
          <w:rFonts w:cs="Times New Roman"/>
          <w:szCs w:val="28"/>
        </w:rPr>
      </w:pPr>
      <w:r>
        <w:rPr>
          <w:rFonts w:hint="eastAsia" w:cs="Times New Roman"/>
          <w:szCs w:val="28"/>
        </w:rPr>
        <w:t>积极引导客运装备水平提升，加强交通运输市场管理，提供满足多层次需求的城际和城乡公共客运服务，大力发展城市公共客运。</w:t>
      </w:r>
    </w:p>
    <w:p>
      <w:pPr>
        <w:ind w:firstLine="640"/>
        <w:rPr>
          <w:rFonts w:cs="Times New Roman"/>
        </w:rPr>
        <w:sectPr>
          <w:headerReference r:id="rId13" w:type="default"/>
          <w:footerReference r:id="rId14" w:type="default"/>
          <w:pgSz w:w="11906" w:h="16838"/>
          <w:pgMar w:top="1701" w:right="1531" w:bottom="1531" w:left="1531" w:header="851" w:footer="992" w:gutter="0"/>
          <w:pgNumType w:start="1"/>
          <w:cols w:space="425" w:num="1"/>
          <w:docGrid w:type="lines" w:linePitch="312" w:charSpace="0"/>
        </w:sectPr>
      </w:pPr>
    </w:p>
    <w:p>
      <w:pPr>
        <w:pStyle w:val="2"/>
        <w:spacing w:before="156" w:after="156"/>
        <w:ind w:left="800" w:leftChars="250"/>
        <w:rPr>
          <w:rFonts w:cs="Times New Roman"/>
        </w:rPr>
      </w:pPr>
      <w:r>
        <w:rPr>
          <w:rFonts w:hint="eastAsia" w:cs="Times New Roman"/>
        </w:rPr>
        <w:t xml:space="preserve"> </w:t>
      </w:r>
      <w:bookmarkStart w:id="14" w:name="_Toc49243365"/>
      <w:bookmarkStart w:id="15" w:name="_Toc49243291"/>
      <w:r>
        <w:rPr>
          <w:rFonts w:cs="Times New Roman"/>
        </w:rPr>
        <w:t>经济社会及交通运输发展现状</w:t>
      </w:r>
      <w:bookmarkEnd w:id="14"/>
      <w:bookmarkEnd w:id="15"/>
    </w:p>
    <w:p>
      <w:pPr>
        <w:pStyle w:val="3"/>
        <w:ind w:firstLine="640"/>
        <w:rPr>
          <w:rFonts w:cs="Times New Roman"/>
        </w:rPr>
      </w:pPr>
      <w:bookmarkStart w:id="16" w:name="_Toc49243292"/>
      <w:bookmarkStart w:id="17" w:name="_Toc49243366"/>
      <w:r>
        <w:rPr>
          <w:rFonts w:eastAsia="方正楷体简体" w:cs="Times New Roman"/>
          <w:bCs w:val="0"/>
        </w:rPr>
        <w:t>地理位置及自然条件</w:t>
      </w:r>
      <w:bookmarkEnd w:id="16"/>
      <w:bookmarkEnd w:id="17"/>
    </w:p>
    <w:p>
      <w:pPr>
        <w:pStyle w:val="4"/>
        <w:ind w:firstLine="602" w:firstLineChars="200"/>
        <w:rPr>
          <w:rFonts w:cs="Times New Roman"/>
        </w:rPr>
      </w:pPr>
      <w:bookmarkStart w:id="18" w:name="_Toc488330117"/>
      <w:bookmarkStart w:id="19" w:name="_Toc488330204"/>
      <w:bookmarkStart w:id="20" w:name="_Toc49243367"/>
      <w:bookmarkStart w:id="21" w:name="_Toc49243293"/>
      <w:r>
        <w:rPr>
          <w:rFonts w:cs="Times New Roman"/>
        </w:rPr>
        <w:t>地理位置</w:t>
      </w:r>
      <w:bookmarkEnd w:id="18"/>
      <w:bookmarkEnd w:id="19"/>
      <w:bookmarkEnd w:id="20"/>
      <w:bookmarkEnd w:id="21"/>
    </w:p>
    <w:p>
      <w:pPr>
        <w:widowControl/>
        <w:spacing w:line="600" w:lineRule="exact"/>
        <w:ind w:firstLine="640"/>
        <w:rPr>
          <w:rFonts w:eastAsia="宋体" w:cs="Times New Roman"/>
          <w:kern w:val="0"/>
          <w:sz w:val="28"/>
          <w:szCs w:val="28"/>
          <w:shd w:val="clear" w:color="auto" w:fill="FFFFFF"/>
          <w:lang w:bidi="en-US"/>
        </w:rPr>
      </w:pPr>
      <w:r>
        <w:rPr>
          <w:rFonts w:hint="eastAsia" w:cs="Times New Roman"/>
          <w:szCs w:val="28"/>
        </w:rPr>
        <w:t>阳城县</w:t>
      </w:r>
      <w:r>
        <w:rPr>
          <w:rFonts w:cs="Times New Roman"/>
          <w:szCs w:val="28"/>
        </w:rPr>
        <w:t>位于</w:t>
      </w:r>
      <w:r>
        <w:rPr>
          <w:rFonts w:hint="eastAsia" w:cs="Times New Roman"/>
          <w:szCs w:val="28"/>
        </w:rPr>
        <w:t>山西省晋城市</w:t>
      </w:r>
      <w:r>
        <w:rPr>
          <w:rFonts w:cs="Times New Roman"/>
          <w:szCs w:val="28"/>
        </w:rPr>
        <w:t>，面积1968平方公里，</w:t>
      </w:r>
      <w:r>
        <w:rPr>
          <w:rFonts w:hint="eastAsia" w:cs="Times New Roman"/>
          <w:szCs w:val="28"/>
        </w:rPr>
        <w:t>辖10镇7乡426个行政村，全县总人口3</w:t>
      </w:r>
      <w:r>
        <w:rPr>
          <w:rFonts w:cs="Times New Roman"/>
          <w:szCs w:val="28"/>
        </w:rPr>
        <w:t>9.45</w:t>
      </w:r>
      <w:r>
        <w:rPr>
          <w:rFonts w:hint="eastAsia" w:cs="Times New Roman"/>
          <w:szCs w:val="28"/>
        </w:rPr>
        <w:t>万人，人口密度为198.68人/平方公里</w:t>
      </w:r>
      <w:r>
        <w:rPr>
          <w:rFonts w:cs="Times New Roman"/>
          <w:szCs w:val="28"/>
        </w:rPr>
        <w:t>。</w:t>
      </w:r>
      <w:r>
        <w:rPr>
          <w:rFonts w:hint="eastAsia" w:cs="Times New Roman"/>
          <w:szCs w:val="28"/>
        </w:rPr>
        <w:t>地理坐标在东经112°~112°37'，北纬35°12'~35°40'</w:t>
      </w:r>
      <w:r>
        <w:rPr>
          <w:rFonts w:cs="Times New Roman"/>
          <w:szCs w:val="28"/>
        </w:rPr>
        <w:t>之间，</w:t>
      </w:r>
      <w:r>
        <w:rPr>
          <w:rFonts w:hint="eastAsia" w:cs="Times New Roman"/>
          <w:szCs w:val="28"/>
        </w:rPr>
        <w:t>县境南北长约54公里，东西宽约53公里</w:t>
      </w:r>
      <w:r>
        <w:rPr>
          <w:rFonts w:cs="Times New Roman"/>
          <w:szCs w:val="28"/>
        </w:rPr>
        <w:t>。</w:t>
      </w:r>
      <w:r>
        <w:rPr>
          <w:rFonts w:hint="eastAsia" w:cs="Times New Roman"/>
          <w:szCs w:val="28"/>
        </w:rPr>
        <w:t>阳城县东与晋城市泽州县为界，北与沁水县为邻，西南与垣曲县接壤，南与河南省济源市相连</w:t>
      </w:r>
      <w:r>
        <w:rPr>
          <w:rFonts w:cs="Times New Roman"/>
          <w:szCs w:val="28"/>
        </w:rPr>
        <w:t>。</w:t>
      </w:r>
    </w:p>
    <w:p>
      <w:pPr>
        <w:widowControl/>
        <w:snapToGrid w:val="0"/>
        <w:spacing w:line="360" w:lineRule="auto"/>
        <w:ind w:firstLineChars="0"/>
        <w:rPr>
          <w:rFonts w:cs="Times New Roman"/>
          <w:sz w:val="28"/>
          <w:szCs w:val="28"/>
        </w:rPr>
      </w:pPr>
      <w:r>
        <w:rPr>
          <w:rFonts w:cs="Times New Roman"/>
          <w:sz w:val="28"/>
          <w:szCs w:val="28"/>
        </w:rPr>
        <mc:AlternateContent>
          <mc:Choice Requires="wps">
            <w:drawing>
              <wp:anchor distT="0" distB="0" distL="114300" distR="114300" simplePos="0" relativeHeight="251659264" behindDoc="0" locked="0" layoutInCell="1" allowOverlap="1">
                <wp:simplePos x="0" y="0"/>
                <wp:positionH relativeFrom="margin">
                  <wp:posOffset>1468755</wp:posOffset>
                </wp:positionH>
                <wp:positionV relativeFrom="paragraph">
                  <wp:posOffset>3162935</wp:posOffset>
                </wp:positionV>
                <wp:extent cx="1623695" cy="248920"/>
                <wp:effectExtent l="19050" t="114300" r="15240" b="56515"/>
                <wp:wrapNone/>
                <wp:docPr id="39" name="右箭头 39"/>
                <wp:cNvGraphicFramePr/>
                <a:graphic xmlns:a="http://schemas.openxmlformats.org/drawingml/2006/main">
                  <a:graphicData uri="http://schemas.microsoft.com/office/word/2010/wordprocessingShape">
                    <wps:wsp>
                      <wps:cNvSpPr/>
                      <wps:spPr>
                        <a:xfrm rot="21144026">
                          <a:off x="0" y="0"/>
                          <a:ext cx="1623625" cy="248770"/>
                        </a:xfrm>
                        <a:prstGeom prst="rightArrow">
                          <a:avLst/>
                        </a:prstGeom>
                        <a:solidFill>
                          <a:schemeClr val="accent1">
                            <a:lumMod val="20000"/>
                            <a:lumOff val="80000"/>
                          </a:schemeClr>
                        </a:solidFill>
                        <a:ln>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5.65pt;margin-top:249.05pt;height:19.6pt;width:127.85pt;mso-position-horizontal-relative:margin;rotation:-498045f;z-index:251659264;v-text-anchor:middle;mso-width-relative:page;mso-height-relative:page;" fillcolor="#DEEBF7 [660]" filled="t" stroked="t" coordsize="21600,21600" o:gfxdata="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HaRa7HcAAAACwEAAA8AAAAAAAAAAQAgAAAA&#10;IgAAAGRycy9kb3ducmV2LnhtbFBLAQIUABQAAAAIAIdO4kDISTzcsgIAAIAFAAAOAAAAAAAAAAEA&#10;IAAAACsBAABkcnMvZTJvRG9jLnhtbFBLBQYAAAAABgAGAFkBAABPBgAAAAA=&#10;" adj="19946,5400">
                <v:fill on="t" focussize="0,0"/>
                <v:stroke weight="1pt" color="#9DC3E6 [1940]" miterlimit="8" joinstyle="miter"/>
                <v:imagedata o:title=""/>
                <o:lock v:ext="edit" aspectratio="f"/>
              </v:shape>
            </w:pict>
          </mc:Fallback>
        </mc:AlternateContent>
      </w:r>
      <w:r>
        <w:rPr>
          <w:rFonts w:cs="Times New Roman"/>
          <w:sz w:val="28"/>
          <w:szCs w:val="28"/>
        </w:rPr>
        <w:drawing>
          <wp:inline distT="0" distB="0" distL="0" distR="0">
            <wp:extent cx="2501265" cy="400240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rcRect l="3370" t="8532" r="3116" b="2367"/>
                    <a:stretch>
                      <a:fillRect/>
                    </a:stretch>
                  </pic:blipFill>
                  <pic:spPr>
                    <a:xfrm>
                      <a:off x="0" y="0"/>
                      <a:ext cx="2529084" cy="4047175"/>
                    </a:xfrm>
                    <a:prstGeom prst="rect">
                      <a:avLst/>
                    </a:prstGeom>
                    <a:noFill/>
                    <a:ln>
                      <a:noFill/>
                    </a:ln>
                  </pic:spPr>
                </pic:pic>
              </a:graphicData>
            </a:graphic>
          </wp:inline>
        </w:drawing>
      </w:r>
      <w:r>
        <w:rPr>
          <w:rFonts w:hint="eastAsia" w:cs="Times New Roman"/>
          <w:sz w:val="28"/>
          <w:szCs w:val="28"/>
        </w:rPr>
        <w:t xml:space="preserve"> </w:t>
      </w:r>
      <w:r>
        <w:rPr>
          <w:rFonts w:eastAsia="宋体" w:cs="Times New Roman"/>
          <w:kern w:val="0"/>
          <w:szCs w:val="32"/>
        </w:rPr>
        <w:drawing>
          <wp:inline distT="0" distB="0" distL="0" distR="0">
            <wp:extent cx="2854960" cy="2491740"/>
            <wp:effectExtent l="0" t="0" r="2540" b="3810"/>
            <wp:docPr id="9" name="图片 9" descr="F:\规划\阳城十四五规划\我的文本\图片\阳城农村公路“十四五”发展规划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规划\阳城十四五规划\我的文本\图片\阳城农村公路“十四五”发展规划7.8 (2).jpg"/>
                    <pic:cNvPicPr>
                      <a:picLocks noChangeAspect="1" noChangeArrowheads="1"/>
                    </pic:cNvPicPr>
                  </pic:nvPicPr>
                  <pic:blipFill>
                    <a:blip r:embed="rId27">
                      <a:extLst>
                        <a:ext uri="{28A0092B-C50C-407E-A947-70E740481C1C}">
                          <a14:useLocalDpi xmlns:a14="http://schemas.microsoft.com/office/drawing/2010/main" val="0"/>
                        </a:ext>
                      </a:extLst>
                    </a:blip>
                    <a:srcRect t="25249" r="44913"/>
                    <a:stretch>
                      <a:fillRect/>
                    </a:stretch>
                  </pic:blipFill>
                  <pic:spPr>
                    <a:xfrm>
                      <a:off x="0" y="0"/>
                      <a:ext cx="2940929" cy="2567112"/>
                    </a:xfrm>
                    <a:prstGeom prst="rect">
                      <a:avLst/>
                    </a:prstGeom>
                    <a:noFill/>
                    <a:ln>
                      <a:noFill/>
                    </a:ln>
                  </pic:spPr>
                </pic:pic>
              </a:graphicData>
            </a:graphic>
          </wp:inline>
        </w:drawing>
      </w:r>
    </w:p>
    <w:p>
      <w:pPr>
        <w:widowControl/>
        <w:snapToGrid w:val="0"/>
        <w:spacing w:line="360" w:lineRule="auto"/>
        <w:ind w:firstLine="560" w:firstLineChars="0"/>
        <w:jc w:val="center"/>
        <w:rPr>
          <w:rFonts w:cs="Times New Roman"/>
          <w:sz w:val="28"/>
          <w:szCs w:val="28"/>
        </w:rPr>
      </w:pPr>
      <w:r>
        <w:rPr>
          <w:rFonts w:cs="Times New Roman"/>
          <w:sz w:val="28"/>
          <w:szCs w:val="28"/>
        </w:rPr>
        <w:t>图2-1  阳城县地理位置图</w:t>
      </w:r>
    </w:p>
    <w:p>
      <w:pPr>
        <w:pStyle w:val="4"/>
        <w:ind w:firstLine="602" w:firstLineChars="200"/>
        <w:rPr>
          <w:rFonts w:cs="Times New Roman"/>
        </w:rPr>
      </w:pPr>
      <w:bookmarkStart w:id="22" w:name="_Toc49243368"/>
      <w:bookmarkStart w:id="23" w:name="_Toc49243294"/>
      <w:r>
        <w:rPr>
          <w:rFonts w:cs="Times New Roman"/>
        </w:rPr>
        <w:t>行政区划</w:t>
      </w:r>
      <w:bookmarkEnd w:id="22"/>
      <w:bookmarkEnd w:id="23"/>
    </w:p>
    <w:p>
      <w:pPr>
        <w:adjustRightInd w:val="0"/>
        <w:snapToGrid w:val="0"/>
        <w:spacing w:line="360" w:lineRule="auto"/>
        <w:ind w:firstLine="640"/>
        <w:rPr>
          <w:rFonts w:cs="Times New Roman"/>
          <w:szCs w:val="28"/>
        </w:rPr>
      </w:pPr>
      <w:r>
        <w:rPr>
          <w:rFonts w:hint="eastAsia" w:cs="Times New Roman"/>
          <w:szCs w:val="28"/>
        </w:rPr>
        <w:t>阳城县辖10镇7乡共426个行政村，10镇为：凤城镇、北留镇、润城镇、町店镇、芹池镇、次营镇、</w:t>
      </w:r>
      <w:r>
        <w:fldChar w:fldCharType="begin"/>
      </w:r>
      <w:r>
        <w:instrText xml:space="preserve"> HYPERLINK "https://baike.so.com/doc/5851516-6064356.html" \t "_blank" </w:instrText>
      </w:r>
      <w:r>
        <w:fldChar w:fldCharType="separate"/>
      </w:r>
      <w:r>
        <w:rPr>
          <w:rFonts w:hint="eastAsia" w:cs="Times New Roman"/>
          <w:szCs w:val="28"/>
        </w:rPr>
        <w:t>横河镇</w:t>
      </w:r>
      <w:r>
        <w:rPr>
          <w:rFonts w:hint="eastAsia" w:cs="Times New Roman"/>
          <w:szCs w:val="28"/>
        </w:rPr>
        <w:fldChar w:fldCharType="end"/>
      </w:r>
      <w:r>
        <w:rPr>
          <w:rFonts w:hint="eastAsia" w:cs="Times New Roman"/>
          <w:szCs w:val="28"/>
        </w:rPr>
        <w:t>、河北镇、蟒河镇、东冶镇；7乡为：白桑乡、寺头乡、西河乡、演礼乡、固隆乡、董封乡、驾岭乡。截止201</w:t>
      </w:r>
      <w:r>
        <w:rPr>
          <w:rFonts w:cs="Times New Roman"/>
          <w:szCs w:val="28"/>
        </w:rPr>
        <w:t>8</w:t>
      </w:r>
      <w:r>
        <w:rPr>
          <w:rFonts w:hint="eastAsia" w:cs="Times New Roman"/>
          <w:szCs w:val="28"/>
        </w:rPr>
        <w:t>年底，全县总人口</w:t>
      </w:r>
      <w:r>
        <w:rPr>
          <w:rFonts w:cs="Times New Roman"/>
          <w:szCs w:val="28"/>
        </w:rPr>
        <w:t>394501</w:t>
      </w:r>
      <w:r>
        <w:rPr>
          <w:rFonts w:hint="eastAsia" w:cs="Times New Roman"/>
          <w:szCs w:val="28"/>
        </w:rPr>
        <w:t>人，其中城镇人口1</w:t>
      </w:r>
      <w:r>
        <w:rPr>
          <w:rFonts w:cs="Times New Roman"/>
          <w:szCs w:val="28"/>
        </w:rPr>
        <w:t>91755</w:t>
      </w:r>
      <w:r>
        <w:rPr>
          <w:rFonts w:hint="eastAsia" w:cs="Times New Roman"/>
          <w:szCs w:val="28"/>
        </w:rPr>
        <w:t>人，乡村人口2</w:t>
      </w:r>
      <w:r>
        <w:rPr>
          <w:rFonts w:cs="Times New Roman"/>
          <w:szCs w:val="28"/>
        </w:rPr>
        <w:t>02746</w:t>
      </w:r>
      <w:r>
        <w:rPr>
          <w:rFonts w:hint="eastAsia" w:cs="Times New Roman"/>
          <w:szCs w:val="28"/>
        </w:rPr>
        <w:t>人，人口密度为</w:t>
      </w:r>
      <w:r>
        <w:rPr>
          <w:rFonts w:cs="Times New Roman"/>
          <w:szCs w:val="28"/>
        </w:rPr>
        <w:t>200.458</w:t>
      </w:r>
      <w:r>
        <w:rPr>
          <w:rFonts w:hint="eastAsia" w:cs="Times New Roman"/>
          <w:szCs w:val="28"/>
        </w:rPr>
        <w:t>人/平方公里。</w:t>
      </w:r>
    </w:p>
    <w:p>
      <w:pPr>
        <w:tabs>
          <w:tab w:val="left" w:pos="720"/>
          <w:tab w:val="left" w:pos="900"/>
        </w:tabs>
        <w:adjustRightInd w:val="0"/>
        <w:snapToGrid w:val="0"/>
        <w:spacing w:line="360" w:lineRule="auto"/>
        <w:ind w:firstLine="0" w:firstLineChars="0"/>
        <w:jc w:val="center"/>
        <w:rPr>
          <w:rFonts w:ascii="宋体" w:hAnsi="Arial" w:eastAsia="宋体" w:cs="Times New Roman"/>
          <w:b/>
          <w:sz w:val="24"/>
          <w:szCs w:val="20"/>
        </w:rPr>
      </w:pPr>
      <w:r>
        <w:rPr>
          <w:rFonts w:hint="eastAsia" w:ascii="宋体" w:hAnsi="Arial" w:eastAsia="宋体" w:cs="Times New Roman"/>
          <w:b/>
          <w:sz w:val="24"/>
          <w:szCs w:val="20"/>
        </w:rPr>
        <w:t>表2-1 阳城县城镇等级规模结构规划一览表</w:t>
      </w:r>
    </w:p>
    <w:tbl>
      <w:tblPr>
        <w:tblStyle w:val="13"/>
        <w:tblW w:w="8884"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813"/>
        <w:gridCol w:w="1134"/>
        <w:gridCol w:w="593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394" w:hRule="atLeast"/>
          <w:jc w:val="center"/>
        </w:trPr>
        <w:tc>
          <w:tcPr>
            <w:tcW w:w="1813" w:type="dxa"/>
            <w:vAlign w:val="center"/>
          </w:tcPr>
          <w:p>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人口规模等级</w:t>
            </w:r>
            <w:r>
              <w:rPr>
                <w:rFonts w:ascii="宋体" w:hAnsi="宋体" w:eastAsia="宋体" w:cs="Times New Roman"/>
                <w:color w:val="000000"/>
                <w:sz w:val="24"/>
                <w:szCs w:val="24"/>
              </w:rPr>
              <w:t>（</w:t>
            </w:r>
            <w:r>
              <w:rPr>
                <w:rFonts w:hint="eastAsia" w:ascii="宋体" w:hAnsi="宋体" w:eastAsia="宋体" w:cs="Times New Roman"/>
                <w:color w:val="000000"/>
                <w:sz w:val="24"/>
                <w:szCs w:val="24"/>
              </w:rPr>
              <w:t>万人</w:t>
            </w:r>
            <w:r>
              <w:rPr>
                <w:rFonts w:ascii="宋体" w:hAnsi="宋体" w:eastAsia="宋体" w:cs="Times New Roman"/>
                <w:color w:val="000000"/>
                <w:sz w:val="24"/>
                <w:szCs w:val="24"/>
              </w:rPr>
              <w:t>）</w:t>
            </w:r>
          </w:p>
        </w:tc>
        <w:tc>
          <w:tcPr>
            <w:tcW w:w="1134" w:type="dxa"/>
            <w:vAlign w:val="center"/>
          </w:tcPr>
          <w:p>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城镇数量</w:t>
            </w:r>
          </w:p>
        </w:tc>
        <w:tc>
          <w:tcPr>
            <w:tcW w:w="5937" w:type="dxa"/>
            <w:vAlign w:val="center"/>
          </w:tcPr>
          <w:p>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称</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1813" w:type="dxa"/>
            <w:vAlign w:val="center"/>
          </w:tcPr>
          <w:p>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18</w:t>
            </w:r>
          </w:p>
        </w:tc>
        <w:tc>
          <w:tcPr>
            <w:tcW w:w="1134" w:type="dxa"/>
            <w:vAlign w:val="center"/>
          </w:tcPr>
          <w:p>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l</w:t>
            </w:r>
          </w:p>
        </w:tc>
        <w:tc>
          <w:tcPr>
            <w:tcW w:w="5937" w:type="dxa"/>
            <w:vAlign w:val="center"/>
          </w:tcPr>
          <w:p>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中心城区</w:t>
            </w:r>
            <w:r>
              <w:rPr>
                <w:rFonts w:ascii="宋体" w:hAnsi="宋体" w:eastAsia="宋体" w:cs="Times New Roman"/>
                <w:color w:val="000000"/>
                <w:sz w:val="24"/>
                <w:szCs w:val="24"/>
              </w:rPr>
              <w:t>（</w:t>
            </w:r>
            <w:r>
              <w:rPr>
                <w:rFonts w:hint="eastAsia" w:ascii="宋体" w:hAnsi="宋体" w:eastAsia="宋体" w:cs="Times New Roman"/>
                <w:color w:val="000000"/>
                <w:sz w:val="24"/>
                <w:szCs w:val="24"/>
              </w:rPr>
              <w:t>主城区、西河区、八甲口区、安阳工业区</w:t>
            </w:r>
            <w:r>
              <w:rPr>
                <w:rFonts w:ascii="宋体" w:hAnsi="宋体" w:eastAsia="宋体" w:cs="Times New Roman"/>
                <w:color w:val="000000"/>
                <w:sz w:val="24"/>
                <w:szCs w:val="24"/>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48" w:hRule="atLeast"/>
          <w:jc w:val="center"/>
        </w:trPr>
        <w:tc>
          <w:tcPr>
            <w:tcW w:w="1813" w:type="dxa"/>
            <w:vAlign w:val="center"/>
          </w:tcPr>
          <w:p>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r>
              <w:rPr>
                <w:rFonts w:ascii="宋体" w:hAnsi="宋体" w:eastAsia="宋体" w:cs="Times New Roman"/>
                <w:color w:val="000000"/>
                <w:sz w:val="24"/>
                <w:szCs w:val="24"/>
              </w:rPr>
              <w:t>3</w:t>
            </w:r>
          </w:p>
        </w:tc>
        <w:tc>
          <w:tcPr>
            <w:tcW w:w="1134" w:type="dxa"/>
            <w:vAlign w:val="center"/>
          </w:tcPr>
          <w:p>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5</w:t>
            </w:r>
          </w:p>
        </w:tc>
        <w:tc>
          <w:tcPr>
            <w:tcW w:w="5937" w:type="dxa"/>
            <w:vAlign w:val="center"/>
          </w:tcPr>
          <w:p>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润城镇、北留镇、芹池镇、次营镇、蟒河镇</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772" w:hRule="atLeast"/>
          <w:jc w:val="center"/>
        </w:trPr>
        <w:tc>
          <w:tcPr>
            <w:tcW w:w="1813" w:type="dxa"/>
            <w:vAlign w:val="center"/>
          </w:tcPr>
          <w:p>
            <w:pPr>
              <w:tabs>
                <w:tab w:val="left" w:pos="1560"/>
              </w:tabs>
              <w:ind w:firstLine="0" w:firstLineChars="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小于</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r>
              <w:rPr>
                <w:rFonts w:ascii="宋体" w:hAnsi="宋体" w:eastAsia="宋体" w:cs="Times New Roman"/>
                <w:color w:val="000000"/>
                <w:sz w:val="24"/>
                <w:szCs w:val="24"/>
              </w:rPr>
              <w:t>O</w:t>
            </w:r>
          </w:p>
        </w:tc>
        <w:tc>
          <w:tcPr>
            <w:tcW w:w="1134" w:type="dxa"/>
            <w:vAlign w:val="center"/>
          </w:tcPr>
          <w:p>
            <w:pPr>
              <w:tabs>
                <w:tab w:val="left" w:pos="1560"/>
              </w:tabs>
              <w:ind w:firstLine="0" w:firstLineChars="0"/>
              <w:jc w:val="center"/>
              <w:rPr>
                <w:rFonts w:ascii="宋体" w:hAnsi="宋体" w:eastAsia="宋体" w:cs="Times New Roman"/>
                <w:color w:val="000000"/>
                <w:sz w:val="24"/>
                <w:szCs w:val="24"/>
              </w:rPr>
            </w:pPr>
            <w:r>
              <w:rPr>
                <w:rFonts w:ascii="宋体" w:hAnsi="宋体" w:eastAsia="宋体" w:cs="Times New Roman"/>
                <w:color w:val="000000"/>
                <w:sz w:val="24"/>
                <w:szCs w:val="24"/>
              </w:rPr>
              <w:t>10</w:t>
            </w:r>
          </w:p>
        </w:tc>
        <w:tc>
          <w:tcPr>
            <w:tcW w:w="5937" w:type="dxa"/>
            <w:vAlign w:val="center"/>
          </w:tcPr>
          <w:p>
            <w:pPr>
              <w:tabs>
                <w:tab w:val="left" w:pos="1560"/>
              </w:tabs>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町店镇、河北镇、横河镇、寺头乡、同隆乡、演礼乡、白桑乡、驾岭乡、董封乡、东冶镇</w:t>
            </w:r>
          </w:p>
        </w:tc>
      </w:tr>
    </w:tbl>
    <w:p>
      <w:pPr>
        <w:adjustRightInd w:val="0"/>
        <w:snapToGrid w:val="0"/>
        <w:spacing w:line="360" w:lineRule="auto"/>
        <w:ind w:firstLine="0" w:firstLineChars="0"/>
        <w:jc w:val="center"/>
        <w:rPr>
          <w:rFonts w:cs="Times New Roman"/>
          <w:szCs w:val="28"/>
        </w:rPr>
      </w:pPr>
      <w:r>
        <w:rPr>
          <w:rFonts w:hint="eastAsia" w:ascii="楷体_GB2312" w:hAnsi="楷体" w:eastAsia="楷体_GB2312"/>
          <w:snapToGrid w:val="0"/>
          <w:sz w:val="28"/>
          <w:szCs w:val="28"/>
        </w:rPr>
        <w:drawing>
          <wp:inline distT="0" distB="0" distL="0" distR="0">
            <wp:extent cx="3846830" cy="3434715"/>
            <wp:effectExtent l="0" t="0" r="1270" b="0"/>
            <wp:docPr id="8" name="图片 8" descr="阳城县行政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阳城县行政图副本"/>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79246" cy="3463546"/>
                    </a:xfrm>
                    <a:prstGeom prst="rect">
                      <a:avLst/>
                    </a:prstGeom>
                    <a:noFill/>
                    <a:ln>
                      <a:noFill/>
                    </a:ln>
                  </pic:spPr>
                </pic:pic>
              </a:graphicData>
            </a:graphic>
          </wp:inline>
        </w:drawing>
      </w:r>
    </w:p>
    <w:p>
      <w:pPr>
        <w:adjustRightInd w:val="0"/>
        <w:snapToGrid w:val="0"/>
        <w:spacing w:line="360" w:lineRule="auto"/>
        <w:ind w:firstLine="0" w:firstLineChars="0"/>
        <w:jc w:val="center"/>
        <w:rPr>
          <w:rFonts w:cs="Times New Roman"/>
          <w:b/>
          <w:sz w:val="28"/>
          <w:szCs w:val="28"/>
        </w:rPr>
      </w:pPr>
      <w:r>
        <w:rPr>
          <w:rFonts w:hint="eastAsia" w:cs="Times New Roman"/>
          <w:b/>
          <w:sz w:val="28"/>
          <w:szCs w:val="28"/>
        </w:rPr>
        <w:t>图2</w:t>
      </w:r>
      <w:r>
        <w:rPr>
          <w:rFonts w:cs="Times New Roman"/>
          <w:b/>
          <w:sz w:val="28"/>
          <w:szCs w:val="28"/>
        </w:rPr>
        <w:t>-2</w:t>
      </w:r>
      <w:r>
        <w:rPr>
          <w:rFonts w:hint="eastAsia" w:cs="Times New Roman"/>
          <w:b/>
          <w:sz w:val="28"/>
          <w:szCs w:val="28"/>
        </w:rPr>
        <w:t xml:space="preserve"> 阳城县行政区划图</w:t>
      </w:r>
    </w:p>
    <w:p>
      <w:pPr>
        <w:pStyle w:val="4"/>
        <w:ind w:firstLine="602" w:firstLineChars="200"/>
        <w:rPr>
          <w:rFonts w:cs="Times New Roman"/>
        </w:rPr>
      </w:pPr>
      <w:bookmarkStart w:id="24" w:name="_Toc49243369"/>
      <w:bookmarkStart w:id="25" w:name="_Toc49243295"/>
      <w:bookmarkStart w:id="26" w:name="_Toc488330118"/>
      <w:bookmarkStart w:id="27" w:name="_Toc488330205"/>
      <w:r>
        <w:rPr>
          <w:rFonts w:cs="Times New Roman"/>
        </w:rPr>
        <w:t>自然条件</w:t>
      </w:r>
      <w:bookmarkEnd w:id="24"/>
      <w:bookmarkEnd w:id="25"/>
      <w:bookmarkEnd w:id="26"/>
      <w:bookmarkEnd w:id="27"/>
    </w:p>
    <w:p>
      <w:pPr>
        <w:adjustRightInd w:val="0"/>
        <w:snapToGrid w:val="0"/>
        <w:spacing w:line="360" w:lineRule="auto"/>
        <w:ind w:firstLine="640"/>
        <w:rPr>
          <w:rFonts w:cs="Times New Roman"/>
          <w:szCs w:val="28"/>
        </w:rPr>
      </w:pPr>
      <w:bookmarkStart w:id="28" w:name="_Toc488330206"/>
      <w:bookmarkStart w:id="29" w:name="_Toc488330119"/>
      <w:r>
        <w:rPr>
          <w:rFonts w:hint="eastAsia" w:cs="Times New Roman"/>
          <w:szCs w:val="28"/>
        </w:rPr>
        <w:t>1、地形地貌</w:t>
      </w:r>
    </w:p>
    <w:p>
      <w:pPr>
        <w:adjustRightInd w:val="0"/>
        <w:snapToGrid w:val="0"/>
        <w:spacing w:line="360" w:lineRule="auto"/>
        <w:ind w:firstLine="640"/>
        <w:rPr>
          <w:rFonts w:cs="Times New Roman"/>
          <w:szCs w:val="28"/>
        </w:rPr>
      </w:pPr>
      <w:r>
        <w:rPr>
          <w:rFonts w:hint="eastAsia" w:cs="Times New Roman"/>
          <w:szCs w:val="28"/>
        </w:rPr>
        <w:t>境内地势由西南向东北倾斜。中、东部较为平坦，是该县主要农作区。境内南部山区，山岭陡峭，</w:t>
      </w:r>
      <w:r>
        <w:fldChar w:fldCharType="begin"/>
      </w:r>
      <w:r>
        <w:instrText xml:space="preserve"> HYPERLINK "https://baike.so.com/doc/5401621-7763999.html" \t "_blank" </w:instrText>
      </w:r>
      <w:r>
        <w:fldChar w:fldCharType="separate"/>
      </w:r>
      <w:r>
        <w:rPr>
          <w:rFonts w:hint="eastAsia" w:cs="Times New Roman"/>
          <w:szCs w:val="28"/>
        </w:rPr>
        <w:t>森林</w:t>
      </w:r>
      <w:r>
        <w:rPr>
          <w:rFonts w:hint="eastAsia" w:cs="Times New Roman"/>
          <w:szCs w:val="28"/>
        </w:rPr>
        <w:fldChar w:fldCharType="end"/>
      </w:r>
      <w:r>
        <w:rPr>
          <w:rFonts w:hint="eastAsia" w:cs="Times New Roman"/>
          <w:szCs w:val="28"/>
        </w:rPr>
        <w:t>茂密，水源充足，且制高点，关隘口、天然石洞繁多，地势险要，历为兵家必争之地。</w:t>
      </w:r>
    </w:p>
    <w:p>
      <w:pPr>
        <w:adjustRightInd w:val="0"/>
        <w:snapToGrid w:val="0"/>
        <w:spacing w:line="360" w:lineRule="auto"/>
        <w:ind w:firstLine="640"/>
        <w:rPr>
          <w:rFonts w:cs="Times New Roman"/>
          <w:szCs w:val="28"/>
        </w:rPr>
      </w:pPr>
      <w:r>
        <w:rPr>
          <w:rFonts w:hint="eastAsia" w:cs="Times New Roman"/>
          <w:szCs w:val="28"/>
        </w:rPr>
        <w:t>南部山区的</w:t>
      </w:r>
      <w:r>
        <w:fldChar w:fldCharType="begin"/>
      </w:r>
      <w:r>
        <w:instrText xml:space="preserve"> HYPERLINK "https://baike.so.com/doc/5381955-5618302.html" \t "_blank" </w:instrText>
      </w:r>
      <w:r>
        <w:fldChar w:fldCharType="separate"/>
      </w:r>
      <w:r>
        <w:rPr>
          <w:rFonts w:hint="eastAsia" w:cs="Times New Roman"/>
          <w:szCs w:val="28"/>
        </w:rPr>
        <w:t>云蒙山</w:t>
      </w:r>
      <w:r>
        <w:rPr>
          <w:rFonts w:hint="eastAsia" w:cs="Times New Roman"/>
          <w:szCs w:val="28"/>
        </w:rPr>
        <w:fldChar w:fldCharType="end"/>
      </w:r>
      <w:r>
        <w:rPr>
          <w:rFonts w:hint="eastAsia" w:cs="Times New Roman"/>
          <w:szCs w:val="28"/>
        </w:rPr>
        <w:t>，海拔1951米，为该县最高峰，西北部为丘陵区，属太岳山余支。河流以沁河为主，并有芦苇河、西治河等支流汇入。县境南部还有几条河流注入河南省。</w:t>
      </w:r>
    </w:p>
    <w:p>
      <w:pPr>
        <w:adjustRightInd w:val="0"/>
        <w:snapToGrid w:val="0"/>
        <w:spacing w:line="360" w:lineRule="auto"/>
        <w:ind w:firstLine="640"/>
        <w:rPr>
          <w:rFonts w:cs="Times New Roman"/>
          <w:szCs w:val="28"/>
        </w:rPr>
      </w:pPr>
      <w:r>
        <w:rPr>
          <w:rFonts w:hint="eastAsia" w:cs="Times New Roman"/>
          <w:szCs w:val="28"/>
        </w:rPr>
        <w:t>2、河流</w:t>
      </w:r>
    </w:p>
    <w:p>
      <w:pPr>
        <w:adjustRightInd w:val="0"/>
        <w:snapToGrid w:val="0"/>
        <w:spacing w:line="360" w:lineRule="auto"/>
        <w:ind w:firstLine="640"/>
        <w:rPr>
          <w:rFonts w:cs="Times New Roman"/>
          <w:szCs w:val="28"/>
        </w:rPr>
      </w:pPr>
      <w:r>
        <w:rPr>
          <w:rFonts w:hint="eastAsia" w:cs="Times New Roman"/>
          <w:szCs w:val="28"/>
        </w:rPr>
        <w:t>全县河流均属黄河水系。西起索泉岭，东至三盘山为南北分水岭。分水岭以北主要有沁河、芦苇河、获泽河。全县地下水、地表水总储量3.804亿立方米。其中地表水3.322亿立方米，地下水1.984亿立方米，重复量为1.502亿立方米。可供开发利用的1.548亿立方米，其中地表水可利用0.319亿立方米，地下水可利用1.229亿立方米。太行山西支伸入县境南部，中条山东支伸入县境西南端，太岳山从北延伸县境中南部。</w:t>
      </w:r>
    </w:p>
    <w:p>
      <w:pPr>
        <w:adjustRightInd w:val="0"/>
        <w:snapToGrid w:val="0"/>
        <w:spacing w:line="360" w:lineRule="auto"/>
        <w:ind w:firstLine="640"/>
        <w:rPr>
          <w:rFonts w:cs="Times New Roman"/>
          <w:szCs w:val="28"/>
        </w:rPr>
      </w:pPr>
      <w:r>
        <w:rPr>
          <w:rFonts w:hint="eastAsia" w:cs="Times New Roman"/>
          <w:szCs w:val="28"/>
        </w:rPr>
        <w:t>3、气象</w:t>
      </w:r>
    </w:p>
    <w:p>
      <w:pPr>
        <w:adjustRightInd w:val="0"/>
        <w:snapToGrid w:val="0"/>
        <w:spacing w:line="360" w:lineRule="auto"/>
        <w:ind w:firstLine="640"/>
        <w:rPr>
          <w:rFonts w:cs="Times New Roman"/>
          <w:szCs w:val="28"/>
        </w:rPr>
      </w:pPr>
      <w:r>
        <w:rPr>
          <w:rFonts w:hint="eastAsia" w:cs="Times New Roman"/>
          <w:szCs w:val="28"/>
        </w:rPr>
        <w:t>阳城县属温带大陆性季风气候，总的气候特点是四季分明，春季干旱多风，夏季炎热，秋季凉爽多雨，冬季寒冷，降水稀少。</w:t>
      </w:r>
      <w:r>
        <w:rPr>
          <w:rFonts w:hint="eastAsia" w:cs="Times New Roman"/>
          <w:szCs w:val="28"/>
          <w:lang w:eastAsia="zh-CN"/>
        </w:rPr>
        <w:t>气候</w:t>
      </w:r>
      <w:r>
        <w:rPr>
          <w:rFonts w:hint="eastAsia" w:cs="Times New Roman"/>
          <w:szCs w:val="28"/>
        </w:rPr>
        <w:t>特征如下：</w:t>
      </w:r>
    </w:p>
    <w:p>
      <w:pPr>
        <w:adjustRightInd w:val="0"/>
        <w:snapToGrid w:val="0"/>
        <w:spacing w:line="360" w:lineRule="auto"/>
        <w:ind w:firstLine="640"/>
        <w:rPr>
          <w:rFonts w:cs="Times New Roman"/>
          <w:szCs w:val="28"/>
        </w:rPr>
      </w:pPr>
      <w:r>
        <w:rPr>
          <w:rFonts w:hint="eastAsia" w:cs="Times New Roman"/>
          <w:szCs w:val="28"/>
        </w:rPr>
        <w:t>属温带大陆性气候，春夏秋冬四季分明，年平均气温11.7℃。一月份最冷，平均气温-3℃，最低曾降至-19.7℃。七月份最热，平均气温24.9℃，最高曾达40.2℃。日最低气温一般在十一月初降至零度以下，翌年四月上旬回升到零度以上。</w:t>
      </w:r>
    </w:p>
    <w:p>
      <w:pPr>
        <w:adjustRightInd w:val="0"/>
        <w:snapToGrid w:val="0"/>
        <w:spacing w:line="360" w:lineRule="auto"/>
        <w:ind w:firstLine="640"/>
        <w:rPr>
          <w:rFonts w:cs="Times New Roman"/>
          <w:szCs w:val="28"/>
        </w:rPr>
      </w:pPr>
      <w:r>
        <w:rPr>
          <w:rFonts w:hint="eastAsia" w:cs="Times New Roman"/>
          <w:szCs w:val="28"/>
        </w:rPr>
        <w:t>年降水量平均在659毫米。降雨特点为：年际变化大，季节变化大，区域差别大，强度变化大，最高年曾达852.2毫米，最少年只有335.2毫米，降水总量的58％集中在七、八、九三个月内。</w:t>
      </w:r>
    </w:p>
    <w:p>
      <w:pPr>
        <w:adjustRightInd w:val="0"/>
        <w:snapToGrid w:val="0"/>
        <w:spacing w:line="360" w:lineRule="auto"/>
        <w:ind w:firstLine="640"/>
        <w:rPr>
          <w:rFonts w:cs="Times New Roman"/>
          <w:szCs w:val="28"/>
        </w:rPr>
      </w:pPr>
      <w:r>
        <w:rPr>
          <w:rFonts w:hint="eastAsia" w:cs="Times New Roman"/>
          <w:szCs w:val="28"/>
        </w:rPr>
        <w:t>县域全年主导风向为西北。</w:t>
      </w:r>
    </w:p>
    <w:p>
      <w:pPr>
        <w:adjustRightInd w:val="0"/>
        <w:snapToGrid w:val="0"/>
        <w:spacing w:line="360" w:lineRule="auto"/>
        <w:ind w:firstLine="640"/>
        <w:rPr>
          <w:rFonts w:cs="Times New Roman"/>
          <w:szCs w:val="28"/>
        </w:rPr>
      </w:pPr>
      <w:r>
        <w:rPr>
          <w:rFonts w:hint="eastAsia" w:cs="Times New Roman"/>
          <w:szCs w:val="28"/>
        </w:rPr>
        <w:t>霜冻期为十月中旬至次年三月下旬。受地形影响，区内山岭与盆地区无霜期长短不一，一般为170天至180天左右。</w:t>
      </w:r>
    </w:p>
    <w:p>
      <w:pPr>
        <w:adjustRightInd w:val="0"/>
        <w:snapToGrid w:val="0"/>
        <w:spacing w:line="360" w:lineRule="auto"/>
        <w:ind w:firstLine="640"/>
        <w:rPr>
          <w:rFonts w:cs="Times New Roman"/>
          <w:szCs w:val="28"/>
        </w:rPr>
      </w:pPr>
      <w:r>
        <w:rPr>
          <w:rFonts w:hint="eastAsia" w:cs="Times New Roman"/>
          <w:szCs w:val="28"/>
        </w:rPr>
        <w:t>土壤冰冻期为12月20日~翌年2月25日，一般冻土深度约30~50厘米，最大冻土深度76厘米。</w:t>
      </w:r>
    </w:p>
    <w:p>
      <w:pPr>
        <w:pStyle w:val="4"/>
        <w:ind w:firstLine="602" w:firstLineChars="200"/>
        <w:rPr>
          <w:rFonts w:cs="Times New Roman"/>
        </w:rPr>
      </w:pPr>
      <w:bookmarkStart w:id="30" w:name="_Toc49243296"/>
      <w:bookmarkStart w:id="31" w:name="_Toc49243370"/>
      <w:r>
        <w:rPr>
          <w:rFonts w:cs="Times New Roman"/>
        </w:rPr>
        <w:t>自然资源</w:t>
      </w:r>
      <w:bookmarkEnd w:id="28"/>
      <w:bookmarkEnd w:id="29"/>
      <w:bookmarkEnd w:id="30"/>
      <w:bookmarkEnd w:id="31"/>
    </w:p>
    <w:p>
      <w:pPr>
        <w:widowControl/>
        <w:snapToGrid w:val="0"/>
        <w:spacing w:line="360" w:lineRule="auto"/>
        <w:ind w:firstLine="640"/>
        <w:rPr>
          <w:rFonts w:cs="Times New Roman"/>
          <w:szCs w:val="28"/>
        </w:rPr>
      </w:pPr>
      <w:r>
        <w:rPr>
          <w:rFonts w:hint="eastAsia" w:cs="Times New Roman"/>
          <w:szCs w:val="28"/>
        </w:rPr>
        <w:t>1、矿产资源</w:t>
      </w:r>
    </w:p>
    <w:p>
      <w:pPr>
        <w:widowControl/>
        <w:snapToGrid w:val="0"/>
        <w:spacing w:line="360" w:lineRule="auto"/>
        <w:ind w:firstLine="640"/>
        <w:rPr>
          <w:rFonts w:cs="Times New Roman"/>
          <w:szCs w:val="28"/>
        </w:rPr>
      </w:pPr>
      <w:r>
        <w:rPr>
          <w:rFonts w:hint="eastAsia" w:cs="Times New Roman"/>
          <w:szCs w:val="28"/>
        </w:rPr>
        <w:t>阳城县境内地下矿产资源拥有20多种，主要有：煤炭、铝矾土、石灰石、白云岩、镁等，尤以煤炭、铝矾土、陶瓷粘土储量丰富，是国家优质化工原料无烟煤生产基地。其中煤炭储量 56 亿吨，镁矿探明储量达42亿吨。</w:t>
      </w:r>
    </w:p>
    <w:p>
      <w:pPr>
        <w:widowControl/>
        <w:snapToGrid w:val="0"/>
        <w:spacing w:line="360" w:lineRule="auto"/>
        <w:ind w:firstLine="640"/>
        <w:rPr>
          <w:rFonts w:cs="Times New Roman"/>
          <w:szCs w:val="28"/>
        </w:rPr>
      </w:pPr>
      <w:r>
        <w:rPr>
          <w:rFonts w:hint="eastAsia" w:cs="Times New Roman"/>
          <w:szCs w:val="28"/>
        </w:rPr>
        <w:t>2、电力资源</w:t>
      </w:r>
    </w:p>
    <w:p>
      <w:pPr>
        <w:widowControl/>
        <w:snapToGrid w:val="0"/>
        <w:spacing w:line="360" w:lineRule="auto"/>
        <w:ind w:firstLine="640"/>
        <w:rPr>
          <w:rFonts w:cs="Times New Roman"/>
          <w:szCs w:val="28"/>
        </w:rPr>
      </w:pPr>
      <w:r>
        <w:rPr>
          <w:rFonts w:hint="eastAsia" w:cs="Times New Roman"/>
          <w:szCs w:val="28"/>
        </w:rPr>
        <w:t>亚洲第一大火力发电厂、总装机容量210万千瓦的阳城电厂6台机组已全部投产。全县电力由供电公司提供。目前有1座110KV变电站主变2台63000KVA；9座35KV变电站主变12台63750KVA，可确保电力畅通。</w:t>
      </w:r>
    </w:p>
    <w:p>
      <w:pPr>
        <w:widowControl/>
        <w:snapToGrid w:val="0"/>
        <w:spacing w:line="360" w:lineRule="auto"/>
        <w:ind w:firstLine="640"/>
        <w:rPr>
          <w:rFonts w:cs="Times New Roman"/>
          <w:szCs w:val="28"/>
        </w:rPr>
      </w:pPr>
      <w:r>
        <w:rPr>
          <w:rFonts w:hint="eastAsia" w:cs="Times New Roman"/>
          <w:szCs w:val="28"/>
        </w:rPr>
        <w:t>3、土地资源</w:t>
      </w:r>
    </w:p>
    <w:p>
      <w:pPr>
        <w:widowControl/>
        <w:snapToGrid w:val="0"/>
        <w:spacing w:line="360" w:lineRule="auto"/>
        <w:ind w:firstLine="640"/>
        <w:rPr>
          <w:rFonts w:cs="Times New Roman"/>
          <w:szCs w:val="28"/>
        </w:rPr>
      </w:pPr>
      <w:r>
        <w:rPr>
          <w:rFonts w:hint="eastAsia" w:cs="Times New Roman"/>
          <w:szCs w:val="28"/>
        </w:rPr>
        <w:t>全县土地总面积中，山地面积约1082.4平方公里，合162.4万亩，占总土地面积的55％，海拔1000~2000米之间；丘陵面积787.2平方公里，合118.1万亩，占总土地面积的40％，海拔700~1000米之间；河谷平川面积98.4平方公里，合14.7万亩，占总土地面积的5％，海拔600米左右。</w:t>
      </w:r>
    </w:p>
    <w:p>
      <w:pPr>
        <w:widowControl/>
        <w:snapToGrid w:val="0"/>
        <w:spacing w:line="360" w:lineRule="auto"/>
        <w:ind w:firstLine="640"/>
        <w:rPr>
          <w:rFonts w:cs="Times New Roman"/>
          <w:szCs w:val="28"/>
        </w:rPr>
      </w:pPr>
      <w:r>
        <w:rPr>
          <w:rFonts w:hint="eastAsia" w:cs="Times New Roman"/>
          <w:szCs w:val="28"/>
        </w:rPr>
        <w:t>4、农林资源</w:t>
      </w:r>
    </w:p>
    <w:p>
      <w:pPr>
        <w:widowControl/>
        <w:snapToGrid w:val="0"/>
        <w:spacing w:line="360" w:lineRule="auto"/>
        <w:ind w:firstLine="640"/>
        <w:rPr>
          <w:rFonts w:cs="Times New Roman"/>
          <w:szCs w:val="28"/>
        </w:rPr>
      </w:pPr>
      <w:r>
        <w:rPr>
          <w:rFonts w:hint="eastAsia" w:cs="Times New Roman"/>
          <w:szCs w:val="28"/>
        </w:rPr>
        <w:t>全县耕地总资源36542公顷，常用耕地面积26366公顷。牧坡草地面积32.97万亩，森林面积121万亩，森林覆盖率为36％。其中红豆杉、领春木、山白树、牛鼻酸、青檀等起源很早，为中国特有的树种，有中草药300多种。</w:t>
      </w:r>
    </w:p>
    <w:p>
      <w:pPr>
        <w:widowControl/>
        <w:snapToGrid w:val="0"/>
        <w:spacing w:line="360" w:lineRule="auto"/>
        <w:ind w:firstLine="640"/>
        <w:rPr>
          <w:rFonts w:cs="Times New Roman"/>
          <w:szCs w:val="28"/>
        </w:rPr>
      </w:pPr>
      <w:r>
        <w:rPr>
          <w:rFonts w:hint="eastAsia" w:cs="Times New Roman"/>
          <w:szCs w:val="28"/>
        </w:rPr>
        <w:t>阳城县地上动植物1100多种，其中列为国家一、二级重点保护的动物有30余种，植物3种，有300余种野生中药材，红豆衫北方罕见，山茱萸全国最佳，是中国四大山产地之一。</w:t>
      </w:r>
    </w:p>
    <w:p>
      <w:pPr>
        <w:widowControl/>
        <w:snapToGrid w:val="0"/>
        <w:spacing w:line="360" w:lineRule="auto"/>
        <w:ind w:firstLine="640"/>
        <w:rPr>
          <w:rFonts w:cs="Times New Roman"/>
          <w:szCs w:val="28"/>
        </w:rPr>
      </w:pPr>
      <w:r>
        <w:rPr>
          <w:rFonts w:hint="eastAsia" w:cs="Times New Roman"/>
          <w:szCs w:val="28"/>
        </w:rPr>
        <w:t>水资源总量4.67亿立方米。</w:t>
      </w:r>
    </w:p>
    <w:p>
      <w:pPr>
        <w:widowControl/>
        <w:snapToGrid w:val="0"/>
        <w:spacing w:line="360" w:lineRule="auto"/>
        <w:ind w:firstLine="640"/>
        <w:rPr>
          <w:rFonts w:cs="Times New Roman"/>
          <w:szCs w:val="28"/>
        </w:rPr>
      </w:pPr>
      <w:r>
        <w:rPr>
          <w:rFonts w:hint="eastAsia" w:cs="Times New Roman"/>
          <w:szCs w:val="28"/>
        </w:rPr>
        <w:t>5、旅游资源</w:t>
      </w:r>
    </w:p>
    <w:p>
      <w:pPr>
        <w:widowControl/>
        <w:snapToGrid w:val="0"/>
        <w:spacing w:line="360" w:lineRule="auto"/>
        <w:ind w:firstLine="640"/>
        <w:rPr>
          <w:rFonts w:cs="Times New Roman"/>
          <w:szCs w:val="28"/>
        </w:rPr>
      </w:pPr>
      <w:r>
        <w:rPr>
          <w:rFonts w:hint="eastAsia" w:cs="Times New Roman"/>
          <w:szCs w:val="28"/>
        </w:rPr>
        <w:t>阳城历史悠久、文化灿烂。古称濩泽，为尧、舜、夏冀州之域。自西汉置县距今已有两千多年的历史，周朝开始栽桑养蚕，金元冶铸全国领先，明代琉璃享誉华夏。明清时期与陕西韩城、安徽桐城同为全国文化发达之乡，在泽州府所辖五县中文风最高，有“名列三城、风高五属”之美誉。革命战争年代，曾是太岳根据地首府，老一辈无产阶级革命家朱德、邓小平、彭德怀曾在这里留下了光辉足迹。境内有丰富的自然生态资源和历史人文资源。</w:t>
      </w:r>
    </w:p>
    <w:p>
      <w:pPr>
        <w:widowControl/>
        <w:spacing w:line="360" w:lineRule="auto"/>
        <w:ind w:firstLine="643"/>
        <w:rPr>
          <w:rFonts w:cs="Times New Roman"/>
          <w:szCs w:val="28"/>
        </w:rPr>
      </w:pPr>
      <w:r>
        <w:rPr>
          <w:rFonts w:hint="eastAsia" w:cs="Times New Roman"/>
          <w:b/>
          <w:szCs w:val="28"/>
        </w:rPr>
        <w:t>皇城相府</w:t>
      </w:r>
      <w:r>
        <w:rPr>
          <w:rFonts w:hint="eastAsia" w:cs="Times New Roman"/>
          <w:szCs w:val="28"/>
        </w:rPr>
        <w:t>（又称午亭山村），是清文渊阁大学士兼吏部尚书加三级、《康熙字典》总阅官、康熙皇帝35年经筵讲师陈延敬的故居。其建筑依山就势，随形生变，官宅民居，鳞次栉比，是一组别具特色的明清城堡式官宅建筑群。“绿树村边合、青山郭外斜”，皇城相府不仅是一幅古代“自然山水画”、更是一座具有强烈人文精神的东方古城堡，被专家称为“中国北方第一文化世族巨宅”。2007年，皇城相府成为AAAAA级游景区。2012年4月份，皇城相府获得全国文明单位评选冠军。</w:t>
      </w:r>
    </w:p>
    <w:p>
      <w:pPr>
        <w:widowControl/>
        <w:spacing w:line="360" w:lineRule="auto"/>
        <w:ind w:firstLine="640"/>
        <w:rPr>
          <w:rFonts w:cs="Times New Roman"/>
          <w:szCs w:val="28"/>
        </w:rPr>
      </w:pPr>
      <w:r>
        <w:rPr>
          <w:rFonts w:hint="eastAsia" w:cs="Times New Roman"/>
          <w:szCs w:val="28"/>
        </w:rPr>
        <w:t>皇城相府景区游览面积十万多平方米。其建筑依山就势，随形生变，层楼叠院，错落有致。</w:t>
      </w:r>
    </w:p>
    <w:p>
      <w:pPr>
        <w:widowControl/>
        <w:spacing w:line="360" w:lineRule="auto"/>
        <w:ind w:firstLine="640"/>
        <w:rPr>
          <w:rFonts w:cs="Times New Roman"/>
          <w:szCs w:val="28"/>
        </w:rPr>
      </w:pPr>
      <w:r>
        <w:rPr>
          <w:rFonts w:hint="eastAsia" w:cs="Times New Roman"/>
          <w:szCs w:val="28"/>
        </w:rPr>
        <w:t>御书楼金碧辉煌，河山楼雄奇险峻，中道庄巍峨壮观，斗筑居府院连绵，藏兵洞奇妙无穷，南书院曲径通幽，西花园风景别致，紫芸阡御碑林立。纵观相府景区，历史人文底蕴厚重，造型独特，气象万千。</w:t>
      </w:r>
    </w:p>
    <w:p>
      <w:pPr>
        <w:widowControl/>
        <w:spacing w:line="360" w:lineRule="auto"/>
        <w:ind w:firstLine="0" w:firstLineChars="0"/>
        <w:rPr>
          <w:rFonts w:cs="Times New Roman"/>
          <w:szCs w:val="28"/>
        </w:rPr>
      </w:pPr>
      <w:r>
        <w:rPr>
          <w:rFonts w:hint="eastAsia" w:cs="Times New Roman"/>
          <w:szCs w:val="28"/>
        </w:rPr>
        <w:drawing>
          <wp:inline distT="0" distB="0" distL="0" distR="0">
            <wp:extent cx="2760345" cy="2104390"/>
            <wp:effectExtent l="0" t="0" r="1905" b="0"/>
            <wp:docPr id="14" name="图片 14" descr="御书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御书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61580" cy="2181836"/>
                    </a:xfrm>
                    <a:prstGeom prst="rect">
                      <a:avLst/>
                    </a:prstGeom>
                    <a:noFill/>
                    <a:ln>
                      <a:noFill/>
                    </a:ln>
                  </pic:spPr>
                </pic:pic>
              </a:graphicData>
            </a:graphic>
          </wp:inline>
        </w:drawing>
      </w:r>
      <w:r>
        <w:rPr>
          <w:rFonts w:hint="eastAsia" w:cs="Times New Roman"/>
          <w:szCs w:val="28"/>
        </w:rPr>
        <w:t xml:space="preserve"> </w:t>
      </w:r>
      <w:r>
        <w:rPr>
          <w:rFonts w:hint="eastAsia" w:cs="Times New Roman"/>
          <w:szCs w:val="28"/>
        </w:rPr>
        <w:drawing>
          <wp:inline distT="0" distB="0" distL="0" distR="0">
            <wp:extent cx="2734310" cy="2103755"/>
            <wp:effectExtent l="0" t="0" r="8890" b="0"/>
            <wp:docPr id="12" name="图片 12" descr="石牌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牌坊"/>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206" cy="2150042"/>
                    </a:xfrm>
                    <a:prstGeom prst="rect">
                      <a:avLst/>
                    </a:prstGeom>
                    <a:noFill/>
                    <a:ln>
                      <a:noFill/>
                    </a:ln>
                  </pic:spPr>
                </pic:pic>
              </a:graphicData>
            </a:graphic>
          </wp:inline>
        </w:drawing>
      </w:r>
    </w:p>
    <w:p>
      <w:pPr>
        <w:widowControl/>
        <w:spacing w:line="360" w:lineRule="auto"/>
        <w:ind w:firstLine="1861" w:firstLineChars="662"/>
        <w:rPr>
          <w:rFonts w:cs="Times New Roman"/>
          <w:b/>
          <w:sz w:val="28"/>
          <w:szCs w:val="28"/>
        </w:rPr>
      </w:pPr>
      <w:r>
        <w:rPr>
          <w:rFonts w:hint="eastAsia" w:cs="Times New Roman"/>
          <w:b/>
          <w:sz w:val="28"/>
          <w:szCs w:val="28"/>
        </w:rPr>
        <w:t xml:space="preserve">御书楼 </w:t>
      </w:r>
      <w:r>
        <w:rPr>
          <w:rFonts w:cs="Times New Roman"/>
          <w:b/>
          <w:sz w:val="28"/>
          <w:szCs w:val="28"/>
        </w:rPr>
        <w:t xml:space="preserve">                        </w:t>
      </w:r>
      <w:r>
        <w:rPr>
          <w:rFonts w:hint="eastAsia" w:cs="Times New Roman"/>
          <w:b/>
          <w:sz w:val="28"/>
          <w:szCs w:val="28"/>
        </w:rPr>
        <w:t>石牌坊</w:t>
      </w:r>
    </w:p>
    <w:p>
      <w:pPr>
        <w:widowControl/>
        <w:spacing w:line="360" w:lineRule="auto"/>
        <w:ind w:firstLine="643"/>
        <w:rPr>
          <w:rFonts w:cs="Times New Roman"/>
          <w:szCs w:val="28"/>
        </w:rPr>
      </w:pPr>
      <w:r>
        <w:rPr>
          <w:rFonts w:hint="eastAsia" w:cs="Times New Roman"/>
          <w:b/>
          <w:szCs w:val="28"/>
        </w:rPr>
        <w:t>蟒河旅游区</w:t>
      </w:r>
      <w:r>
        <w:rPr>
          <w:rFonts w:hint="eastAsia" w:cs="Times New Roman"/>
          <w:szCs w:val="28"/>
        </w:rPr>
        <w:t xml:space="preserve">位于阳城县东南30公里的蟒河镇，总面积5573公顷，是以保护猕猴和亚热带植被为主的森林和野生动物类型国家级自然保护区。整个地形四周环山，中成谷地，地貌以深涧、峡谷、奇峰为主，为黄土高原罕见的一处水景富集区。 </w:t>
      </w:r>
    </w:p>
    <w:p>
      <w:pPr>
        <w:widowControl/>
        <w:spacing w:line="360" w:lineRule="auto"/>
        <w:ind w:firstLine="640"/>
        <w:rPr>
          <w:rFonts w:cs="Times New Roman"/>
          <w:szCs w:val="28"/>
        </w:rPr>
      </w:pPr>
      <w:r>
        <w:rPr>
          <w:rFonts w:hint="eastAsia" w:cs="Times New Roman"/>
          <w:szCs w:val="28"/>
        </w:rPr>
        <w:t>蟒河的山层峦叠障：有奇峰突起形似玉莲的莲花峰，有万里丹霄悬一柱的望莽孤峰，有悬壁绝络宛若石牢的青云谷，有山山对峙似天外来客的飞来峰。蟒河之水洞中出，依山穿洞顺涧行，悬者为瀑，落者为潭，走者为湍，停者为泓，主要水景有水帘洞、瀑布群、二龙戏珠、龟石池、三迭水等。其方圆数十里有山皆奇，有水皆秀，鬼斧神工，妙境天成，像一幅天然画卷，被人们雅称为“黄土高原小桂林”。旅游区内历经数百万年河水冲刷积淀而成的20华里长的地表钙化景观，为我国北方所罕见，给蟒河秀丽迷人的峡谷风光增添了几多神秘，几多沧桑。</w:t>
      </w:r>
    </w:p>
    <w:p>
      <w:pPr>
        <w:widowControl/>
        <w:spacing w:line="360" w:lineRule="auto"/>
        <w:ind w:firstLine="0" w:firstLineChars="0"/>
        <w:jc w:val="center"/>
        <w:rPr>
          <w:rFonts w:cs="Times New Roman"/>
          <w:szCs w:val="28"/>
        </w:rPr>
      </w:pPr>
      <w:r>
        <w:drawing>
          <wp:inline distT="0" distB="0" distL="0" distR="0">
            <wp:extent cx="4521200" cy="2971165"/>
            <wp:effectExtent l="0" t="0" r="0" b="635"/>
            <wp:docPr id="27" name="图片 27" descr="https://bkimg.cdn.bcebos.com/pic/a8ec8a13632762d0f8839e4eaeec08fa503dc685?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bkimg.cdn.bcebos.com/pic/a8ec8a13632762d0f8839e4eaeec08fa503dc685?x-bce-process=image/resize,m_lfit,w_220,h_220,limit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48555" cy="2988735"/>
                    </a:xfrm>
                    <a:prstGeom prst="rect">
                      <a:avLst/>
                    </a:prstGeom>
                    <a:noFill/>
                    <a:ln>
                      <a:noFill/>
                    </a:ln>
                  </pic:spPr>
                </pic:pic>
              </a:graphicData>
            </a:graphic>
          </wp:inline>
        </w:drawing>
      </w:r>
    </w:p>
    <w:p>
      <w:pPr>
        <w:widowControl/>
        <w:spacing w:line="360" w:lineRule="auto"/>
        <w:ind w:firstLine="0" w:firstLineChars="0"/>
        <w:jc w:val="center"/>
        <w:rPr>
          <w:rFonts w:cs="Times New Roman"/>
          <w:b/>
          <w:sz w:val="28"/>
          <w:szCs w:val="28"/>
        </w:rPr>
      </w:pPr>
      <w:r>
        <w:rPr>
          <w:rFonts w:hint="eastAsia" w:cs="Times New Roman"/>
          <w:b/>
          <w:sz w:val="28"/>
          <w:szCs w:val="28"/>
        </w:rPr>
        <w:t>蟒河图片</w:t>
      </w:r>
    </w:p>
    <w:p>
      <w:pPr>
        <w:widowControl/>
        <w:spacing w:line="360" w:lineRule="auto"/>
        <w:ind w:firstLine="643"/>
        <w:rPr>
          <w:rFonts w:cs="Times New Roman"/>
          <w:szCs w:val="28"/>
        </w:rPr>
      </w:pPr>
      <w:r>
        <w:rPr>
          <w:rFonts w:hint="eastAsia" w:cs="Times New Roman"/>
          <w:b/>
          <w:szCs w:val="28"/>
        </w:rPr>
        <w:t>九女仙湖</w:t>
      </w:r>
      <w:r>
        <w:rPr>
          <w:rFonts w:hint="eastAsia" w:cs="Times New Roman"/>
          <w:szCs w:val="28"/>
        </w:rPr>
        <w:t>是阳城又一处美仑美奂的自然生态旅游区。它地处沁河峡谷，北距亚洲第一大坑口火力发电厂--阳城电厂7公里。</w:t>
      </w:r>
    </w:p>
    <w:p>
      <w:pPr>
        <w:widowControl/>
        <w:spacing w:line="360" w:lineRule="auto"/>
        <w:ind w:firstLine="640"/>
        <w:rPr>
          <w:rFonts w:cs="Times New Roman"/>
          <w:szCs w:val="28"/>
        </w:rPr>
      </w:pPr>
      <w:r>
        <w:rPr>
          <w:rFonts w:hint="eastAsia" w:cs="Times New Roman"/>
          <w:szCs w:val="28"/>
        </w:rPr>
        <w:t>主体景观仙女湖，是建水电大坝形成的高峡平湖，回水长度20余华里，水域面积13平方公里，以湖中耸立着的巨石景观--九女仙台及九仙女的美丽传说而得名。亭亭玉立、楼台辉映的九女仙台，为阳城古“八景”之一，自古就是文人墨客游览胜地，留下了许多脍炙人口的锦诗秀章。仙女湖两岸青山耸立，林荫蔽日，百花竞艳。湖内行船荡舟，可见山在水中，水在山中，舟移景易，碧水与长天一色，如游漓江，似进三峡。</w:t>
      </w:r>
    </w:p>
    <w:p>
      <w:pPr>
        <w:widowControl/>
        <w:spacing w:line="360" w:lineRule="auto"/>
        <w:ind w:firstLine="0" w:firstLineChars="0"/>
        <w:jc w:val="center"/>
        <w:rPr>
          <w:rFonts w:cs="Times New Roman"/>
          <w:szCs w:val="28"/>
        </w:rPr>
      </w:pPr>
      <w:r>
        <w:drawing>
          <wp:inline distT="0" distB="0" distL="0" distR="0">
            <wp:extent cx="4592320" cy="3066415"/>
            <wp:effectExtent l="0" t="0" r="0" b="635"/>
            <wp:docPr id="28" name="图片 28" descr="https://bkimg.cdn.bcebos.com/pic/a8014c086e061d95785da2ae75f40ad162d9ca09?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bkimg.cdn.bcebos.com/pic/a8014c086e061d95785da2ae75f40ad162d9ca09?x-bce-process=image/resize,m_lfit,w_220,h_220,limit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11175" cy="3078773"/>
                    </a:xfrm>
                    <a:prstGeom prst="rect">
                      <a:avLst/>
                    </a:prstGeom>
                    <a:noFill/>
                    <a:ln>
                      <a:noFill/>
                    </a:ln>
                  </pic:spPr>
                </pic:pic>
              </a:graphicData>
            </a:graphic>
          </wp:inline>
        </w:drawing>
      </w:r>
    </w:p>
    <w:p>
      <w:pPr>
        <w:widowControl/>
        <w:spacing w:line="360" w:lineRule="auto"/>
        <w:ind w:firstLine="0" w:firstLineChars="0"/>
        <w:jc w:val="center"/>
        <w:rPr>
          <w:rFonts w:cs="Times New Roman"/>
          <w:sz w:val="28"/>
          <w:szCs w:val="28"/>
        </w:rPr>
      </w:pPr>
      <w:r>
        <w:rPr>
          <w:rFonts w:hint="eastAsia" w:cs="Times New Roman"/>
          <w:b/>
          <w:sz w:val="28"/>
          <w:szCs w:val="28"/>
        </w:rPr>
        <w:t>九女仙湖</w:t>
      </w:r>
    </w:p>
    <w:p>
      <w:pPr>
        <w:widowControl/>
        <w:spacing w:line="360" w:lineRule="auto"/>
        <w:ind w:firstLine="643"/>
        <w:rPr>
          <w:rFonts w:cs="Times New Roman"/>
          <w:szCs w:val="28"/>
        </w:rPr>
      </w:pPr>
      <w:r>
        <w:rPr>
          <w:rFonts w:hint="eastAsia" w:cs="Times New Roman"/>
          <w:b/>
          <w:szCs w:val="28"/>
        </w:rPr>
        <w:t>析城山</w:t>
      </w:r>
      <w:r>
        <w:rPr>
          <w:rFonts w:hint="eastAsia" w:cs="Times New Roman"/>
          <w:szCs w:val="28"/>
        </w:rPr>
        <w:t>位于阳城县西南35公里的横河镇境内。“山峰四面如城，有东、西、南、北四门分析，故曰析城”。主峰海拔1888米。山顶为坪，宽缓广阔，总面积12701亩，史载商汤曾祷雨于此，故又称圣王坪 。</w:t>
      </w:r>
    </w:p>
    <w:p>
      <w:pPr>
        <w:widowControl/>
        <w:spacing w:line="360" w:lineRule="auto"/>
        <w:ind w:firstLine="640"/>
        <w:rPr>
          <w:rFonts w:cs="Times New Roman"/>
          <w:szCs w:val="28"/>
        </w:rPr>
      </w:pPr>
      <w:r>
        <w:rPr>
          <w:rFonts w:hint="eastAsia" w:cs="Times New Roman"/>
          <w:szCs w:val="28"/>
        </w:rPr>
        <w:t>圣王坪水源充沛，百草丰茂，是山西省仅有的几块亚高山草甸之一。坪上绿草如茵，野花娇艳，白云飘逸，牛羊徜徉。四缘峰峦拔峭，高树随崖而下，郁郁苍苍，蔚为壮观。坪中部的汤王庙，虽经千百年的风雨剥蚀，仍隐约可见梁柱之上彩龙飞腾。庙西有一池，人称娘娘池，终年不涸，为我国北方最大的高山岩溶湖。庙周长着翠绿的“龙须草”，可编席，古时为贡品。这里每年仲夏盛开一种酷似胭脂的胭粉花，格外俏丽悦目。</w:t>
      </w:r>
    </w:p>
    <w:p>
      <w:pPr>
        <w:widowControl/>
        <w:spacing w:line="360" w:lineRule="auto"/>
        <w:ind w:firstLine="0" w:firstLineChars="0"/>
        <w:jc w:val="center"/>
        <w:rPr>
          <w:rFonts w:cs="Times New Roman"/>
          <w:szCs w:val="28"/>
        </w:rPr>
      </w:pPr>
      <w:r>
        <w:rPr>
          <w:rFonts w:hint="eastAsia" w:cs="Times New Roman"/>
          <w:szCs w:val="28"/>
        </w:rPr>
        <w:drawing>
          <wp:inline distT="0" distB="0" distL="0" distR="0">
            <wp:extent cx="4700905" cy="2979420"/>
            <wp:effectExtent l="0" t="0" r="4445" b="0"/>
            <wp:docPr id="7" name="图片 7" descr="圣王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圣王坪"/>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42715" cy="3005606"/>
                    </a:xfrm>
                    <a:prstGeom prst="rect">
                      <a:avLst/>
                    </a:prstGeom>
                    <a:noFill/>
                    <a:ln>
                      <a:noFill/>
                    </a:ln>
                  </pic:spPr>
                </pic:pic>
              </a:graphicData>
            </a:graphic>
          </wp:inline>
        </w:drawing>
      </w:r>
    </w:p>
    <w:p>
      <w:pPr>
        <w:widowControl/>
        <w:spacing w:line="360" w:lineRule="auto"/>
        <w:ind w:firstLine="0" w:firstLineChars="0"/>
        <w:jc w:val="center"/>
        <w:rPr>
          <w:rFonts w:cs="Times New Roman"/>
          <w:sz w:val="28"/>
          <w:szCs w:val="28"/>
        </w:rPr>
      </w:pPr>
      <w:r>
        <w:rPr>
          <w:rFonts w:hint="eastAsia" w:cs="Times New Roman"/>
          <w:b/>
          <w:sz w:val="28"/>
          <w:szCs w:val="28"/>
        </w:rPr>
        <w:t>析城山</w:t>
      </w:r>
    </w:p>
    <w:p>
      <w:pPr>
        <w:widowControl/>
        <w:spacing w:line="360" w:lineRule="auto"/>
        <w:ind w:firstLine="640" w:firstLineChars="0"/>
        <w:rPr>
          <w:rFonts w:cs="Times New Roman"/>
          <w:szCs w:val="28"/>
        </w:rPr>
      </w:pPr>
      <w:r>
        <w:rPr>
          <w:rFonts w:hint="eastAsia" w:cs="Times New Roman"/>
          <w:szCs w:val="28"/>
        </w:rPr>
        <w:t>另外，还有</w:t>
      </w:r>
      <w:r>
        <w:rPr>
          <w:rFonts w:hint="eastAsia" w:cs="Times New Roman"/>
          <w:b/>
          <w:szCs w:val="28"/>
        </w:rPr>
        <w:t>海会寺</w:t>
      </w:r>
      <w:r>
        <w:rPr>
          <w:rFonts w:hint="eastAsia" w:cs="Times New Roman"/>
          <w:szCs w:val="28"/>
        </w:rPr>
        <w:t>位于阳城县东20公里的大桥村，是一座享誉三晋的千年古刹；</w:t>
      </w:r>
      <w:r>
        <w:rPr>
          <w:rFonts w:hint="eastAsia" w:cs="Times New Roman"/>
          <w:b/>
          <w:szCs w:val="28"/>
        </w:rPr>
        <w:t>孙文龙纪念馆</w:t>
      </w:r>
      <w:r>
        <w:rPr>
          <w:rFonts w:hint="eastAsia" w:cs="Times New Roman"/>
          <w:szCs w:val="28"/>
        </w:rPr>
        <w:t>位于阳城县城南18公里的河北镇孤堆底村孤山脚下，该馆依山就势拓荒而筑，占地面积约15000平方米，馆内有事迹展览厅、陈列室、汉白玉塑像、纪念亭、缅怀堂、敬松台、清风苑碑林等教育建筑群；</w:t>
      </w:r>
      <w:r>
        <w:rPr>
          <w:rFonts w:hint="eastAsia" w:cs="Times New Roman"/>
          <w:b/>
          <w:szCs w:val="28"/>
        </w:rPr>
        <w:t>郭峪古城</w:t>
      </w:r>
      <w:r>
        <w:rPr>
          <w:rFonts w:hint="eastAsia" w:cs="Times New Roman"/>
          <w:szCs w:val="28"/>
        </w:rPr>
        <w:t>位于阳城县东21公里的郭峪村，为北方典型的“四大八小”格式。村内曾建有大小寺庙20余座，保存最为完好的是汤帝庙，为九开间大殿，庙内飞檐挑角的元代戏台高达20多米，气势恢宏，全国少有；</w:t>
      </w:r>
      <w:r>
        <w:rPr>
          <w:rFonts w:hint="eastAsia" w:cs="Times New Roman"/>
          <w:b/>
          <w:szCs w:val="28"/>
        </w:rPr>
        <w:t>磨滩</w:t>
      </w:r>
      <w:r>
        <w:rPr>
          <w:rFonts w:hint="eastAsia" w:cs="Times New Roman"/>
          <w:szCs w:val="28"/>
        </w:rPr>
        <w:t>位于阳城县东南40公里处的东冶镇，区域总面积6.5平方公里，景点以山、水、洞为主，山有窟窿山、凤凰山、龟山、胜天寨等；洞有老龙洞、佛爷洞、黑龙洞、奇风洞等；</w:t>
      </w:r>
      <w:r>
        <w:rPr>
          <w:rFonts w:hint="eastAsia" w:cs="Times New Roman"/>
          <w:b/>
          <w:szCs w:val="28"/>
        </w:rPr>
        <w:t>小尖山</w:t>
      </w:r>
      <w:r>
        <w:rPr>
          <w:rFonts w:hint="eastAsia" w:cs="Times New Roman"/>
          <w:szCs w:val="28"/>
        </w:rPr>
        <w:t>位于阳城县城西27公里的索泉岭村西，山上荆棘丛生，野花烂漫，百鸟争鸣。古迹有佛光殿、玉皇殿、五瘟殿、关帝庙、千佛阁、春秋阁、凌云梯等。</w:t>
      </w:r>
    </w:p>
    <w:p>
      <w:pPr>
        <w:widowControl/>
        <w:spacing w:line="360" w:lineRule="auto"/>
        <w:ind w:firstLine="0" w:firstLineChars="0"/>
        <w:rPr>
          <w:rFonts w:cs="Times New Roman"/>
          <w:szCs w:val="28"/>
        </w:rPr>
      </w:pPr>
      <w:r>
        <w:drawing>
          <wp:inline distT="0" distB="0" distL="0" distR="0">
            <wp:extent cx="2733040" cy="1951990"/>
            <wp:effectExtent l="0" t="0" r="0" b="0"/>
            <wp:docPr id="32" name="图片 32" descr="https://bkimg.cdn.bcebos.com/pic/cc11728b4710b9125826e9a5cdfdfc039345228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bkimg.cdn.bcebos.com/pic/cc11728b4710b9125826e9a5cdfdfc0393452281?x-bce-process=image/resize,m_lfit,w_220,h_220,limit_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62853" cy="1972828"/>
                    </a:xfrm>
                    <a:prstGeom prst="rect">
                      <a:avLst/>
                    </a:prstGeom>
                    <a:noFill/>
                    <a:ln>
                      <a:noFill/>
                    </a:ln>
                  </pic:spPr>
                </pic:pic>
              </a:graphicData>
            </a:graphic>
          </wp:inline>
        </w:drawing>
      </w:r>
      <w:r>
        <w:rPr>
          <w:rFonts w:hint="eastAsia" w:cs="Times New Roman"/>
          <w:szCs w:val="28"/>
        </w:rPr>
        <w:t xml:space="preserve"> </w:t>
      </w:r>
      <w:r>
        <w:drawing>
          <wp:inline distT="0" distB="0" distL="0" distR="0">
            <wp:extent cx="2708275" cy="1925320"/>
            <wp:effectExtent l="0" t="0" r="0" b="0"/>
            <wp:docPr id="33" name="图片 33" descr="https://bkimg.cdn.bcebos.com/pic/9213b07eca806538c88a078599dda144ac3482c0?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bkimg.cdn.bcebos.com/pic/9213b07eca806538c88a078599dda144ac3482c0?x-bce-process=image/resize,m_lfit,w_220,h_220,limit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07250" cy="1995373"/>
                    </a:xfrm>
                    <a:prstGeom prst="rect">
                      <a:avLst/>
                    </a:prstGeom>
                    <a:noFill/>
                    <a:ln>
                      <a:noFill/>
                    </a:ln>
                  </pic:spPr>
                </pic:pic>
              </a:graphicData>
            </a:graphic>
          </wp:inline>
        </w:drawing>
      </w:r>
    </w:p>
    <w:p>
      <w:pPr>
        <w:widowControl/>
        <w:spacing w:line="360" w:lineRule="auto"/>
        <w:ind w:firstLine="1687" w:firstLineChars="600"/>
        <w:rPr>
          <w:rFonts w:cs="Times New Roman"/>
          <w:b/>
          <w:sz w:val="28"/>
          <w:szCs w:val="28"/>
        </w:rPr>
      </w:pPr>
      <w:r>
        <w:rPr>
          <w:rFonts w:hint="eastAsia" w:cs="Times New Roman"/>
          <w:b/>
          <w:sz w:val="28"/>
          <w:szCs w:val="28"/>
        </w:rPr>
        <w:t xml:space="preserve">杨柏大峡谷 </w:t>
      </w:r>
      <w:r>
        <w:rPr>
          <w:rFonts w:cs="Times New Roman"/>
          <w:b/>
          <w:sz w:val="28"/>
          <w:szCs w:val="28"/>
        </w:rPr>
        <w:t xml:space="preserve">                     </w:t>
      </w:r>
      <w:r>
        <w:rPr>
          <w:rFonts w:hint="eastAsia" w:cs="Times New Roman"/>
          <w:b/>
          <w:sz w:val="28"/>
          <w:szCs w:val="28"/>
        </w:rPr>
        <w:t>海会寺</w:t>
      </w:r>
    </w:p>
    <w:p>
      <w:pPr>
        <w:widowControl/>
        <w:spacing w:line="360" w:lineRule="auto"/>
        <w:ind w:firstLine="0" w:firstLineChars="0"/>
        <w:rPr>
          <w:rFonts w:cs="Times New Roman"/>
          <w:szCs w:val="28"/>
        </w:rPr>
      </w:pPr>
      <w:r>
        <w:drawing>
          <wp:inline distT="0" distB="0" distL="0" distR="0">
            <wp:extent cx="2738755" cy="1828800"/>
            <wp:effectExtent l="0" t="0" r="4445" b="0"/>
            <wp:docPr id="34" name="图片 34" descr="https://bkimg.cdn.bcebos.com/pic/838ba61ea8d3fd1fd46c87cb3e4e251f94ca5fdd?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s://bkimg.cdn.bcebos.com/pic/838ba61ea8d3fd1fd46c87cb3e4e251f94ca5fdd?x-bce-process=image/resize,m_lfit,w_220,h_220,limit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80693" cy="1856603"/>
                    </a:xfrm>
                    <a:prstGeom prst="rect">
                      <a:avLst/>
                    </a:prstGeom>
                    <a:noFill/>
                    <a:ln>
                      <a:noFill/>
                    </a:ln>
                  </pic:spPr>
                </pic:pic>
              </a:graphicData>
            </a:graphic>
          </wp:inline>
        </w:drawing>
      </w:r>
      <w:r>
        <w:rPr>
          <w:rFonts w:hint="eastAsia" w:cs="Times New Roman"/>
          <w:szCs w:val="28"/>
        </w:rPr>
        <w:t xml:space="preserve"> </w:t>
      </w:r>
      <w:r>
        <w:rPr>
          <w:rFonts w:cs="Times New Roman"/>
          <w:szCs w:val="28"/>
        </w:rPr>
        <w:drawing>
          <wp:inline distT="0" distB="0" distL="0" distR="0">
            <wp:extent cx="2731770" cy="1848485"/>
            <wp:effectExtent l="0" t="0" r="0" b="0"/>
            <wp:docPr id="35" name="图片 35" descr="https://bkimg.cdn.bcebos.com/pic/63d0f703918fa0ecfc4d7c56289759ee3c6ddbe7?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bkimg.cdn.bcebos.com/pic/63d0f703918fa0ecfc4d7c56289759ee3c6ddbe7?x-bce-process=image/resize,m_lfit,w_220,h_220,limit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62252" cy="1869221"/>
                    </a:xfrm>
                    <a:prstGeom prst="rect">
                      <a:avLst/>
                    </a:prstGeom>
                    <a:noFill/>
                    <a:ln>
                      <a:noFill/>
                    </a:ln>
                  </pic:spPr>
                </pic:pic>
              </a:graphicData>
            </a:graphic>
          </wp:inline>
        </w:drawing>
      </w:r>
    </w:p>
    <w:p>
      <w:pPr>
        <w:widowControl/>
        <w:spacing w:line="360" w:lineRule="auto"/>
        <w:ind w:firstLine="1687" w:firstLineChars="600"/>
        <w:rPr>
          <w:rFonts w:cs="Times New Roman"/>
          <w:b/>
          <w:sz w:val="28"/>
          <w:szCs w:val="28"/>
        </w:rPr>
      </w:pPr>
      <w:r>
        <w:rPr>
          <w:rFonts w:hint="eastAsia" w:cs="Times New Roman"/>
          <w:b/>
          <w:sz w:val="28"/>
          <w:szCs w:val="28"/>
        </w:rPr>
        <w:t xml:space="preserve">天官王府 </w:t>
      </w:r>
      <w:r>
        <w:rPr>
          <w:rFonts w:cs="Times New Roman"/>
          <w:b/>
          <w:sz w:val="28"/>
          <w:szCs w:val="28"/>
        </w:rPr>
        <w:t xml:space="preserve">                       </w:t>
      </w:r>
      <w:r>
        <w:rPr>
          <w:rFonts w:hint="eastAsia" w:cs="Times New Roman"/>
          <w:b/>
          <w:sz w:val="28"/>
          <w:szCs w:val="28"/>
        </w:rPr>
        <w:t>五彩河</w:t>
      </w:r>
    </w:p>
    <w:p>
      <w:pPr>
        <w:widowControl/>
        <w:spacing w:line="360" w:lineRule="auto"/>
        <w:ind w:firstLine="0" w:firstLineChars="0"/>
        <w:jc w:val="center"/>
        <w:rPr>
          <w:rFonts w:cs="Times New Roman"/>
          <w:szCs w:val="28"/>
        </w:rPr>
      </w:pPr>
      <w:r>
        <w:drawing>
          <wp:inline distT="0" distB="0" distL="0" distR="0">
            <wp:extent cx="2744470" cy="1897380"/>
            <wp:effectExtent l="0" t="0" r="0" b="7620"/>
            <wp:docPr id="36" name="图片 36" descr="https://bkimg.cdn.bcebos.com/pic/96dda144ad3459827bea470402f431adcaef84c0?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s://bkimg.cdn.bcebos.com/pic/96dda144ad3459827bea470402f431adcaef84c0?x-bce-process=image/resize,m_lfit,w_220,h_220,limit_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7298" cy="1940685"/>
                    </a:xfrm>
                    <a:prstGeom prst="rect">
                      <a:avLst/>
                    </a:prstGeom>
                    <a:noFill/>
                    <a:ln>
                      <a:noFill/>
                    </a:ln>
                  </pic:spPr>
                </pic:pic>
              </a:graphicData>
            </a:graphic>
          </wp:inline>
        </w:drawing>
      </w:r>
      <w:r>
        <w:rPr>
          <w:rFonts w:hint="eastAsia" w:cs="Times New Roman"/>
          <w:szCs w:val="28"/>
        </w:rPr>
        <w:t xml:space="preserve"> </w:t>
      </w:r>
      <w:r>
        <w:drawing>
          <wp:inline distT="0" distB="0" distL="0" distR="0">
            <wp:extent cx="2725420" cy="1863725"/>
            <wp:effectExtent l="0" t="0" r="0" b="3175"/>
            <wp:docPr id="37" name="图片 37" descr="https://bkimg.cdn.bcebos.com/pic/09fa513d269759eec5047890bcfb43166d22df11?x-bce-process=image/resize,m_lfit,w_220,h_220,lim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bkimg.cdn.bcebos.com/pic/09fa513d269759eec5047890bcfb43166d22df11?x-bce-process=image/resize,m_lfit,w_220,h_220,limit_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66576" cy="1892462"/>
                    </a:xfrm>
                    <a:prstGeom prst="rect">
                      <a:avLst/>
                    </a:prstGeom>
                    <a:noFill/>
                    <a:ln>
                      <a:noFill/>
                    </a:ln>
                  </pic:spPr>
                </pic:pic>
              </a:graphicData>
            </a:graphic>
          </wp:inline>
        </w:drawing>
      </w:r>
    </w:p>
    <w:p>
      <w:pPr>
        <w:widowControl/>
        <w:spacing w:line="360" w:lineRule="auto"/>
        <w:ind w:firstLine="1405" w:firstLineChars="500"/>
        <w:rPr>
          <w:rFonts w:cs="Times New Roman"/>
          <w:b/>
          <w:sz w:val="28"/>
          <w:szCs w:val="28"/>
        </w:rPr>
      </w:pPr>
      <w:r>
        <w:rPr>
          <w:rFonts w:hint="eastAsia" w:cs="Times New Roman"/>
          <w:b/>
          <w:sz w:val="28"/>
          <w:szCs w:val="28"/>
        </w:rPr>
        <w:t xml:space="preserve">历山风景区 </w:t>
      </w:r>
      <w:r>
        <w:rPr>
          <w:rFonts w:cs="Times New Roman"/>
          <w:b/>
          <w:sz w:val="28"/>
          <w:szCs w:val="28"/>
        </w:rPr>
        <w:t xml:space="preserve">                       </w:t>
      </w:r>
      <w:r>
        <w:rPr>
          <w:rFonts w:hint="eastAsia" w:cs="Times New Roman"/>
          <w:b/>
          <w:sz w:val="28"/>
          <w:szCs w:val="28"/>
        </w:rPr>
        <w:t>小尖山</w:t>
      </w:r>
    </w:p>
    <w:p>
      <w:pPr>
        <w:pStyle w:val="3"/>
        <w:ind w:firstLine="640"/>
        <w:rPr>
          <w:rFonts w:eastAsia="方正楷体简体" w:cs="Times New Roman"/>
          <w:bCs w:val="0"/>
        </w:rPr>
      </w:pPr>
      <w:bookmarkStart w:id="32" w:name="_Toc49243371"/>
      <w:bookmarkStart w:id="33" w:name="_Toc49243297"/>
      <w:r>
        <w:rPr>
          <w:rFonts w:eastAsia="方正楷体简体" w:cs="Times New Roman"/>
          <w:bCs w:val="0"/>
        </w:rPr>
        <w:t>经济社会发展概况</w:t>
      </w:r>
      <w:bookmarkEnd w:id="32"/>
      <w:bookmarkEnd w:id="33"/>
    </w:p>
    <w:p>
      <w:pPr>
        <w:widowControl/>
        <w:snapToGrid w:val="0"/>
        <w:spacing w:line="360" w:lineRule="auto"/>
        <w:ind w:firstLine="640"/>
        <w:rPr>
          <w:rFonts w:cs="Times New Roman"/>
          <w:szCs w:val="28"/>
        </w:rPr>
      </w:pPr>
      <w:r>
        <w:rPr>
          <w:rFonts w:cs="Times New Roman"/>
          <w:szCs w:val="28"/>
        </w:rPr>
        <w:t>改革开放以来，</w:t>
      </w:r>
      <w:r>
        <w:rPr>
          <w:rFonts w:hint="eastAsia" w:cs="Times New Roman"/>
          <w:szCs w:val="28"/>
        </w:rPr>
        <w:t>阳城县</w:t>
      </w:r>
      <w:r>
        <w:rPr>
          <w:rFonts w:cs="Times New Roman"/>
          <w:szCs w:val="28"/>
        </w:rPr>
        <w:t>经济建设和社会事业得到了快速发展，在“十一五”期间至“</w:t>
      </w:r>
      <w:r>
        <w:rPr>
          <w:rFonts w:hint="eastAsia" w:cs="Times New Roman"/>
          <w:szCs w:val="28"/>
          <w:lang w:eastAsia="zh-CN"/>
        </w:rPr>
        <w:t>“十三五”</w:t>
      </w:r>
      <w:r>
        <w:rPr>
          <w:rFonts w:cs="Times New Roman"/>
          <w:szCs w:val="28"/>
        </w:rPr>
        <w:t>”期间大力发展区域经济，经济和社会发展均呈现出了较快的增长趋势。面对新一轮发展格局，必须把握新常态下的新特点、新目标、新任务，努力把阳城县的发展推向更高水平。</w:t>
      </w:r>
    </w:p>
    <w:p>
      <w:pPr>
        <w:widowControl/>
        <w:snapToGrid w:val="0"/>
        <w:spacing w:line="360" w:lineRule="auto"/>
        <w:ind w:firstLine="640"/>
        <w:rPr>
          <w:rFonts w:eastAsia="宋体" w:cs="Times New Roman"/>
          <w:kern w:val="0"/>
          <w:sz w:val="28"/>
          <w:szCs w:val="28"/>
          <w:lang w:bidi="en-US"/>
        </w:rPr>
      </w:pPr>
      <w:r>
        <w:rPr>
          <w:rFonts w:cs="Times New Roman"/>
          <w:szCs w:val="28"/>
        </w:rPr>
        <w:t>“</w:t>
      </w:r>
      <w:r>
        <w:rPr>
          <w:rFonts w:hint="eastAsia" w:cs="Times New Roman"/>
          <w:szCs w:val="28"/>
          <w:lang w:eastAsia="zh-CN"/>
        </w:rPr>
        <w:t>“十三五”</w:t>
      </w:r>
      <w:r>
        <w:rPr>
          <w:rFonts w:cs="Times New Roman"/>
          <w:szCs w:val="28"/>
        </w:rPr>
        <w:t>”期间，全县上下在县委、县政府的正确领导下，秉承“十二五”发展成果，突出全面建设小康主题，以促进经济持续健康发展，积极推进战略布局着力改善民计民生，全县经济社会发展和各项工作取得了新成就，圆满完成了“</w:t>
      </w:r>
      <w:r>
        <w:rPr>
          <w:rFonts w:hint="eastAsia" w:cs="Times New Roman"/>
          <w:szCs w:val="28"/>
          <w:lang w:eastAsia="zh-CN"/>
        </w:rPr>
        <w:t>“十三五”</w:t>
      </w:r>
      <w:r>
        <w:rPr>
          <w:rFonts w:cs="Times New Roman"/>
          <w:szCs w:val="28"/>
        </w:rPr>
        <w:t>”规划要求。</w:t>
      </w:r>
    </w:p>
    <w:p>
      <w:pPr>
        <w:pStyle w:val="4"/>
        <w:ind w:firstLine="602" w:firstLineChars="200"/>
        <w:rPr>
          <w:rFonts w:cs="Times New Roman"/>
        </w:rPr>
      </w:pPr>
      <w:bookmarkStart w:id="34" w:name="_Toc488330121"/>
      <w:bookmarkStart w:id="35" w:name="_Toc49243372"/>
      <w:bookmarkStart w:id="36" w:name="_Toc488330208"/>
      <w:bookmarkStart w:id="37" w:name="_Toc49243298"/>
      <w:r>
        <w:rPr>
          <w:rFonts w:cs="Times New Roman"/>
        </w:rPr>
        <w:t>经济发展现状</w:t>
      </w:r>
      <w:bookmarkEnd w:id="34"/>
      <w:bookmarkEnd w:id="35"/>
      <w:bookmarkEnd w:id="36"/>
      <w:bookmarkEnd w:id="37"/>
    </w:p>
    <w:p>
      <w:pPr>
        <w:widowControl/>
        <w:spacing w:line="360" w:lineRule="auto"/>
        <w:ind w:firstLine="640"/>
        <w:rPr>
          <w:rFonts w:cs="Times New Roman"/>
          <w:szCs w:val="28"/>
        </w:rPr>
      </w:pPr>
      <w:r>
        <w:rPr>
          <w:rFonts w:cs="Times New Roman"/>
          <w:szCs w:val="28"/>
        </w:rPr>
        <w:t>在经济下行压力持续加大的环境下，阳城县在“十一五”期间至“</w:t>
      </w:r>
      <w:r>
        <w:rPr>
          <w:rFonts w:hint="eastAsia" w:cs="Times New Roman"/>
          <w:szCs w:val="28"/>
          <w:lang w:eastAsia="zh-CN"/>
        </w:rPr>
        <w:t>“十三五”</w:t>
      </w:r>
      <w:r>
        <w:rPr>
          <w:rFonts w:cs="Times New Roman"/>
          <w:szCs w:val="28"/>
        </w:rPr>
        <w:t>”期间大力发展区域经济，经济和社会发展均呈现出了较快的增长趋势。</w:t>
      </w:r>
    </w:p>
    <w:p>
      <w:pPr>
        <w:tabs>
          <w:tab w:val="left" w:pos="735"/>
        </w:tabs>
        <w:spacing w:line="360" w:lineRule="auto"/>
        <w:ind w:firstLine="640"/>
        <w:rPr>
          <w:rFonts w:cs="Times New Roman"/>
          <w:szCs w:val="28"/>
        </w:rPr>
      </w:pPr>
      <w:r>
        <w:rPr>
          <w:rFonts w:hint="eastAsia" w:cs="Times New Roman"/>
          <w:szCs w:val="28"/>
        </w:rPr>
        <w:t>近年来，阳城县国民经济快速发展，经济实力显著增强，县域经济呈现出速度加快、结构改善、效益提高、活力增强的良好发展态势。到201</w:t>
      </w:r>
      <w:r>
        <w:rPr>
          <w:rFonts w:cs="Times New Roman"/>
          <w:szCs w:val="28"/>
        </w:rPr>
        <w:t>9</w:t>
      </w:r>
      <w:r>
        <w:rPr>
          <w:rFonts w:hint="eastAsia" w:cs="Times New Roman"/>
          <w:szCs w:val="28"/>
        </w:rPr>
        <w:t>年底，全县生产总值达到2</w:t>
      </w:r>
      <w:r>
        <w:rPr>
          <w:rFonts w:cs="Times New Roman"/>
          <w:szCs w:val="28"/>
        </w:rPr>
        <w:t>37.50</w:t>
      </w:r>
      <w:r>
        <w:rPr>
          <w:rFonts w:hint="eastAsia" w:cs="Times New Roman"/>
          <w:szCs w:val="28"/>
        </w:rPr>
        <w:t>亿元，同比上年增加3</w:t>
      </w:r>
      <w:r>
        <w:rPr>
          <w:rFonts w:cs="Times New Roman"/>
          <w:szCs w:val="28"/>
        </w:rPr>
        <w:t>7.35</w:t>
      </w:r>
      <w:r>
        <w:rPr>
          <w:rFonts w:hint="eastAsia" w:cs="Times New Roman"/>
          <w:szCs w:val="28"/>
        </w:rPr>
        <w:t>亿元；分产业看，第一产业增加值为-</w:t>
      </w:r>
      <w:r>
        <w:rPr>
          <w:rFonts w:cs="Times New Roman"/>
          <w:szCs w:val="28"/>
        </w:rPr>
        <w:t>3.75</w:t>
      </w:r>
      <w:r>
        <w:rPr>
          <w:rFonts w:hint="eastAsia" w:cs="Times New Roman"/>
          <w:szCs w:val="28"/>
        </w:rPr>
        <w:t>亿元，第二产业增加值为2</w:t>
      </w:r>
      <w:r>
        <w:rPr>
          <w:rFonts w:cs="Times New Roman"/>
          <w:szCs w:val="28"/>
        </w:rPr>
        <w:t>7.25</w:t>
      </w:r>
      <w:r>
        <w:rPr>
          <w:rFonts w:hint="eastAsia" w:cs="Times New Roman"/>
          <w:szCs w:val="28"/>
        </w:rPr>
        <w:t>亿元，第三产业增加值为</w:t>
      </w:r>
      <w:r>
        <w:rPr>
          <w:rFonts w:cs="Times New Roman"/>
          <w:szCs w:val="28"/>
        </w:rPr>
        <w:t>10.4</w:t>
      </w:r>
      <w:r>
        <w:rPr>
          <w:rFonts w:hint="eastAsia" w:cs="Times New Roman"/>
          <w:szCs w:val="28"/>
        </w:rPr>
        <w:t>亿元；人均生产总值达到</w:t>
      </w:r>
      <w:r>
        <w:rPr>
          <w:rFonts w:cs="Times New Roman"/>
          <w:szCs w:val="28"/>
        </w:rPr>
        <w:t>60262</w:t>
      </w:r>
      <w:r>
        <w:rPr>
          <w:rFonts w:hint="eastAsia" w:cs="Times New Roman"/>
          <w:szCs w:val="28"/>
        </w:rPr>
        <w:t>元，同比上年增加9</w:t>
      </w:r>
      <w:r>
        <w:rPr>
          <w:rFonts w:cs="Times New Roman"/>
          <w:szCs w:val="28"/>
        </w:rPr>
        <w:t>314</w:t>
      </w:r>
      <w:r>
        <w:rPr>
          <w:rFonts w:hint="eastAsia" w:cs="Times New Roman"/>
          <w:szCs w:val="28"/>
        </w:rPr>
        <w:t>元。</w:t>
      </w:r>
    </w:p>
    <w:p>
      <w:pPr>
        <w:widowControl/>
        <w:spacing w:line="360" w:lineRule="auto"/>
        <w:ind w:firstLine="640"/>
        <w:jc w:val="left"/>
        <w:rPr>
          <w:rFonts w:cs="Times New Roman"/>
        </w:rPr>
      </w:pPr>
      <w:r>
        <w:rPr>
          <w:rFonts w:cs="Times New Roman"/>
        </w:rPr>
        <w:t>随着阳城县经济的稳步增长，到2018年底全区常住人口为39.45万人，比2013年上升了1.18%。</w:t>
      </w:r>
    </w:p>
    <w:p>
      <w:pPr>
        <w:tabs>
          <w:tab w:val="left" w:pos="735"/>
        </w:tabs>
        <w:spacing w:line="360" w:lineRule="auto"/>
        <w:ind w:firstLine="640"/>
        <w:rPr>
          <w:rFonts w:ascii="楷体_GB2312" w:hAnsi="楷体" w:eastAsia="楷体_GB2312" w:cs="宋体"/>
          <w:snapToGrid w:val="0"/>
          <w:kern w:val="0"/>
          <w:sz w:val="28"/>
          <w:szCs w:val="28"/>
        </w:rPr>
      </w:pPr>
      <w:r>
        <w:rPr>
          <w:rFonts w:hint="eastAsia" w:cs="Times New Roman"/>
          <w:szCs w:val="28"/>
        </w:rPr>
        <w:t>经济结构调整不断加快，产业竞争力进一步提高。经济结构得到优化。阳城县历年国民经济和社会发展主要指标见表2.2-2。</w:t>
      </w:r>
    </w:p>
    <w:p>
      <w:pPr>
        <w:snapToGrid w:val="0"/>
        <w:spacing w:before="156" w:beforeLines="50"/>
        <w:ind w:firstLine="0" w:firstLineChars="0"/>
        <w:jc w:val="center"/>
        <w:rPr>
          <w:rFonts w:cs="Times New Roman"/>
          <w:sz w:val="28"/>
          <w:szCs w:val="28"/>
        </w:rPr>
      </w:pPr>
      <w:r>
        <w:rPr>
          <w:rFonts w:hint="eastAsia" w:cs="Times New Roman"/>
          <w:sz w:val="28"/>
          <w:szCs w:val="28"/>
        </w:rPr>
        <w:t>表2-2</w:t>
      </w:r>
      <w:r>
        <w:rPr>
          <w:rFonts w:cs="Times New Roman"/>
          <w:sz w:val="28"/>
          <w:szCs w:val="28"/>
        </w:rPr>
        <w:t xml:space="preserve"> </w:t>
      </w:r>
      <w:r>
        <w:rPr>
          <w:rFonts w:hint="eastAsia" w:cs="Times New Roman"/>
          <w:sz w:val="28"/>
          <w:szCs w:val="28"/>
        </w:rPr>
        <w:t>阳城县社会经济发展状况表</w:t>
      </w:r>
    </w:p>
    <w:tbl>
      <w:tblPr>
        <w:tblStyle w:val="13"/>
        <w:tblW w:w="8919"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135"/>
        <w:gridCol w:w="1138"/>
        <w:gridCol w:w="1073"/>
        <w:gridCol w:w="1540"/>
        <w:gridCol w:w="1308"/>
        <w:gridCol w:w="1310"/>
        <w:gridCol w:w="141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589" w:hRule="exact"/>
          <w:jc w:val="center"/>
        </w:trPr>
        <w:tc>
          <w:tcPr>
            <w:tcW w:w="1135" w:type="dxa"/>
            <w:vMerge w:val="restart"/>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年份</w:t>
            </w:r>
          </w:p>
        </w:tc>
        <w:tc>
          <w:tcPr>
            <w:tcW w:w="1138" w:type="dxa"/>
            <w:vMerge w:val="restart"/>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总人口</w:t>
            </w:r>
          </w:p>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万人</w:t>
            </w:r>
            <w:r>
              <w:rPr>
                <w:rFonts w:hint="eastAsia" w:ascii="宋体" w:hAnsi="宋体" w:eastAsia="宋体" w:cs="Times New Roman"/>
                <w:sz w:val="24"/>
                <w:szCs w:val="24"/>
              </w:rPr>
              <w:t>）</w:t>
            </w:r>
          </w:p>
        </w:tc>
        <w:tc>
          <w:tcPr>
            <w:tcW w:w="5231" w:type="dxa"/>
            <w:gridSpan w:val="4"/>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GDP（</w:t>
            </w:r>
            <w:r>
              <w:rPr>
                <w:rFonts w:ascii="宋体" w:hAnsi="宋体" w:eastAsia="宋体" w:cs="Times New Roman"/>
                <w:sz w:val="24"/>
                <w:szCs w:val="24"/>
              </w:rPr>
              <w:t>亿元</w:t>
            </w:r>
            <w:r>
              <w:rPr>
                <w:rFonts w:hint="eastAsia" w:ascii="宋体" w:hAnsi="宋体" w:eastAsia="宋体" w:cs="Times New Roman"/>
                <w:sz w:val="24"/>
                <w:szCs w:val="24"/>
              </w:rPr>
              <w:t>）</w:t>
            </w:r>
          </w:p>
        </w:tc>
        <w:tc>
          <w:tcPr>
            <w:tcW w:w="1415" w:type="dxa"/>
            <w:vMerge w:val="restart"/>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人均</w:t>
            </w:r>
            <w:r>
              <w:rPr>
                <w:rFonts w:ascii="宋体" w:hAnsi="宋体" w:eastAsia="宋体" w:cs="Times New Roman"/>
                <w:sz w:val="24"/>
                <w:szCs w:val="24"/>
              </w:rPr>
              <w:t>GDP</w:t>
            </w:r>
          </w:p>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（元）</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666" w:hRule="exact"/>
          <w:jc w:val="center"/>
        </w:trPr>
        <w:tc>
          <w:tcPr>
            <w:tcW w:w="1135" w:type="dxa"/>
            <w:vMerge w:val="continue"/>
            <w:noWrap/>
            <w:vAlign w:val="center"/>
          </w:tcPr>
          <w:p>
            <w:pPr>
              <w:snapToGrid w:val="0"/>
              <w:ind w:firstLine="0" w:firstLineChars="0"/>
              <w:jc w:val="center"/>
              <w:rPr>
                <w:rFonts w:ascii="宋体" w:hAnsi="宋体" w:eastAsia="宋体" w:cs="Times New Roman"/>
                <w:sz w:val="24"/>
                <w:szCs w:val="24"/>
              </w:rPr>
            </w:pPr>
          </w:p>
        </w:tc>
        <w:tc>
          <w:tcPr>
            <w:tcW w:w="1138" w:type="dxa"/>
            <w:vMerge w:val="continue"/>
            <w:noWrap/>
            <w:vAlign w:val="center"/>
          </w:tcPr>
          <w:p>
            <w:pPr>
              <w:snapToGrid w:val="0"/>
              <w:ind w:firstLine="0" w:firstLineChars="0"/>
              <w:jc w:val="center"/>
              <w:rPr>
                <w:rFonts w:ascii="宋体" w:hAnsi="宋体" w:eastAsia="宋体" w:cs="Times New Roman"/>
                <w:sz w:val="24"/>
                <w:szCs w:val="24"/>
              </w:rPr>
            </w:pP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合计</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第一产业</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第二产业</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第三产业</w:t>
            </w:r>
          </w:p>
        </w:tc>
        <w:tc>
          <w:tcPr>
            <w:tcW w:w="1415" w:type="dxa"/>
            <w:vMerge w:val="continue"/>
            <w:noWrap/>
            <w:vAlign w:val="center"/>
          </w:tcPr>
          <w:p>
            <w:pPr>
              <w:snapToGrid w:val="0"/>
              <w:ind w:firstLine="0" w:firstLineChars="0"/>
              <w:jc w:val="center"/>
              <w:rPr>
                <w:rFonts w:ascii="宋体" w:hAnsi="宋体" w:eastAsia="宋体" w:cs="Times New Roman"/>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2008</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38.55</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85.01</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3.93</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60.78</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20.30</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22052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2009</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38.27</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101.80</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4.10</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73.50</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24.20</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26600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2010</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38.32</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115.10</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5.00</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80.30</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29.80</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30037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2011</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38.58</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132.10 </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5.20</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90.70</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36.20</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34242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2012</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38.99</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139.86</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5.51 </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96.03 </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38.33 </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 xml:space="preserve">35871 </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2013</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38.87</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160.05</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8.04</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102.11</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49.89</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41172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2014</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38.99</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162.72</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8.82</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109.7</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54.19</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41798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2015</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39.08</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166.70</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9.13</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99.93</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57.64</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42711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2016</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39.14</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169.47</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9.93</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97.61</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61.93</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43331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2017</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39.19</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166.52</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9.68</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90.08</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66.75</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42512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ascii="宋体" w:hAnsi="宋体" w:eastAsia="宋体" w:cs="Times New Roman"/>
                <w:sz w:val="24"/>
                <w:szCs w:val="24"/>
              </w:rPr>
              <w:t>2018</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39.37</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200.15</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9.15</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118.22</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72.79</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50948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454"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ascii="宋体" w:hAnsi="宋体" w:eastAsia="宋体" w:cs="Times New Roman"/>
                <w:sz w:val="24"/>
                <w:szCs w:val="24"/>
              </w:rPr>
              <w:t>2019</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9.45</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37.50</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5</w:t>
            </w:r>
            <w:r>
              <w:rPr>
                <w:rFonts w:ascii="宋体" w:hAnsi="宋体" w:eastAsia="宋体" w:cs="Times New Roman"/>
                <w:sz w:val="24"/>
                <w:szCs w:val="24"/>
              </w:rPr>
              <w:t>.58</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45.73</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8</w:t>
            </w:r>
            <w:r>
              <w:rPr>
                <w:rFonts w:ascii="宋体" w:hAnsi="宋体" w:eastAsia="宋体" w:cs="Times New Roman"/>
                <w:sz w:val="24"/>
                <w:szCs w:val="24"/>
              </w:rPr>
              <w:t>3.19</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0262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725" w:hRule="exact"/>
          <w:jc w:val="center"/>
        </w:trPr>
        <w:tc>
          <w:tcPr>
            <w:tcW w:w="113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年均增长率（%）</w:t>
            </w:r>
          </w:p>
        </w:tc>
        <w:tc>
          <w:tcPr>
            <w:tcW w:w="1138"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0.1%</w:t>
            </w:r>
          </w:p>
        </w:tc>
        <w:tc>
          <w:tcPr>
            <w:tcW w:w="1073"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9</w:t>
            </w:r>
            <w:r>
              <w:rPr>
                <w:rFonts w:hint="eastAsia" w:ascii="宋体" w:hAnsi="宋体" w:eastAsia="宋体" w:cs="Times New Roman"/>
                <w:sz w:val="24"/>
                <w:szCs w:val="24"/>
              </w:rPr>
              <w:t>%</w:t>
            </w:r>
          </w:p>
        </w:tc>
        <w:tc>
          <w:tcPr>
            <w:tcW w:w="154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12.</w:t>
            </w:r>
            <w:r>
              <w:rPr>
                <w:rFonts w:ascii="宋体" w:hAnsi="宋体" w:eastAsia="宋体" w:cs="Times New Roman"/>
                <w:sz w:val="24"/>
                <w:szCs w:val="24"/>
              </w:rPr>
              <w:t>2</w:t>
            </w:r>
            <w:r>
              <w:rPr>
                <w:rFonts w:hint="eastAsia" w:ascii="宋体" w:hAnsi="宋体" w:eastAsia="宋体" w:cs="Times New Roman"/>
                <w:sz w:val="24"/>
                <w:szCs w:val="24"/>
              </w:rPr>
              <w:t>%</w:t>
            </w:r>
          </w:p>
        </w:tc>
        <w:tc>
          <w:tcPr>
            <w:tcW w:w="1308"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94</w:t>
            </w:r>
            <w:r>
              <w:rPr>
                <w:rFonts w:hint="eastAsia" w:ascii="宋体" w:hAnsi="宋体" w:eastAsia="宋体" w:cs="Times New Roman"/>
                <w:sz w:val="24"/>
                <w:szCs w:val="24"/>
              </w:rPr>
              <w:t>%</w:t>
            </w:r>
          </w:p>
        </w:tc>
        <w:tc>
          <w:tcPr>
            <w:tcW w:w="1310" w:type="dxa"/>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15.</w:t>
            </w:r>
            <w:r>
              <w:rPr>
                <w:rFonts w:ascii="宋体" w:hAnsi="宋体" w:eastAsia="宋体" w:cs="Times New Roman"/>
                <w:sz w:val="24"/>
                <w:szCs w:val="24"/>
              </w:rPr>
              <w:t>13</w:t>
            </w:r>
            <w:r>
              <w:rPr>
                <w:rFonts w:hint="eastAsia" w:ascii="宋体" w:hAnsi="宋体" w:eastAsia="宋体" w:cs="Times New Roman"/>
                <w:sz w:val="24"/>
                <w:szCs w:val="24"/>
              </w:rPr>
              <w:t>%</w:t>
            </w:r>
          </w:p>
        </w:tc>
        <w:tc>
          <w:tcPr>
            <w:tcW w:w="1415" w:type="dxa"/>
            <w:noWrap/>
            <w:vAlign w:val="center"/>
          </w:tcPr>
          <w:p>
            <w:pPr>
              <w:snapToGrid w:val="0"/>
              <w:ind w:firstLine="0" w:firstLineChars="0"/>
              <w:jc w:val="center"/>
              <w:rPr>
                <w:rFonts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81</w:t>
            </w:r>
            <w:r>
              <w:rPr>
                <w:rFonts w:hint="eastAsia" w:ascii="宋体" w:hAnsi="宋体" w:eastAsia="宋体" w:cs="Times New Roman"/>
                <w:sz w:val="24"/>
                <w:szCs w:val="24"/>
              </w:rPr>
              <w:t>%</w:t>
            </w:r>
          </w:p>
        </w:tc>
      </w:tr>
    </w:tbl>
    <w:p>
      <w:pPr>
        <w:widowControl/>
        <w:spacing w:line="360" w:lineRule="auto"/>
        <w:ind w:firstLine="560"/>
        <w:rPr>
          <w:rFonts w:cs="Times New Roman"/>
          <w:sz w:val="28"/>
          <w:szCs w:val="28"/>
        </w:rPr>
      </w:pPr>
      <w:r>
        <w:rPr>
          <w:rFonts w:hint="eastAsia" w:cs="Times New Roman"/>
          <w:sz w:val="28"/>
          <w:szCs w:val="28"/>
        </w:rPr>
        <w:t>注：表中GDP数值为当年价，增长速度按可比价计算。</w:t>
      </w:r>
    </w:p>
    <w:p>
      <w:pPr>
        <w:widowControl/>
        <w:spacing w:line="360" w:lineRule="auto"/>
        <w:ind w:firstLine="0" w:firstLineChars="0"/>
        <w:jc w:val="center"/>
        <w:rPr>
          <w:rFonts w:eastAsia="宋体" w:cs="Times New Roman"/>
          <w:kern w:val="0"/>
          <w:sz w:val="28"/>
          <w:szCs w:val="28"/>
          <w:lang w:bidi="en-US"/>
        </w:rPr>
      </w:pPr>
      <w:r>
        <w:drawing>
          <wp:inline distT="0" distB="0" distL="0" distR="0">
            <wp:extent cx="4391025" cy="2886075"/>
            <wp:effectExtent l="0" t="0" r="9525"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spacing w:line="360" w:lineRule="auto"/>
        <w:ind w:firstLine="0" w:firstLineChars="0"/>
        <w:jc w:val="center"/>
        <w:rPr>
          <w:rFonts w:eastAsia="宋体" w:cs="Times New Roman"/>
          <w:b/>
          <w:kern w:val="0"/>
          <w:sz w:val="28"/>
          <w:szCs w:val="28"/>
          <w:lang w:bidi="en-US"/>
        </w:rPr>
      </w:pPr>
      <w:r>
        <w:rPr>
          <w:rFonts w:cs="Times New Roman"/>
          <w:sz w:val="28"/>
          <w:szCs w:val="28"/>
        </w:rPr>
        <w:t>图2-3  阳城县历年</w:t>
      </w:r>
      <w:r>
        <w:rPr>
          <w:rFonts w:hint="eastAsia" w:cs="Times New Roman"/>
          <w:sz w:val="28"/>
          <w:szCs w:val="28"/>
        </w:rPr>
        <w:t>GDP变化示意图</w:t>
      </w:r>
      <w:r>
        <w:rPr>
          <w:rFonts w:cs="Times New Roman"/>
          <w:sz w:val="28"/>
          <w:szCs w:val="28"/>
        </w:rPr>
        <w:t>（</w:t>
      </w:r>
      <w:r>
        <w:rPr>
          <w:rFonts w:hint="eastAsia" w:cs="Times New Roman"/>
          <w:sz w:val="28"/>
          <w:szCs w:val="28"/>
        </w:rPr>
        <w:t>亿</w:t>
      </w:r>
      <w:r>
        <w:rPr>
          <w:rFonts w:cs="Times New Roman"/>
          <w:sz w:val="28"/>
          <w:szCs w:val="28"/>
        </w:rPr>
        <w:t>元）</w:t>
      </w:r>
    </w:p>
    <w:p>
      <w:pPr>
        <w:widowControl/>
        <w:spacing w:line="360" w:lineRule="auto"/>
        <w:ind w:firstLine="0" w:firstLineChars="0"/>
        <w:jc w:val="center"/>
        <w:rPr>
          <w:rFonts w:cs="Times New Roman"/>
          <w:sz w:val="28"/>
          <w:szCs w:val="28"/>
        </w:rPr>
      </w:pPr>
      <w:r>
        <w:drawing>
          <wp:inline distT="0" distB="0" distL="0" distR="0">
            <wp:extent cx="4391025" cy="2886075"/>
            <wp:effectExtent l="0" t="0" r="9525"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widowControl/>
        <w:spacing w:line="360" w:lineRule="auto"/>
        <w:ind w:firstLine="0" w:firstLineChars="0"/>
        <w:jc w:val="center"/>
        <w:rPr>
          <w:rFonts w:cs="Times New Roman"/>
          <w:sz w:val="28"/>
          <w:szCs w:val="28"/>
        </w:rPr>
      </w:pPr>
      <w:r>
        <w:rPr>
          <w:rFonts w:cs="Times New Roman"/>
          <w:sz w:val="28"/>
          <w:szCs w:val="28"/>
        </w:rPr>
        <w:t>图2-4  阳城县历年</w:t>
      </w:r>
      <w:r>
        <w:rPr>
          <w:rFonts w:hint="eastAsia" w:cs="Times New Roman"/>
          <w:sz w:val="28"/>
          <w:szCs w:val="28"/>
        </w:rPr>
        <w:t>第一产业变化示意图</w:t>
      </w:r>
      <w:r>
        <w:rPr>
          <w:rFonts w:cs="Times New Roman"/>
          <w:sz w:val="28"/>
          <w:szCs w:val="28"/>
        </w:rPr>
        <w:t>（</w:t>
      </w:r>
      <w:r>
        <w:rPr>
          <w:rFonts w:hint="eastAsia" w:cs="Times New Roman"/>
          <w:sz w:val="28"/>
          <w:szCs w:val="28"/>
        </w:rPr>
        <w:t>亿</w:t>
      </w:r>
      <w:r>
        <w:rPr>
          <w:rFonts w:cs="Times New Roman"/>
          <w:sz w:val="28"/>
          <w:szCs w:val="28"/>
        </w:rPr>
        <w:t>元）</w:t>
      </w:r>
    </w:p>
    <w:p>
      <w:pPr>
        <w:widowControl/>
        <w:spacing w:line="360" w:lineRule="auto"/>
        <w:ind w:firstLine="0" w:firstLineChars="0"/>
        <w:jc w:val="center"/>
        <w:rPr>
          <w:rFonts w:eastAsia="宋体" w:cs="Times New Roman"/>
          <w:b/>
          <w:kern w:val="0"/>
          <w:sz w:val="28"/>
          <w:szCs w:val="28"/>
          <w:lang w:bidi="en-US"/>
        </w:rPr>
      </w:pPr>
      <w:r>
        <w:drawing>
          <wp:inline distT="0" distB="0" distL="0" distR="0">
            <wp:extent cx="4391025" cy="2886075"/>
            <wp:effectExtent l="0" t="0" r="952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widowControl/>
        <w:spacing w:line="360" w:lineRule="auto"/>
        <w:ind w:firstLine="0" w:firstLineChars="0"/>
        <w:jc w:val="center"/>
        <w:rPr>
          <w:rFonts w:cs="Times New Roman"/>
          <w:sz w:val="28"/>
          <w:szCs w:val="28"/>
        </w:rPr>
      </w:pPr>
      <w:r>
        <w:rPr>
          <w:rFonts w:hint="eastAsia" w:cs="Times New Roman"/>
          <w:sz w:val="28"/>
          <w:szCs w:val="28"/>
        </w:rPr>
        <w:t>图2-5  阳城县历年第二产业变化示意图（亿元）</w:t>
      </w:r>
    </w:p>
    <w:p>
      <w:pPr>
        <w:widowControl/>
        <w:spacing w:line="360" w:lineRule="auto"/>
        <w:ind w:firstLine="227" w:firstLineChars="71"/>
        <w:jc w:val="center"/>
        <w:rPr>
          <w:rFonts w:cs="Times New Roman"/>
          <w:sz w:val="28"/>
          <w:szCs w:val="28"/>
        </w:rPr>
      </w:pPr>
      <w:r>
        <w:drawing>
          <wp:inline distT="0" distB="0" distL="0" distR="0">
            <wp:extent cx="4391025" cy="2886075"/>
            <wp:effectExtent l="0" t="0" r="9525" b="952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6</w:t>
      </w:r>
      <w:r>
        <w:rPr>
          <w:rFonts w:hint="eastAsia" w:cs="Times New Roman"/>
          <w:sz w:val="28"/>
          <w:szCs w:val="28"/>
        </w:rPr>
        <w:t xml:space="preserve">  阳城县历年第三产业变化示意图（亿元）</w:t>
      </w:r>
    </w:p>
    <w:p>
      <w:pPr>
        <w:widowControl/>
        <w:spacing w:line="360" w:lineRule="auto"/>
        <w:ind w:firstLine="0" w:firstLineChars="0"/>
        <w:jc w:val="center"/>
        <w:rPr>
          <w:rFonts w:cs="Times New Roman"/>
          <w:sz w:val="28"/>
          <w:szCs w:val="28"/>
        </w:rPr>
      </w:pPr>
      <w:r>
        <w:drawing>
          <wp:inline distT="0" distB="0" distL="0" distR="0">
            <wp:extent cx="4391025" cy="2886075"/>
            <wp:effectExtent l="0" t="0" r="9525"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widowControl/>
        <w:spacing w:line="360" w:lineRule="auto"/>
        <w:ind w:firstLine="0" w:firstLineChars="0"/>
        <w:jc w:val="center"/>
        <w:rPr>
          <w:rFonts w:cs="Times New Roman"/>
          <w:sz w:val="28"/>
          <w:szCs w:val="28"/>
        </w:rPr>
      </w:pPr>
      <w:r>
        <w:rPr>
          <w:rFonts w:cs="Times New Roman"/>
          <w:sz w:val="28"/>
          <w:szCs w:val="28"/>
        </w:rPr>
        <w:t>图2-7  阳城县历年</w:t>
      </w:r>
      <w:r>
        <w:rPr>
          <w:rFonts w:hint="eastAsia" w:cs="Times New Roman"/>
          <w:sz w:val="28"/>
          <w:szCs w:val="28"/>
        </w:rPr>
        <w:t>人均GDP（元）</w:t>
      </w:r>
    </w:p>
    <w:p>
      <w:pPr>
        <w:widowControl/>
        <w:spacing w:line="360" w:lineRule="auto"/>
        <w:ind w:firstLine="0" w:firstLineChars="0"/>
        <w:jc w:val="center"/>
        <w:rPr>
          <w:rFonts w:cs="Times New Roman"/>
          <w:sz w:val="28"/>
          <w:szCs w:val="28"/>
        </w:rPr>
      </w:pPr>
      <w:r>
        <w:drawing>
          <wp:inline distT="0" distB="0" distL="0" distR="0">
            <wp:extent cx="3709670" cy="2743200"/>
            <wp:effectExtent l="0" t="0" r="508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 xml:space="preserve">8 </w:t>
      </w:r>
      <w:r>
        <w:rPr>
          <w:rFonts w:hint="eastAsia" w:cs="Times New Roman"/>
          <w:sz w:val="28"/>
          <w:szCs w:val="28"/>
        </w:rPr>
        <w:t>“十一五”末（2</w:t>
      </w:r>
      <w:r>
        <w:rPr>
          <w:rFonts w:cs="Times New Roman"/>
          <w:sz w:val="28"/>
          <w:szCs w:val="28"/>
        </w:rPr>
        <w:t>010</w:t>
      </w:r>
      <w:r>
        <w:rPr>
          <w:rFonts w:hint="eastAsia" w:cs="Times New Roman"/>
          <w:sz w:val="28"/>
          <w:szCs w:val="28"/>
        </w:rPr>
        <w:t>年）阳城县三产结构图</w:t>
      </w:r>
    </w:p>
    <w:p>
      <w:pPr>
        <w:widowControl/>
        <w:spacing w:line="360" w:lineRule="auto"/>
        <w:ind w:firstLine="0" w:firstLineChars="0"/>
        <w:jc w:val="center"/>
        <w:rPr>
          <w:rFonts w:cs="Times New Roman"/>
          <w:sz w:val="28"/>
          <w:szCs w:val="28"/>
        </w:rPr>
      </w:pPr>
      <w:r>
        <w:drawing>
          <wp:inline distT="0" distB="0" distL="0" distR="0">
            <wp:extent cx="3790950" cy="2800350"/>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9</w:t>
      </w:r>
      <w:r>
        <w:rPr>
          <w:rFonts w:hint="eastAsia" w:cs="Times New Roman"/>
          <w:sz w:val="28"/>
          <w:szCs w:val="28"/>
        </w:rPr>
        <w:t xml:space="preserve"> “十二五”末（2</w:t>
      </w:r>
      <w:r>
        <w:rPr>
          <w:rFonts w:cs="Times New Roman"/>
          <w:sz w:val="28"/>
          <w:szCs w:val="28"/>
        </w:rPr>
        <w:t>015</w:t>
      </w:r>
      <w:r>
        <w:rPr>
          <w:rFonts w:hint="eastAsia" w:cs="Times New Roman"/>
          <w:sz w:val="28"/>
          <w:szCs w:val="28"/>
        </w:rPr>
        <w:t>年）阳城县三产结构图</w:t>
      </w:r>
    </w:p>
    <w:p>
      <w:pPr>
        <w:widowControl/>
        <w:spacing w:line="360" w:lineRule="auto"/>
        <w:ind w:firstLine="0" w:firstLineChars="0"/>
        <w:jc w:val="center"/>
        <w:rPr>
          <w:rFonts w:cs="Times New Roman"/>
          <w:sz w:val="28"/>
          <w:szCs w:val="28"/>
        </w:rPr>
      </w:pPr>
      <w:r>
        <w:drawing>
          <wp:inline distT="0" distB="0" distL="0" distR="0">
            <wp:extent cx="3749040" cy="2763520"/>
            <wp:effectExtent l="0" t="0" r="3810" b="1778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spacing w:line="360" w:lineRule="auto"/>
        <w:ind w:firstLine="0" w:firstLineChars="0"/>
        <w:jc w:val="center"/>
        <w:rPr>
          <w:rFonts w:cs="Times New Roman"/>
          <w:sz w:val="28"/>
          <w:szCs w:val="28"/>
        </w:rPr>
      </w:pPr>
      <w:r>
        <w:rPr>
          <w:rFonts w:hint="eastAsia" w:cs="Times New Roman"/>
          <w:sz w:val="28"/>
          <w:szCs w:val="28"/>
        </w:rPr>
        <w:t>图2-</w:t>
      </w:r>
      <w:r>
        <w:rPr>
          <w:rFonts w:cs="Times New Roman"/>
          <w:sz w:val="28"/>
          <w:szCs w:val="28"/>
        </w:rPr>
        <w:t xml:space="preserve">10  </w:t>
      </w:r>
      <w:r>
        <w:rPr>
          <w:rFonts w:hint="eastAsia" w:cs="Times New Roman"/>
          <w:sz w:val="28"/>
          <w:szCs w:val="28"/>
        </w:rPr>
        <w:t>2</w:t>
      </w:r>
      <w:r>
        <w:rPr>
          <w:rFonts w:cs="Times New Roman"/>
          <w:sz w:val="28"/>
          <w:szCs w:val="28"/>
        </w:rPr>
        <w:t>018</w:t>
      </w:r>
      <w:r>
        <w:rPr>
          <w:rFonts w:hint="eastAsia" w:cs="Times New Roman"/>
          <w:sz w:val="28"/>
          <w:szCs w:val="28"/>
        </w:rPr>
        <w:t>年阳城县三大产业占比结构示意图</w:t>
      </w:r>
    </w:p>
    <w:p>
      <w:pPr>
        <w:pStyle w:val="4"/>
        <w:ind w:firstLine="602" w:firstLineChars="200"/>
        <w:rPr>
          <w:rFonts w:cs="Times New Roman"/>
        </w:rPr>
      </w:pPr>
      <w:bookmarkStart w:id="38" w:name="_Toc49243299"/>
      <w:bookmarkStart w:id="39" w:name="_Toc488330210"/>
      <w:bookmarkStart w:id="40" w:name="_Toc488330123"/>
      <w:bookmarkStart w:id="41" w:name="_Toc49243373"/>
      <w:r>
        <w:rPr>
          <w:rFonts w:hint="eastAsia" w:cs="Times New Roman"/>
        </w:rPr>
        <w:t>旅游</w:t>
      </w:r>
      <w:r>
        <w:rPr>
          <w:rFonts w:cs="Times New Roman"/>
        </w:rPr>
        <w:t>资源状况</w:t>
      </w:r>
      <w:bookmarkEnd w:id="38"/>
      <w:bookmarkEnd w:id="39"/>
      <w:bookmarkEnd w:id="40"/>
      <w:bookmarkEnd w:id="41"/>
    </w:p>
    <w:p>
      <w:pPr>
        <w:widowControl/>
        <w:spacing w:line="360" w:lineRule="auto"/>
        <w:ind w:firstLine="640"/>
        <w:rPr>
          <w:rFonts w:cs="Times New Roman"/>
        </w:rPr>
      </w:pPr>
      <w:r>
        <w:rPr>
          <w:rFonts w:cs="Times New Roman"/>
        </w:rPr>
        <w:t>阳城县历史悠久，人文荟萃。</w:t>
      </w:r>
      <w:r>
        <w:rPr>
          <w:rFonts w:hint="eastAsia" w:cs="Times New Roman"/>
        </w:rPr>
        <w:t>阳城处于黄河中游，是中华文明的发祥区之一，老天爷、老祖宗给阳城留下了丰富的自然生态资源和历史人文资源。概括起来讲，主要可分为三大类：一是以皇城相府为代表的古堡古民居资源。阳城县古城堡、古民居、古庙宇数量多、规模大、品位高，时代序列完整，古建总量达到1040处，是全国县域均值的11倍、全省县域均值的4.5倍，尤为典型的是皇城相府、上庄古村、郭峪古城和砥洎城。二是以南部山区为重点的自然山水生态资源。阳城县南部山区包括蟒河、析城山、西山、鳌背山、小尖山等在内，有着1200多平方公里的天然植被，有兼具奇、秀、险、峻的自然山水，有华北地区目前保存最好的喀斯特地貌和亚高山草甸，有成片的原始森林，还有杨柏大峡谷等，旅游开发价值极高。三是以商汤文化为核心的历史文化资源。</w:t>
      </w:r>
    </w:p>
    <w:p>
      <w:pPr>
        <w:widowControl/>
        <w:spacing w:line="360" w:lineRule="auto"/>
        <w:ind w:firstLine="640"/>
        <w:rPr>
          <w:rFonts w:cs="Times New Roman"/>
        </w:rPr>
      </w:pPr>
      <w:r>
        <w:rPr>
          <w:rFonts w:hint="eastAsia" w:cs="Times New Roman"/>
        </w:rPr>
        <w:t>阳城县文化底蕴厚重，文物古迹繁多。几千年的历史积淀，形成了远古文化、商汤文化、廉政文化、红色文化等多种文化类型，尤其是以商汤庙落古建筑群及历代碑碣为主体的遗迹遗存分布密集、保存较好，在全国绝无仅有。这些历史文化遗存，形成了阳城独有的“商汤文化现象”，具有很高的学术研究和开发利用价值。</w:t>
      </w:r>
    </w:p>
    <w:p>
      <w:pPr>
        <w:pStyle w:val="4"/>
        <w:ind w:firstLine="602" w:firstLineChars="200"/>
        <w:rPr>
          <w:rFonts w:cs="Times New Roman"/>
        </w:rPr>
      </w:pPr>
      <w:bookmarkStart w:id="42" w:name="_Toc49243300"/>
      <w:bookmarkStart w:id="43" w:name="_Toc49243374"/>
      <w:bookmarkStart w:id="44" w:name="_Toc488330124"/>
      <w:bookmarkStart w:id="45" w:name="_Toc488330211"/>
      <w:r>
        <w:rPr>
          <w:rFonts w:cs="Times New Roman"/>
        </w:rPr>
        <w:t>城镇、人口状况</w:t>
      </w:r>
      <w:bookmarkEnd w:id="42"/>
      <w:bookmarkEnd w:id="43"/>
      <w:bookmarkEnd w:id="44"/>
      <w:bookmarkEnd w:id="45"/>
    </w:p>
    <w:p>
      <w:pPr>
        <w:widowControl/>
        <w:ind w:firstLine="640"/>
        <w:rPr>
          <w:rFonts w:cs="Times New Roman"/>
        </w:rPr>
      </w:pPr>
      <w:r>
        <w:rPr>
          <w:rFonts w:hint="eastAsia" w:cs="Times New Roman"/>
        </w:rPr>
        <w:t>城镇是一个地区的政治、经济和文化中心，是衡量地区竞争力的主要标志。加快推进城镇进程，是增强区域竞争力的必然选择。201</w:t>
      </w:r>
      <w:r>
        <w:rPr>
          <w:rFonts w:cs="Times New Roman"/>
        </w:rPr>
        <w:t>8</w:t>
      </w:r>
      <w:r>
        <w:rPr>
          <w:rFonts w:hint="eastAsia" w:cs="Times New Roman"/>
        </w:rPr>
        <w:t>年阳城县城镇化率</w:t>
      </w:r>
      <w:r>
        <w:rPr>
          <w:rFonts w:cs="Times New Roman"/>
        </w:rPr>
        <w:t>48.61</w:t>
      </w:r>
      <w:r>
        <w:rPr>
          <w:rFonts w:hint="eastAsia" w:cs="Times New Roman"/>
        </w:rPr>
        <w:t>%，较上年提高了0</w:t>
      </w:r>
      <w:r>
        <w:rPr>
          <w:rFonts w:cs="Times New Roman"/>
        </w:rPr>
        <w:t>.75</w:t>
      </w:r>
      <w:r>
        <w:rPr>
          <w:rFonts w:hint="eastAsia" w:cs="Times New Roman"/>
        </w:rPr>
        <w:t>%，低于山西省</w:t>
      </w:r>
      <w:r>
        <w:rPr>
          <w:rFonts w:cs="Times New Roman"/>
        </w:rPr>
        <w:t>58.41</w:t>
      </w:r>
      <w:r>
        <w:rPr>
          <w:rFonts w:hint="eastAsia" w:cs="Times New Roman"/>
        </w:rPr>
        <w:t>%的水平。县城的基础设施和城镇环境建设虽然取得较大的进展，但是县城和乡镇的聚集效应还未得到充分发挥，城乡一体化进程缓慢。</w:t>
      </w:r>
    </w:p>
    <w:p>
      <w:pPr>
        <w:widowControl/>
        <w:spacing w:line="360" w:lineRule="auto"/>
        <w:ind w:firstLine="0" w:firstLineChars="0"/>
        <w:jc w:val="center"/>
        <w:rPr>
          <w:rFonts w:eastAsia="宋体" w:cs="Times New Roman"/>
          <w:b/>
          <w:bCs/>
          <w:kern w:val="0"/>
          <w:sz w:val="28"/>
          <w:szCs w:val="28"/>
          <w:lang w:bidi="en-US"/>
        </w:rPr>
      </w:pPr>
      <w:r>
        <w:drawing>
          <wp:inline distT="0" distB="0" distL="0" distR="0">
            <wp:extent cx="4745355" cy="3081020"/>
            <wp:effectExtent l="0" t="0" r="17145"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spacing w:line="360" w:lineRule="auto"/>
        <w:ind w:firstLine="0" w:firstLineChars="0"/>
        <w:jc w:val="center"/>
        <w:rPr>
          <w:rFonts w:eastAsia="宋体" w:cs="Times New Roman"/>
          <w:b/>
          <w:kern w:val="0"/>
          <w:sz w:val="28"/>
          <w:szCs w:val="28"/>
          <w:lang w:bidi="en-US"/>
        </w:rPr>
      </w:pPr>
      <w:r>
        <w:rPr>
          <w:rFonts w:cs="Times New Roman"/>
          <w:sz w:val="28"/>
          <w:szCs w:val="28"/>
        </w:rPr>
        <w:t>图2-11  阳城县</w:t>
      </w:r>
      <w:r>
        <w:rPr>
          <w:rFonts w:hint="eastAsia" w:cs="Times New Roman"/>
          <w:sz w:val="28"/>
          <w:szCs w:val="28"/>
        </w:rPr>
        <w:t>总人口历年变化示意图（万人）</w:t>
      </w:r>
    </w:p>
    <w:p>
      <w:pPr>
        <w:pStyle w:val="3"/>
        <w:ind w:firstLine="640"/>
        <w:rPr>
          <w:rFonts w:eastAsia="方正楷体简体" w:cs="Times New Roman"/>
          <w:bCs w:val="0"/>
        </w:rPr>
      </w:pPr>
      <w:bookmarkStart w:id="46" w:name="_Toc49243375"/>
      <w:bookmarkStart w:id="47" w:name="_Toc49243301"/>
      <w:r>
        <w:rPr>
          <w:rFonts w:eastAsia="方正楷体简体" w:cs="Times New Roman"/>
          <w:bCs w:val="0"/>
        </w:rPr>
        <w:t>交通运输发展概况</w:t>
      </w:r>
      <w:bookmarkEnd w:id="46"/>
      <w:bookmarkEnd w:id="47"/>
    </w:p>
    <w:p>
      <w:pPr>
        <w:pStyle w:val="4"/>
        <w:ind w:firstLine="602" w:firstLineChars="200"/>
        <w:rPr>
          <w:rFonts w:cs="Times New Roman"/>
        </w:rPr>
      </w:pPr>
      <w:bookmarkStart w:id="48" w:name="_Toc49243376"/>
      <w:bookmarkStart w:id="49" w:name="_Toc488330213"/>
      <w:bookmarkStart w:id="50" w:name="_Toc488330126"/>
      <w:bookmarkStart w:id="51" w:name="_Toc49243302"/>
      <w:r>
        <w:rPr>
          <w:rFonts w:cs="Times New Roman"/>
        </w:rPr>
        <w:t>公路网总体情况</w:t>
      </w:r>
      <w:bookmarkEnd w:id="48"/>
      <w:bookmarkEnd w:id="49"/>
      <w:bookmarkEnd w:id="50"/>
      <w:bookmarkEnd w:id="51"/>
    </w:p>
    <w:p>
      <w:pPr>
        <w:widowControl/>
        <w:spacing w:line="360" w:lineRule="auto"/>
        <w:ind w:firstLine="640"/>
        <w:rPr>
          <w:rFonts w:cs="Times New Roman"/>
        </w:rPr>
      </w:pPr>
      <w:r>
        <w:rPr>
          <w:rFonts w:hint="eastAsia" w:cs="Times New Roman"/>
        </w:rPr>
        <w:t>1、公路网现状简介</w:t>
      </w:r>
    </w:p>
    <w:p>
      <w:pPr>
        <w:widowControl/>
        <w:spacing w:line="360" w:lineRule="auto"/>
        <w:ind w:firstLine="640"/>
        <w:rPr>
          <w:rFonts w:cs="Times New Roman"/>
          <w:color w:val="FF0000"/>
        </w:rPr>
      </w:pPr>
      <w:r>
        <w:rPr>
          <w:rFonts w:cs="Times New Roman"/>
        </w:rPr>
        <w:t>2020年底，阳城县公路网总规模2424.888公里，公路网面积密度为113.67公里/百平方公里，公路网人口密度为176.356人/公里。从公路技术等级来看，阳城县高速公路53.194公里，</w:t>
      </w:r>
      <w:r>
        <w:rPr>
          <w:rFonts w:hint="eastAsia" w:cs="Times New Roman"/>
        </w:rPr>
        <w:t>一级公路</w:t>
      </w:r>
      <w:r>
        <w:rPr>
          <w:rFonts w:cs="Times New Roman"/>
        </w:rPr>
        <w:t>27.994</w:t>
      </w:r>
      <w:r>
        <w:rPr>
          <w:rFonts w:hint="eastAsia" w:cs="Times New Roman"/>
        </w:rPr>
        <w:t>公里，</w:t>
      </w:r>
      <w:r>
        <w:rPr>
          <w:rFonts w:cs="Times New Roman"/>
        </w:rPr>
        <w:t>二级公路176.592公里，三级公路329.12公里，四级公路1837.988公里，等级里程占总里程的100%。从公路行政等级来看，境内有国道48.416公里，省道96.054公里，县道330.901公里，乡道914.793公里，村道1034.724公里</w:t>
      </w:r>
      <w:r>
        <w:rPr>
          <w:rFonts w:hint="eastAsia" w:cs="Times New Roman"/>
        </w:rPr>
        <w:t>，</w:t>
      </w:r>
      <w:r>
        <w:rPr>
          <w:rFonts w:cs="Times New Roman"/>
        </w:rPr>
        <w:t>国省干线占总里程的6.46%。从公路路面铺装情况来看，有铺装路面2371.042公里，简易铺装路面42.392公里，未铺装路面11.454公里，铺装路面占总里程的95.38%。</w:t>
      </w:r>
    </w:p>
    <w:p>
      <w:pPr>
        <w:widowControl/>
        <w:spacing w:line="360" w:lineRule="auto"/>
        <w:ind w:firstLine="640"/>
        <w:rPr>
          <w:rFonts w:cs="Times New Roman"/>
        </w:rPr>
      </w:pPr>
      <w:r>
        <w:rPr>
          <w:rFonts w:hint="eastAsia" w:cs="Times New Roman"/>
        </w:rPr>
        <w:t>阳城县公路交通网络目前已基本形成了以高速公路、国、省干线公路为骨架，以县乡公路为依托，村道、专用公路为补充的综合公路交通运输网络。其中高速公路现有2条53</w:t>
      </w:r>
      <w:r>
        <w:rPr>
          <w:rFonts w:cs="Times New Roman"/>
        </w:rPr>
        <w:t>.19</w:t>
      </w:r>
      <w:r>
        <w:rPr>
          <w:rFonts w:hint="eastAsia" w:cs="Times New Roman"/>
        </w:rPr>
        <w:t>公里，包括：晋阳高速17公里、阳翼高速36公里。（阳蟒高速总长40.1公里；拟建的阳运高速总长134.74公里，阳城境内段35.7公里）。</w:t>
      </w:r>
    </w:p>
    <w:p>
      <w:pPr>
        <w:widowControl/>
        <w:spacing w:line="360" w:lineRule="auto"/>
        <w:ind w:firstLine="540" w:firstLineChars="0"/>
        <w:rPr>
          <w:rFonts w:cs="Times New Roman"/>
        </w:rPr>
      </w:pPr>
      <w:r>
        <w:rPr>
          <w:rFonts w:cs="Times New Roman"/>
        </w:rPr>
        <w:t>阳城县公路按不同技术等级组成与路面铺装里程现状见表2-4、表2-5。公路行政等级结构图、技术结构图见图2-14、图2-15。</w:t>
      </w:r>
    </w:p>
    <w:p>
      <w:pPr>
        <w:widowControl/>
        <w:snapToGrid w:val="0"/>
        <w:spacing w:line="360" w:lineRule="auto"/>
        <w:ind w:firstLine="0" w:firstLineChars="0"/>
        <w:jc w:val="center"/>
        <w:rPr>
          <w:rFonts w:cs="Times New Roman"/>
          <w:b/>
          <w:sz w:val="28"/>
        </w:rPr>
      </w:pPr>
      <w:r>
        <w:rPr>
          <w:rFonts w:cs="Times New Roman"/>
          <w:b/>
          <w:sz w:val="28"/>
        </w:rPr>
        <w:t>表2-3  阳城县公路技术等级里程现状表（2020年底）（km）</w:t>
      </w:r>
    </w:p>
    <w:tbl>
      <w:tblPr>
        <w:tblStyle w:val="13"/>
        <w:tblpPr w:leftFromText="180" w:rightFromText="180" w:vertAnchor="text" w:horzAnchor="margin" w:tblpXSpec="center" w:tblpY="167"/>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1386"/>
        <w:gridCol w:w="1883"/>
        <w:gridCol w:w="976"/>
        <w:gridCol w:w="976"/>
        <w:gridCol w:w="1021"/>
        <w:gridCol w:w="923"/>
        <w:gridCol w:w="1065"/>
        <w:gridCol w:w="6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522" w:hRule="atLeast"/>
          <w:jc w:val="center"/>
        </w:trPr>
        <w:tc>
          <w:tcPr>
            <w:tcW w:w="781" w:type="pct"/>
            <w:vMerge w:val="restart"/>
            <w:tcBorders>
              <w:top w:val="single" w:color="000000" w:sz="12"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等  级</w:t>
            </w:r>
          </w:p>
        </w:tc>
        <w:tc>
          <w:tcPr>
            <w:tcW w:w="1061" w:type="pct"/>
            <w:vMerge w:val="restart"/>
            <w:tcBorders>
              <w:top w:val="single" w:color="000000" w:sz="12"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里 程</w:t>
            </w:r>
          </w:p>
        </w:tc>
        <w:tc>
          <w:tcPr>
            <w:tcW w:w="3159" w:type="pct"/>
            <w:gridSpan w:val="6"/>
            <w:tcBorders>
              <w:top w:val="single" w:color="000000" w:sz="12"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路     面    等    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vMerge w:val="continue"/>
            <w:tcBorders>
              <w:top w:val="single" w:color="000000" w:sz="6" w:space="0"/>
              <w:bottom w:val="single" w:color="000000" w:sz="6" w:space="0"/>
            </w:tcBorders>
            <w:vAlign w:val="center"/>
          </w:tcPr>
          <w:p>
            <w:pPr>
              <w:widowControl/>
              <w:ind w:firstLine="0" w:firstLineChars="0"/>
              <w:jc w:val="center"/>
              <w:rPr>
                <w:rFonts w:eastAsia="仿宋" w:cs="Times New Roman"/>
                <w:kern w:val="0"/>
                <w:sz w:val="24"/>
                <w:szCs w:val="24"/>
                <w:lang w:eastAsia="en-US" w:bidi="en-US"/>
              </w:rPr>
            </w:pPr>
          </w:p>
        </w:tc>
        <w:tc>
          <w:tcPr>
            <w:tcW w:w="1061" w:type="pct"/>
            <w:vMerge w:val="continue"/>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p>
        </w:tc>
        <w:tc>
          <w:tcPr>
            <w:tcW w:w="550"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高速</w:t>
            </w:r>
          </w:p>
        </w:tc>
        <w:tc>
          <w:tcPr>
            <w:tcW w:w="550"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一级</w:t>
            </w:r>
          </w:p>
        </w:tc>
        <w:tc>
          <w:tcPr>
            <w:tcW w:w="575"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二级</w:t>
            </w:r>
          </w:p>
        </w:tc>
        <w:tc>
          <w:tcPr>
            <w:tcW w:w="520"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三级</w:t>
            </w:r>
          </w:p>
        </w:tc>
        <w:tc>
          <w:tcPr>
            <w:tcW w:w="600"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四级</w:t>
            </w:r>
          </w:p>
        </w:tc>
        <w:tc>
          <w:tcPr>
            <w:tcW w:w="365"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等外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国道</w:t>
            </w:r>
          </w:p>
        </w:tc>
        <w:tc>
          <w:tcPr>
            <w:tcW w:w="1061"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sz w:val="24"/>
                <w:szCs w:val="24"/>
              </w:rPr>
            </w:pPr>
            <w:r>
              <w:rPr>
                <w:sz w:val="24"/>
                <w:szCs w:val="24"/>
              </w:rPr>
              <w:t>48.416</w:t>
            </w:r>
          </w:p>
        </w:tc>
        <w:tc>
          <w:tcPr>
            <w:tcW w:w="550"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rFonts w:eastAsia="宋体"/>
                <w:sz w:val="24"/>
                <w:szCs w:val="24"/>
              </w:rPr>
            </w:pPr>
            <w:r>
              <w:rPr>
                <w:rFonts w:hint="eastAsia"/>
                <w:sz w:val="24"/>
                <w:szCs w:val="24"/>
              </w:rPr>
              <w:t>0.000</w:t>
            </w:r>
          </w:p>
        </w:tc>
        <w:tc>
          <w:tcPr>
            <w:tcW w:w="550"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rFonts w:eastAsia="宋体"/>
                <w:sz w:val="24"/>
                <w:szCs w:val="24"/>
              </w:rPr>
            </w:pPr>
            <w:r>
              <w:rPr>
                <w:rFonts w:hint="eastAsia"/>
                <w:sz w:val="24"/>
                <w:szCs w:val="24"/>
              </w:rPr>
              <w:t>7.220</w:t>
            </w:r>
          </w:p>
        </w:tc>
        <w:tc>
          <w:tcPr>
            <w:tcW w:w="575"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rFonts w:eastAsia="宋体"/>
                <w:sz w:val="24"/>
                <w:szCs w:val="24"/>
              </w:rPr>
            </w:pPr>
            <w:r>
              <w:rPr>
                <w:rFonts w:hint="eastAsia"/>
                <w:sz w:val="24"/>
                <w:szCs w:val="24"/>
              </w:rPr>
              <w:t>5.196</w:t>
            </w:r>
          </w:p>
        </w:tc>
        <w:tc>
          <w:tcPr>
            <w:tcW w:w="520"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rFonts w:eastAsia="宋体"/>
                <w:sz w:val="24"/>
                <w:szCs w:val="24"/>
              </w:rPr>
            </w:pPr>
            <w:r>
              <w:rPr>
                <w:rFonts w:hint="eastAsia"/>
                <w:sz w:val="24"/>
                <w:szCs w:val="24"/>
              </w:rPr>
              <w:t>36.000</w:t>
            </w:r>
          </w:p>
        </w:tc>
        <w:tc>
          <w:tcPr>
            <w:tcW w:w="600"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rFonts w:eastAsia="宋体"/>
                <w:sz w:val="24"/>
                <w:szCs w:val="24"/>
              </w:rPr>
            </w:pPr>
            <w:r>
              <w:rPr>
                <w:rFonts w:hint="eastAsia"/>
                <w:sz w:val="24"/>
                <w:szCs w:val="24"/>
              </w:rPr>
              <w:t>0.000</w:t>
            </w:r>
          </w:p>
        </w:tc>
        <w:tc>
          <w:tcPr>
            <w:tcW w:w="365" w:type="pct"/>
            <w:tcBorders>
              <w:top w:val="single" w:color="000000" w:sz="6" w:space="0"/>
              <w:bottom w:val="single" w:color="000000" w:sz="6" w:space="0"/>
            </w:tcBorders>
            <w:vAlign w:val="center"/>
          </w:tcPr>
          <w:p>
            <w:pPr>
              <w:ind w:firstLine="0" w:firstLineChars="0"/>
              <w:jc w:val="center"/>
              <w:rPr>
                <w:rFonts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省道</w:t>
            </w:r>
          </w:p>
        </w:tc>
        <w:tc>
          <w:tcPr>
            <w:tcW w:w="1061" w:type="pct"/>
            <w:tcBorders>
              <w:top w:val="nil"/>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sz w:val="24"/>
                <w:szCs w:val="24"/>
              </w:rPr>
            </w:pPr>
            <w:r>
              <w:rPr>
                <w:sz w:val="24"/>
                <w:szCs w:val="24"/>
              </w:rPr>
              <w:t>96.054</w:t>
            </w: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rFonts w:hint="eastAsia"/>
                <w:sz w:val="24"/>
                <w:szCs w:val="24"/>
              </w:rPr>
              <w:t>53.194</w:t>
            </w: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rFonts w:hint="eastAsia"/>
                <w:sz w:val="24"/>
                <w:szCs w:val="24"/>
              </w:rPr>
              <w:t>6.000</w:t>
            </w:r>
          </w:p>
        </w:tc>
        <w:tc>
          <w:tcPr>
            <w:tcW w:w="575"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rFonts w:hint="eastAsia"/>
                <w:sz w:val="24"/>
                <w:szCs w:val="24"/>
              </w:rPr>
              <w:t>36.860</w:t>
            </w:r>
          </w:p>
        </w:tc>
        <w:tc>
          <w:tcPr>
            <w:tcW w:w="52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rFonts w:hint="eastAsia"/>
                <w:sz w:val="24"/>
                <w:szCs w:val="24"/>
              </w:rPr>
              <w:t>0.000</w:t>
            </w:r>
          </w:p>
        </w:tc>
        <w:tc>
          <w:tcPr>
            <w:tcW w:w="60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rFonts w:hint="eastAsia"/>
                <w:sz w:val="24"/>
                <w:szCs w:val="24"/>
              </w:rPr>
              <w:t>0.000</w:t>
            </w:r>
          </w:p>
        </w:tc>
        <w:tc>
          <w:tcPr>
            <w:tcW w:w="365" w:type="pct"/>
            <w:tcBorders>
              <w:top w:val="single" w:color="000000" w:sz="6" w:space="0"/>
              <w:bottom w:val="single" w:color="000000" w:sz="6" w:space="0"/>
            </w:tcBorders>
            <w:vAlign w:val="center"/>
          </w:tcPr>
          <w:p>
            <w:pPr>
              <w:ind w:firstLine="0" w:firstLineChars="0"/>
              <w:jc w:val="center"/>
              <w:rPr>
                <w:rFonts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县道</w:t>
            </w:r>
          </w:p>
        </w:tc>
        <w:tc>
          <w:tcPr>
            <w:tcW w:w="1061" w:type="pct"/>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sz w:val="24"/>
                <w:szCs w:val="24"/>
              </w:rPr>
            </w:pPr>
            <w:r>
              <w:rPr>
                <w:sz w:val="24"/>
                <w:szCs w:val="24"/>
              </w:rPr>
              <w:t>330.901</w:t>
            </w: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440"/>
              <w:jc w:val="center"/>
              <w:rPr>
                <w:sz w:val="22"/>
              </w:rPr>
            </w:pP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p>
        </w:tc>
        <w:tc>
          <w:tcPr>
            <w:tcW w:w="575"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78.128</w:t>
            </w:r>
          </w:p>
        </w:tc>
        <w:tc>
          <w:tcPr>
            <w:tcW w:w="52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169.77</w:t>
            </w:r>
          </w:p>
        </w:tc>
        <w:tc>
          <w:tcPr>
            <w:tcW w:w="60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83.003</w:t>
            </w:r>
          </w:p>
        </w:tc>
        <w:tc>
          <w:tcPr>
            <w:tcW w:w="365" w:type="pct"/>
            <w:tcBorders>
              <w:top w:val="single" w:color="000000" w:sz="6" w:space="0"/>
              <w:bottom w:val="single" w:color="000000" w:sz="6" w:space="0"/>
            </w:tcBorders>
            <w:vAlign w:val="center"/>
          </w:tcPr>
          <w:p>
            <w:pPr>
              <w:ind w:firstLine="0" w:firstLineChars="0"/>
              <w:jc w:val="center"/>
              <w:rPr>
                <w:rFonts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乡道</w:t>
            </w:r>
          </w:p>
        </w:tc>
        <w:tc>
          <w:tcPr>
            <w:tcW w:w="1061"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sz w:val="24"/>
                <w:szCs w:val="24"/>
              </w:rPr>
            </w:pPr>
            <w:r>
              <w:rPr>
                <w:sz w:val="24"/>
                <w:szCs w:val="24"/>
              </w:rPr>
              <w:t>914.793</w:t>
            </w: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440"/>
              <w:jc w:val="center"/>
              <w:rPr>
                <w:sz w:val="22"/>
              </w:rPr>
            </w:pPr>
          </w:p>
        </w:tc>
        <w:tc>
          <w:tcPr>
            <w:tcW w:w="55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12.590</w:t>
            </w:r>
          </w:p>
        </w:tc>
        <w:tc>
          <w:tcPr>
            <w:tcW w:w="575"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32.233</w:t>
            </w:r>
          </w:p>
        </w:tc>
        <w:tc>
          <w:tcPr>
            <w:tcW w:w="52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72.902</w:t>
            </w:r>
          </w:p>
        </w:tc>
        <w:tc>
          <w:tcPr>
            <w:tcW w:w="60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sz w:val="24"/>
                <w:szCs w:val="24"/>
              </w:rPr>
            </w:pPr>
            <w:r>
              <w:rPr>
                <w:sz w:val="24"/>
                <w:szCs w:val="24"/>
              </w:rPr>
              <w:t>797.068</w:t>
            </w:r>
          </w:p>
        </w:tc>
        <w:tc>
          <w:tcPr>
            <w:tcW w:w="365" w:type="pct"/>
            <w:tcBorders>
              <w:top w:val="single" w:color="000000" w:sz="6" w:space="0"/>
              <w:bottom w:val="single" w:color="000000" w:sz="6" w:space="0"/>
            </w:tcBorders>
            <w:vAlign w:val="center"/>
          </w:tcPr>
          <w:p>
            <w:pPr>
              <w:ind w:firstLine="0" w:firstLineChars="0"/>
              <w:jc w:val="center"/>
              <w:rPr>
                <w:rFonts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村道</w:t>
            </w:r>
          </w:p>
        </w:tc>
        <w:tc>
          <w:tcPr>
            <w:tcW w:w="1061"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sz w:val="24"/>
                <w:szCs w:val="24"/>
              </w:rPr>
            </w:pPr>
            <w:r>
              <w:rPr>
                <w:sz w:val="24"/>
                <w:szCs w:val="24"/>
              </w:rPr>
              <w:t>1034.724</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eastAsia="宋体"/>
                <w:color w:val="000000"/>
                <w:sz w:val="18"/>
                <w:szCs w:val="18"/>
              </w:rPr>
            </w:pPr>
          </w:p>
        </w:tc>
        <w:tc>
          <w:tcPr>
            <w:tcW w:w="550"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4"/>
                <w:szCs w:val="24"/>
              </w:rPr>
            </w:pPr>
            <w:r>
              <w:rPr>
                <w:rFonts w:hint="eastAsia"/>
                <w:sz w:val="24"/>
                <w:szCs w:val="24"/>
              </w:rPr>
              <w:t>2.184</w:t>
            </w:r>
          </w:p>
        </w:tc>
        <w:tc>
          <w:tcPr>
            <w:tcW w:w="575"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4"/>
                <w:szCs w:val="24"/>
              </w:rPr>
            </w:pPr>
            <w:r>
              <w:rPr>
                <w:rFonts w:hint="eastAsia"/>
                <w:sz w:val="24"/>
                <w:szCs w:val="24"/>
              </w:rPr>
              <w:t>24.175</w:t>
            </w:r>
          </w:p>
        </w:tc>
        <w:tc>
          <w:tcPr>
            <w:tcW w:w="520"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4"/>
                <w:szCs w:val="24"/>
              </w:rPr>
            </w:pPr>
            <w:r>
              <w:rPr>
                <w:rFonts w:hint="eastAsia"/>
                <w:sz w:val="24"/>
                <w:szCs w:val="24"/>
              </w:rPr>
              <w:t>50.448</w:t>
            </w:r>
          </w:p>
        </w:tc>
        <w:tc>
          <w:tcPr>
            <w:tcW w:w="600"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4"/>
                <w:szCs w:val="24"/>
              </w:rPr>
            </w:pPr>
            <w:r>
              <w:rPr>
                <w:rFonts w:hint="eastAsia"/>
                <w:sz w:val="24"/>
                <w:szCs w:val="24"/>
              </w:rPr>
              <w:t>957.917</w:t>
            </w:r>
          </w:p>
        </w:tc>
        <w:tc>
          <w:tcPr>
            <w:tcW w:w="365" w:type="pct"/>
            <w:tcBorders>
              <w:top w:val="single" w:color="000000" w:sz="6" w:space="0"/>
              <w:bottom w:val="single" w:color="000000" w:sz="6" w:space="0"/>
            </w:tcBorders>
            <w:vAlign w:val="center"/>
          </w:tcPr>
          <w:p>
            <w:pPr>
              <w:ind w:firstLine="0" w:firstLineChars="0"/>
              <w:jc w:val="center"/>
              <w:rPr>
                <w:rFonts w:eastAsia="仿宋"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781" w:type="pct"/>
            <w:tcBorders>
              <w:top w:val="single" w:color="000000" w:sz="6" w:space="0"/>
              <w:bottom w:val="single" w:color="000000" w:sz="12" w:space="0"/>
            </w:tcBorders>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合计</w:t>
            </w:r>
          </w:p>
        </w:tc>
        <w:tc>
          <w:tcPr>
            <w:tcW w:w="1061" w:type="pct"/>
            <w:tcBorders>
              <w:top w:val="single" w:color="000000" w:sz="6" w:space="0"/>
              <w:bottom w:val="single" w:color="000000" w:sz="12" w:space="0"/>
            </w:tcBorders>
            <w:vAlign w:val="center"/>
          </w:tcPr>
          <w:p>
            <w:pPr>
              <w:widowControl/>
              <w:ind w:firstLine="0" w:firstLineChars="0"/>
              <w:jc w:val="center"/>
              <w:rPr>
                <w:sz w:val="24"/>
                <w:szCs w:val="24"/>
              </w:rPr>
            </w:pPr>
            <w:r>
              <w:rPr>
                <w:sz w:val="24"/>
                <w:szCs w:val="24"/>
              </w:rPr>
              <w:t>2424.888</w:t>
            </w:r>
          </w:p>
        </w:tc>
        <w:tc>
          <w:tcPr>
            <w:tcW w:w="550" w:type="pct"/>
            <w:tcBorders>
              <w:top w:val="single" w:color="000000" w:sz="6" w:space="0"/>
              <w:bottom w:val="single" w:color="000000" w:sz="12" w:space="0"/>
            </w:tcBorders>
            <w:vAlign w:val="center"/>
          </w:tcPr>
          <w:p>
            <w:pPr>
              <w:ind w:firstLine="0" w:firstLineChars="0"/>
              <w:jc w:val="center"/>
              <w:rPr>
                <w:sz w:val="24"/>
                <w:szCs w:val="24"/>
              </w:rPr>
            </w:pPr>
            <w:r>
              <w:rPr>
                <w:sz w:val="24"/>
                <w:szCs w:val="24"/>
              </w:rPr>
              <w:t>53.194</w:t>
            </w:r>
          </w:p>
        </w:tc>
        <w:tc>
          <w:tcPr>
            <w:tcW w:w="550" w:type="pct"/>
            <w:tcBorders>
              <w:top w:val="single" w:color="000000" w:sz="6" w:space="0"/>
              <w:bottom w:val="single" w:color="000000" w:sz="12" w:space="0"/>
            </w:tcBorders>
            <w:vAlign w:val="center"/>
          </w:tcPr>
          <w:p>
            <w:pPr>
              <w:ind w:firstLine="0" w:firstLineChars="0"/>
              <w:jc w:val="center"/>
              <w:rPr>
                <w:sz w:val="24"/>
                <w:szCs w:val="24"/>
              </w:rPr>
            </w:pPr>
            <w:r>
              <w:rPr>
                <w:sz w:val="24"/>
                <w:szCs w:val="24"/>
              </w:rPr>
              <w:t>27.994</w:t>
            </w:r>
          </w:p>
        </w:tc>
        <w:tc>
          <w:tcPr>
            <w:tcW w:w="575" w:type="pct"/>
            <w:tcBorders>
              <w:top w:val="single" w:color="000000" w:sz="6" w:space="0"/>
              <w:bottom w:val="single" w:color="000000" w:sz="12" w:space="0"/>
            </w:tcBorders>
            <w:vAlign w:val="center"/>
          </w:tcPr>
          <w:p>
            <w:pPr>
              <w:ind w:firstLine="0" w:firstLineChars="0"/>
              <w:jc w:val="center"/>
              <w:rPr>
                <w:sz w:val="24"/>
                <w:szCs w:val="24"/>
              </w:rPr>
            </w:pPr>
            <w:r>
              <w:rPr>
                <w:sz w:val="24"/>
                <w:szCs w:val="24"/>
              </w:rPr>
              <w:t>176.592</w:t>
            </w:r>
          </w:p>
        </w:tc>
        <w:tc>
          <w:tcPr>
            <w:tcW w:w="520" w:type="pct"/>
            <w:tcBorders>
              <w:top w:val="single" w:color="000000" w:sz="6" w:space="0"/>
              <w:bottom w:val="single" w:color="000000" w:sz="12" w:space="0"/>
            </w:tcBorders>
            <w:vAlign w:val="center"/>
          </w:tcPr>
          <w:p>
            <w:pPr>
              <w:ind w:firstLine="0" w:firstLineChars="0"/>
              <w:jc w:val="center"/>
              <w:rPr>
                <w:sz w:val="24"/>
                <w:szCs w:val="24"/>
              </w:rPr>
            </w:pPr>
            <w:r>
              <w:rPr>
                <w:sz w:val="24"/>
                <w:szCs w:val="24"/>
              </w:rPr>
              <w:t>329.12</w:t>
            </w:r>
          </w:p>
        </w:tc>
        <w:tc>
          <w:tcPr>
            <w:tcW w:w="600" w:type="pct"/>
            <w:tcBorders>
              <w:top w:val="single" w:color="000000" w:sz="6" w:space="0"/>
              <w:bottom w:val="single" w:color="000000" w:sz="12" w:space="0"/>
            </w:tcBorders>
            <w:vAlign w:val="center"/>
          </w:tcPr>
          <w:p>
            <w:pPr>
              <w:ind w:firstLine="0" w:firstLineChars="0"/>
              <w:jc w:val="center"/>
              <w:rPr>
                <w:sz w:val="24"/>
                <w:szCs w:val="24"/>
              </w:rPr>
            </w:pPr>
            <w:r>
              <w:rPr>
                <w:sz w:val="24"/>
                <w:szCs w:val="24"/>
              </w:rPr>
              <w:t>1837.988</w:t>
            </w:r>
          </w:p>
        </w:tc>
        <w:tc>
          <w:tcPr>
            <w:tcW w:w="365" w:type="pct"/>
            <w:tcBorders>
              <w:top w:val="single" w:color="000000" w:sz="6" w:space="0"/>
              <w:bottom w:val="single" w:color="000000" w:sz="12" w:space="0"/>
            </w:tcBorders>
            <w:vAlign w:val="center"/>
          </w:tcPr>
          <w:p>
            <w:pPr>
              <w:ind w:firstLine="0" w:firstLineChars="0"/>
              <w:jc w:val="center"/>
              <w:rPr>
                <w:rFonts w:eastAsia="仿宋" w:cs="Times New Roman"/>
                <w:sz w:val="24"/>
                <w:szCs w:val="24"/>
              </w:rPr>
            </w:pPr>
          </w:p>
        </w:tc>
      </w:tr>
    </w:tbl>
    <w:p>
      <w:pPr>
        <w:widowControl/>
        <w:snapToGrid w:val="0"/>
        <w:spacing w:before="312" w:beforeLines="100" w:line="360" w:lineRule="auto"/>
        <w:ind w:firstLine="0" w:firstLineChars="0"/>
        <w:jc w:val="center"/>
        <w:rPr>
          <w:rFonts w:cs="Times New Roman"/>
          <w:b/>
          <w:sz w:val="28"/>
        </w:rPr>
      </w:pPr>
    </w:p>
    <w:p>
      <w:pPr>
        <w:widowControl/>
        <w:snapToGrid w:val="0"/>
        <w:spacing w:before="312" w:beforeLines="100" w:line="360" w:lineRule="auto"/>
        <w:ind w:firstLine="0" w:firstLineChars="0"/>
        <w:jc w:val="center"/>
        <w:rPr>
          <w:rFonts w:cs="Times New Roman"/>
          <w:b/>
          <w:sz w:val="28"/>
        </w:rPr>
      </w:pPr>
    </w:p>
    <w:p>
      <w:pPr>
        <w:widowControl/>
        <w:snapToGrid w:val="0"/>
        <w:spacing w:before="312" w:beforeLines="100" w:line="360" w:lineRule="auto"/>
        <w:ind w:firstLine="0" w:firstLineChars="0"/>
        <w:jc w:val="center"/>
        <w:rPr>
          <w:rFonts w:cs="Times New Roman"/>
          <w:b/>
          <w:sz w:val="28"/>
        </w:rPr>
      </w:pPr>
      <w:r>
        <w:rPr>
          <w:rFonts w:cs="Times New Roman"/>
          <w:b/>
          <w:sz w:val="28"/>
        </w:rPr>
        <w:t>表2-4  阳城县公路路面铺装里程现状表（2020年底）（km）</w:t>
      </w:r>
    </w:p>
    <w:tbl>
      <w:tblPr>
        <w:tblStyle w:val="13"/>
        <w:tblpPr w:leftFromText="180" w:rightFromText="180" w:vertAnchor="text" w:horzAnchor="margin" w:tblpXSpec="center" w:tblpY="167"/>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699"/>
        <w:gridCol w:w="1363"/>
        <w:gridCol w:w="1207"/>
        <w:gridCol w:w="1569"/>
        <w:gridCol w:w="1714"/>
        <w:gridCol w:w="1285"/>
        <w:gridCol w:w="10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restart"/>
            <w:vAlign w:val="center"/>
          </w:tcPr>
          <w:p>
            <w:pPr>
              <w:widowControl/>
              <w:ind w:firstLine="0" w:firstLineChars="0"/>
              <w:jc w:val="center"/>
              <w:rPr>
                <w:rFonts w:eastAsia="仿宋" w:cs="Times New Roman"/>
                <w:kern w:val="0"/>
                <w:sz w:val="24"/>
                <w:szCs w:val="24"/>
                <w:lang w:eastAsia="en-US" w:bidi="en-US"/>
              </w:rPr>
            </w:pPr>
            <w:bookmarkStart w:id="52" w:name="OLE_LINK1"/>
            <w:r>
              <w:rPr>
                <w:rFonts w:eastAsia="仿宋" w:cs="Times New Roman"/>
                <w:kern w:val="0"/>
                <w:sz w:val="24"/>
                <w:szCs w:val="24"/>
                <w:lang w:eastAsia="en-US" w:bidi="en-US"/>
              </w:rPr>
              <w:t>等  级</w:t>
            </w:r>
          </w:p>
        </w:tc>
        <w:tc>
          <w:tcPr>
            <w:tcW w:w="768" w:type="pct"/>
            <w:vMerge w:val="restart"/>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里 程</w:t>
            </w:r>
          </w:p>
        </w:tc>
        <w:tc>
          <w:tcPr>
            <w:tcW w:w="3838" w:type="pct"/>
            <w:gridSpan w:val="5"/>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路    面    铺    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continue"/>
            <w:vAlign w:val="center"/>
          </w:tcPr>
          <w:p>
            <w:pPr>
              <w:widowControl/>
              <w:ind w:firstLine="0" w:firstLineChars="0"/>
              <w:jc w:val="center"/>
              <w:rPr>
                <w:rFonts w:eastAsia="仿宋" w:cs="Times New Roman"/>
                <w:kern w:val="0"/>
                <w:sz w:val="24"/>
                <w:szCs w:val="24"/>
                <w:lang w:eastAsia="en-US" w:bidi="en-US"/>
              </w:rPr>
            </w:pPr>
          </w:p>
        </w:tc>
        <w:tc>
          <w:tcPr>
            <w:tcW w:w="768" w:type="pct"/>
            <w:vMerge w:val="continue"/>
            <w:vAlign w:val="center"/>
          </w:tcPr>
          <w:p>
            <w:pPr>
              <w:widowControl/>
              <w:ind w:firstLine="0" w:firstLineChars="0"/>
              <w:jc w:val="center"/>
              <w:textAlignment w:val="center"/>
              <w:rPr>
                <w:rFonts w:eastAsia="仿宋" w:cs="Times New Roman"/>
                <w:kern w:val="0"/>
                <w:sz w:val="24"/>
                <w:szCs w:val="24"/>
                <w:lang w:eastAsia="en-US" w:bidi="en-US"/>
              </w:rPr>
            </w:pPr>
          </w:p>
        </w:tc>
        <w:tc>
          <w:tcPr>
            <w:tcW w:w="2530" w:type="pct"/>
            <w:gridSpan w:val="3"/>
            <w:vAlign w:val="center"/>
          </w:tcPr>
          <w:p>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有铺装路面(高级)</w:t>
            </w:r>
          </w:p>
        </w:tc>
        <w:tc>
          <w:tcPr>
            <w:tcW w:w="724" w:type="pct"/>
            <w:vMerge w:val="restart"/>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简易铺装</w:t>
            </w:r>
          </w:p>
        </w:tc>
        <w:tc>
          <w:tcPr>
            <w:tcW w:w="584" w:type="pct"/>
            <w:vMerge w:val="restart"/>
            <w:vAlign w:val="center"/>
          </w:tcPr>
          <w:p>
            <w:pPr>
              <w:widowControl/>
              <w:ind w:firstLine="0" w:firstLineChars="0"/>
              <w:jc w:val="center"/>
              <w:textAlignment w:val="center"/>
              <w:rPr>
                <w:rFonts w:eastAsia="仿宋" w:cs="Times New Roman"/>
                <w:kern w:val="0"/>
                <w:sz w:val="24"/>
                <w:szCs w:val="24"/>
                <w:lang w:eastAsia="en-US" w:bidi="en-US"/>
              </w:rPr>
            </w:pPr>
            <w:r>
              <w:rPr>
                <w:rFonts w:eastAsia="仿宋" w:cs="Times New Roman"/>
                <w:kern w:val="0"/>
                <w:sz w:val="24"/>
                <w:szCs w:val="24"/>
                <w:lang w:eastAsia="en-US" w:bidi="en-US"/>
              </w:rPr>
              <w:t>未铺装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Merge w:val="continue"/>
            <w:vAlign w:val="center"/>
          </w:tcPr>
          <w:p>
            <w:pPr>
              <w:widowControl/>
              <w:ind w:firstLine="0" w:firstLineChars="0"/>
              <w:jc w:val="center"/>
              <w:rPr>
                <w:rFonts w:eastAsia="仿宋" w:cs="Times New Roman"/>
                <w:kern w:val="0"/>
                <w:sz w:val="24"/>
                <w:szCs w:val="24"/>
                <w:lang w:eastAsia="en-US" w:bidi="en-US"/>
              </w:rPr>
            </w:pPr>
          </w:p>
        </w:tc>
        <w:tc>
          <w:tcPr>
            <w:tcW w:w="768" w:type="pct"/>
            <w:vMerge w:val="continue"/>
            <w:vAlign w:val="center"/>
          </w:tcPr>
          <w:p>
            <w:pPr>
              <w:widowControl/>
              <w:ind w:firstLine="0" w:firstLineChars="0"/>
              <w:jc w:val="center"/>
              <w:textAlignment w:val="center"/>
              <w:rPr>
                <w:rFonts w:eastAsia="仿宋" w:cs="Times New Roman"/>
                <w:kern w:val="0"/>
                <w:sz w:val="24"/>
                <w:szCs w:val="24"/>
                <w:lang w:eastAsia="en-US" w:bidi="en-US"/>
              </w:rPr>
            </w:pPr>
          </w:p>
        </w:tc>
        <w:tc>
          <w:tcPr>
            <w:tcW w:w="680" w:type="pct"/>
            <w:vAlign w:val="center"/>
          </w:tcPr>
          <w:p>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bidi="en-US"/>
              </w:rPr>
              <w:t>小计</w:t>
            </w:r>
          </w:p>
        </w:tc>
        <w:tc>
          <w:tcPr>
            <w:tcW w:w="884" w:type="pct"/>
            <w:vAlign w:val="center"/>
          </w:tcPr>
          <w:p>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沥青混凝土</w:t>
            </w:r>
          </w:p>
        </w:tc>
        <w:tc>
          <w:tcPr>
            <w:tcW w:w="966" w:type="pct"/>
            <w:vAlign w:val="center"/>
          </w:tcPr>
          <w:p>
            <w:pPr>
              <w:widowControl/>
              <w:ind w:firstLine="0" w:firstLineChars="0"/>
              <w:jc w:val="center"/>
              <w:textAlignment w:val="center"/>
              <w:rPr>
                <w:rFonts w:eastAsia="仿宋" w:cs="Times New Roman"/>
                <w:kern w:val="0"/>
                <w:sz w:val="24"/>
                <w:szCs w:val="24"/>
                <w:lang w:eastAsia="en-US" w:bidi="en-US"/>
              </w:rPr>
            </w:pPr>
            <w:r>
              <w:rPr>
                <w:rFonts w:hint="eastAsia" w:eastAsia="仿宋" w:cs="Times New Roman"/>
                <w:kern w:val="0"/>
                <w:sz w:val="24"/>
                <w:szCs w:val="24"/>
                <w:lang w:eastAsia="en-US" w:bidi="en-US"/>
              </w:rPr>
              <w:t>水泥混凝土</w:t>
            </w:r>
          </w:p>
        </w:tc>
        <w:tc>
          <w:tcPr>
            <w:tcW w:w="724" w:type="pct"/>
            <w:vMerge w:val="continue"/>
            <w:vAlign w:val="center"/>
          </w:tcPr>
          <w:p>
            <w:pPr>
              <w:widowControl/>
              <w:ind w:firstLine="0" w:firstLineChars="0"/>
              <w:jc w:val="center"/>
              <w:textAlignment w:val="center"/>
              <w:rPr>
                <w:rFonts w:eastAsia="仿宋" w:cs="Times New Roman"/>
                <w:kern w:val="0"/>
                <w:sz w:val="24"/>
                <w:szCs w:val="24"/>
                <w:lang w:eastAsia="en-US" w:bidi="en-US"/>
              </w:rPr>
            </w:pPr>
          </w:p>
        </w:tc>
        <w:tc>
          <w:tcPr>
            <w:tcW w:w="584" w:type="pct"/>
            <w:vMerge w:val="continue"/>
            <w:tcBorders>
              <w:bottom w:val="single" w:color="000000" w:sz="6" w:space="0"/>
            </w:tcBorders>
            <w:vAlign w:val="center"/>
          </w:tcPr>
          <w:p>
            <w:pPr>
              <w:widowControl/>
              <w:ind w:firstLine="0" w:firstLineChars="0"/>
              <w:jc w:val="center"/>
              <w:textAlignment w:val="center"/>
              <w:rPr>
                <w:rFonts w:eastAsia="仿宋" w:cs="Times New Roman"/>
                <w:kern w:val="0"/>
                <w:sz w:val="24"/>
                <w:szCs w:val="24"/>
                <w:lang w:eastAsia="en-US"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pPr>
              <w:ind w:firstLine="0" w:firstLineChars="0"/>
              <w:jc w:val="center"/>
              <w:rPr>
                <w:rFonts w:eastAsia="仿宋" w:cs="Times New Roman"/>
                <w:sz w:val="24"/>
                <w:szCs w:val="24"/>
              </w:rPr>
            </w:pPr>
            <w:r>
              <w:rPr>
                <w:rFonts w:eastAsia="仿宋" w:cs="Times New Roman"/>
                <w:sz w:val="24"/>
                <w:szCs w:val="24"/>
              </w:rPr>
              <w:t>国道</w:t>
            </w:r>
          </w:p>
        </w:tc>
        <w:tc>
          <w:tcPr>
            <w:tcW w:w="768" w:type="pct"/>
            <w:tcBorders>
              <w:top w:val="single" w:color="auto" w:sz="4" w:space="0"/>
              <w:left w:val="single" w:color="auto" w:sz="4" w:space="0"/>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color w:val="000000"/>
                <w:sz w:val="24"/>
                <w:szCs w:val="18"/>
              </w:rPr>
              <w:t>48.416</w:t>
            </w:r>
          </w:p>
        </w:tc>
        <w:tc>
          <w:tcPr>
            <w:tcW w:w="680"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color w:val="000000"/>
                <w:sz w:val="24"/>
                <w:szCs w:val="18"/>
              </w:rPr>
            </w:pPr>
            <w:r>
              <w:rPr>
                <w:rFonts w:hint="eastAsia"/>
                <w:color w:val="000000"/>
                <w:sz w:val="24"/>
                <w:szCs w:val="18"/>
              </w:rPr>
              <w:t>48.416</w:t>
            </w:r>
          </w:p>
        </w:tc>
        <w:tc>
          <w:tcPr>
            <w:tcW w:w="884"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color w:val="000000"/>
                <w:sz w:val="24"/>
                <w:szCs w:val="18"/>
              </w:rPr>
            </w:pPr>
            <w:r>
              <w:rPr>
                <w:rFonts w:hint="eastAsia"/>
                <w:color w:val="000000"/>
                <w:sz w:val="24"/>
                <w:szCs w:val="18"/>
              </w:rPr>
              <w:t>48.416</w:t>
            </w:r>
          </w:p>
        </w:tc>
        <w:tc>
          <w:tcPr>
            <w:tcW w:w="966" w:type="pct"/>
            <w:tcBorders>
              <w:top w:val="single" w:color="auto" w:sz="4" w:space="0"/>
              <w:left w:val="nil"/>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rFonts w:hint="eastAsia"/>
                <w:color w:val="000000"/>
                <w:sz w:val="24"/>
                <w:szCs w:val="18"/>
              </w:rPr>
              <w:t>0.000</w:t>
            </w:r>
          </w:p>
        </w:tc>
        <w:tc>
          <w:tcPr>
            <w:tcW w:w="724"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color w:val="000000"/>
                <w:sz w:val="24"/>
                <w:szCs w:val="18"/>
              </w:rPr>
            </w:pPr>
            <w:r>
              <w:rPr>
                <w:rFonts w:hint="eastAsia"/>
                <w:color w:val="000000"/>
                <w:sz w:val="24"/>
                <w:szCs w:val="18"/>
              </w:rPr>
              <w:t>0.000</w:t>
            </w:r>
          </w:p>
        </w:tc>
        <w:tc>
          <w:tcPr>
            <w:tcW w:w="584" w:type="pct"/>
            <w:tcBorders>
              <w:top w:val="single" w:color="000000" w:sz="6" w:space="0"/>
              <w:left w:val="nil"/>
              <w:bottom w:val="single" w:color="auto" w:sz="4" w:space="0"/>
              <w:right w:val="single" w:color="000000" w:sz="12" w:space="0"/>
            </w:tcBorders>
            <w:shd w:val="clear" w:color="800000" w:fill="FFFFFF"/>
            <w:vAlign w:val="center"/>
          </w:tcPr>
          <w:p>
            <w:pPr>
              <w:ind w:firstLine="0" w:firstLineChars="0"/>
              <w:jc w:val="center"/>
              <w:rPr>
                <w:color w:val="000000"/>
                <w:sz w:val="24"/>
                <w:szCs w:val="18"/>
              </w:rPr>
            </w:pPr>
            <w:r>
              <w:rPr>
                <w:rFonts w:hint="eastAsia"/>
                <w:color w:val="000000"/>
                <w:sz w:val="24"/>
                <w:szCs w:val="18"/>
              </w:rPr>
              <w:t>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pPr>
              <w:ind w:firstLine="0" w:firstLineChars="0"/>
              <w:jc w:val="center"/>
              <w:rPr>
                <w:rFonts w:eastAsia="仿宋" w:cs="Times New Roman"/>
                <w:sz w:val="24"/>
                <w:szCs w:val="24"/>
              </w:rPr>
            </w:pPr>
            <w:r>
              <w:rPr>
                <w:rFonts w:eastAsia="仿宋" w:cs="Times New Roman"/>
                <w:sz w:val="24"/>
                <w:szCs w:val="24"/>
              </w:rPr>
              <w:t>省道</w:t>
            </w:r>
          </w:p>
        </w:tc>
        <w:tc>
          <w:tcPr>
            <w:tcW w:w="768"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color w:val="000000"/>
                <w:sz w:val="24"/>
                <w:szCs w:val="18"/>
              </w:rPr>
              <w:t>96.054</w:t>
            </w:r>
          </w:p>
        </w:tc>
        <w:tc>
          <w:tcPr>
            <w:tcW w:w="680"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rFonts w:hint="eastAsia"/>
                <w:color w:val="000000"/>
                <w:sz w:val="24"/>
                <w:szCs w:val="18"/>
              </w:rPr>
              <w:t>96.054</w:t>
            </w:r>
          </w:p>
        </w:tc>
        <w:tc>
          <w:tcPr>
            <w:tcW w:w="884" w:type="pct"/>
            <w:tcBorders>
              <w:top w:val="single" w:color="auto" w:sz="4" w:space="0"/>
              <w:left w:val="single" w:color="auto" w:sz="4" w:space="0"/>
              <w:bottom w:val="single" w:color="auto" w:sz="4" w:space="0"/>
              <w:right w:val="single" w:color="auto" w:sz="4" w:space="0"/>
            </w:tcBorders>
            <w:shd w:val="clear" w:color="800000" w:fill="FFFFFF"/>
            <w:vAlign w:val="center"/>
          </w:tcPr>
          <w:p>
            <w:pPr>
              <w:widowControl/>
              <w:ind w:firstLine="0" w:firstLineChars="0"/>
              <w:jc w:val="center"/>
              <w:rPr>
                <w:color w:val="000000"/>
                <w:sz w:val="24"/>
                <w:szCs w:val="18"/>
              </w:rPr>
            </w:pPr>
            <w:r>
              <w:rPr>
                <w:rFonts w:hint="eastAsia"/>
                <w:color w:val="000000"/>
                <w:sz w:val="24"/>
                <w:szCs w:val="18"/>
              </w:rPr>
              <w:t>96.054</w:t>
            </w:r>
          </w:p>
        </w:tc>
        <w:tc>
          <w:tcPr>
            <w:tcW w:w="966" w:type="pct"/>
            <w:tcBorders>
              <w:top w:val="single" w:color="auto" w:sz="4" w:space="0"/>
              <w:left w:val="nil"/>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rFonts w:hint="eastAsia"/>
                <w:color w:val="000000"/>
                <w:sz w:val="24"/>
                <w:szCs w:val="18"/>
              </w:rPr>
              <w:t>0.000</w:t>
            </w:r>
          </w:p>
        </w:tc>
        <w:tc>
          <w:tcPr>
            <w:tcW w:w="724" w:type="pct"/>
            <w:tcBorders>
              <w:top w:val="nil"/>
              <w:left w:val="single" w:color="auto" w:sz="4" w:space="0"/>
              <w:bottom w:val="single" w:color="auto" w:sz="4" w:space="0"/>
              <w:right w:val="single" w:color="auto" w:sz="4" w:space="0"/>
            </w:tcBorders>
            <w:shd w:val="clear" w:color="800000" w:fill="FFFFFF"/>
            <w:vAlign w:val="center"/>
          </w:tcPr>
          <w:p>
            <w:pPr>
              <w:ind w:firstLine="0" w:firstLineChars="0"/>
              <w:jc w:val="center"/>
              <w:rPr>
                <w:color w:val="000000"/>
                <w:sz w:val="24"/>
                <w:szCs w:val="18"/>
              </w:rPr>
            </w:pPr>
            <w:r>
              <w:rPr>
                <w:rFonts w:hint="eastAsia"/>
                <w:color w:val="000000"/>
                <w:sz w:val="24"/>
                <w:szCs w:val="18"/>
              </w:rPr>
              <w:t>0.000</w:t>
            </w:r>
          </w:p>
        </w:tc>
        <w:tc>
          <w:tcPr>
            <w:tcW w:w="584" w:type="pct"/>
            <w:tcBorders>
              <w:top w:val="single" w:color="auto" w:sz="4" w:space="0"/>
              <w:left w:val="nil"/>
              <w:bottom w:val="single" w:color="auto" w:sz="4" w:space="0"/>
              <w:right w:val="single" w:color="000000" w:sz="12" w:space="0"/>
            </w:tcBorders>
            <w:shd w:val="clear" w:color="800000" w:fill="FFFFFF"/>
            <w:vAlign w:val="center"/>
          </w:tcPr>
          <w:p>
            <w:pPr>
              <w:ind w:firstLine="0" w:firstLineChars="0"/>
              <w:jc w:val="center"/>
              <w:rPr>
                <w:color w:val="000000"/>
                <w:sz w:val="24"/>
                <w:szCs w:val="18"/>
              </w:rPr>
            </w:pPr>
            <w:r>
              <w:rPr>
                <w:rFonts w:hint="eastAsia"/>
                <w:color w:val="000000"/>
                <w:sz w:val="24"/>
                <w:szCs w:val="18"/>
              </w:rPr>
              <w:t>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pPr>
              <w:ind w:firstLine="0" w:firstLineChars="0"/>
              <w:jc w:val="center"/>
              <w:rPr>
                <w:rFonts w:eastAsia="仿宋" w:cs="Times New Roman"/>
                <w:sz w:val="24"/>
                <w:szCs w:val="24"/>
              </w:rPr>
            </w:pPr>
            <w:r>
              <w:rPr>
                <w:rFonts w:eastAsia="仿宋" w:cs="Times New Roman"/>
                <w:sz w:val="24"/>
                <w:szCs w:val="24"/>
              </w:rPr>
              <w:t>县道</w:t>
            </w:r>
          </w:p>
        </w:tc>
        <w:tc>
          <w:tcPr>
            <w:tcW w:w="768"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330.901</w:t>
            </w:r>
          </w:p>
        </w:tc>
        <w:tc>
          <w:tcPr>
            <w:tcW w:w="680"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318.617</w:t>
            </w:r>
          </w:p>
        </w:tc>
        <w:tc>
          <w:tcPr>
            <w:tcW w:w="884"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256.837</w:t>
            </w:r>
          </w:p>
        </w:tc>
        <w:tc>
          <w:tcPr>
            <w:tcW w:w="966"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61.780</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color w:val="000000"/>
                <w:sz w:val="24"/>
                <w:szCs w:val="18"/>
              </w:rPr>
            </w:pPr>
            <w:r>
              <w:rPr>
                <w:rFonts w:hint="eastAsia"/>
                <w:color w:val="000000"/>
                <w:sz w:val="24"/>
                <w:szCs w:val="18"/>
              </w:rPr>
              <w:t>12.284</w:t>
            </w:r>
          </w:p>
        </w:tc>
        <w:tc>
          <w:tcPr>
            <w:tcW w:w="584" w:type="pct"/>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0</w:t>
            </w:r>
            <w:r>
              <w:rPr>
                <w:color w:val="000000"/>
                <w:sz w:val="24"/>
                <w:szCs w:val="18"/>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vAlign w:val="center"/>
          </w:tcPr>
          <w:p>
            <w:pPr>
              <w:ind w:firstLine="0" w:firstLineChars="0"/>
              <w:jc w:val="center"/>
              <w:rPr>
                <w:rFonts w:eastAsia="仿宋" w:cs="Times New Roman"/>
                <w:sz w:val="24"/>
                <w:szCs w:val="24"/>
              </w:rPr>
            </w:pPr>
            <w:r>
              <w:rPr>
                <w:rFonts w:eastAsia="仿宋" w:cs="Times New Roman"/>
                <w:sz w:val="24"/>
                <w:szCs w:val="24"/>
              </w:rPr>
              <w:t>乡道</w:t>
            </w:r>
          </w:p>
        </w:tc>
        <w:tc>
          <w:tcPr>
            <w:tcW w:w="768"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914.793</w:t>
            </w:r>
          </w:p>
        </w:tc>
        <w:tc>
          <w:tcPr>
            <w:tcW w:w="680"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887.383</w:t>
            </w:r>
          </w:p>
        </w:tc>
        <w:tc>
          <w:tcPr>
            <w:tcW w:w="884"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189.99</w:t>
            </w:r>
          </w:p>
        </w:tc>
        <w:tc>
          <w:tcPr>
            <w:tcW w:w="966"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697.393</w:t>
            </w:r>
          </w:p>
        </w:tc>
        <w:tc>
          <w:tcPr>
            <w:tcW w:w="724"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23.021</w:t>
            </w:r>
          </w:p>
        </w:tc>
        <w:tc>
          <w:tcPr>
            <w:tcW w:w="584"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4.389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tcBorders>
              <w:bottom w:val="single" w:color="000000" w:sz="6" w:space="0"/>
            </w:tcBorders>
            <w:vAlign w:val="center"/>
          </w:tcPr>
          <w:p>
            <w:pPr>
              <w:ind w:firstLine="0" w:firstLineChars="0"/>
              <w:jc w:val="center"/>
              <w:rPr>
                <w:rFonts w:eastAsia="仿宋" w:cs="Times New Roman"/>
                <w:sz w:val="24"/>
                <w:szCs w:val="24"/>
              </w:rPr>
            </w:pPr>
            <w:r>
              <w:rPr>
                <w:rFonts w:eastAsia="仿宋" w:cs="Times New Roman"/>
                <w:sz w:val="24"/>
                <w:szCs w:val="24"/>
              </w:rPr>
              <w:t>村道</w:t>
            </w:r>
          </w:p>
        </w:tc>
        <w:tc>
          <w:tcPr>
            <w:tcW w:w="768"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1034.724</w:t>
            </w:r>
          </w:p>
        </w:tc>
        <w:tc>
          <w:tcPr>
            <w:tcW w:w="680"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1020.572</w:t>
            </w:r>
          </w:p>
        </w:tc>
        <w:tc>
          <w:tcPr>
            <w:tcW w:w="884"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color w:val="000000"/>
                <w:sz w:val="24"/>
                <w:szCs w:val="18"/>
              </w:rPr>
              <w:t>118.901</w:t>
            </w:r>
          </w:p>
        </w:tc>
        <w:tc>
          <w:tcPr>
            <w:tcW w:w="966"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901.671</w:t>
            </w:r>
          </w:p>
        </w:tc>
        <w:tc>
          <w:tcPr>
            <w:tcW w:w="724" w:type="pc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7.087</w:t>
            </w:r>
          </w:p>
        </w:tc>
        <w:tc>
          <w:tcPr>
            <w:tcW w:w="584" w:type="pct"/>
            <w:tcBorders>
              <w:top w:val="nil"/>
              <w:left w:val="nil"/>
              <w:bottom w:val="single" w:color="auto" w:sz="4" w:space="0"/>
              <w:right w:val="single" w:color="auto" w:sz="4" w:space="0"/>
            </w:tcBorders>
            <w:shd w:val="clear" w:color="auto" w:fill="auto"/>
            <w:vAlign w:val="center"/>
          </w:tcPr>
          <w:p>
            <w:pPr>
              <w:ind w:firstLine="0" w:firstLineChars="0"/>
              <w:jc w:val="center"/>
              <w:rPr>
                <w:color w:val="000000"/>
                <w:sz w:val="24"/>
                <w:szCs w:val="18"/>
              </w:rPr>
            </w:pPr>
            <w:r>
              <w:rPr>
                <w:rFonts w:hint="eastAsia"/>
                <w:color w:val="000000"/>
                <w:sz w:val="24"/>
                <w:szCs w:val="18"/>
              </w:rPr>
              <w:t>7.065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54" w:hRule="atLeast"/>
          <w:jc w:val="center"/>
        </w:trPr>
        <w:tc>
          <w:tcPr>
            <w:tcW w:w="394" w:type="pct"/>
            <w:tcBorders>
              <w:top w:val="single" w:color="000000" w:sz="6" w:space="0"/>
              <w:bottom w:val="single" w:color="000000" w:sz="12" w:space="0"/>
            </w:tcBorders>
            <w:vAlign w:val="center"/>
          </w:tcPr>
          <w:p>
            <w:pPr>
              <w:ind w:firstLine="0" w:firstLineChars="0"/>
              <w:jc w:val="center"/>
              <w:rPr>
                <w:rFonts w:eastAsia="仿宋" w:cs="Times New Roman"/>
                <w:sz w:val="24"/>
                <w:szCs w:val="24"/>
              </w:rPr>
            </w:pPr>
            <w:r>
              <w:rPr>
                <w:rFonts w:eastAsia="仿宋" w:cs="Times New Roman"/>
                <w:sz w:val="24"/>
                <w:szCs w:val="24"/>
              </w:rPr>
              <w:t>合计</w:t>
            </w:r>
          </w:p>
        </w:tc>
        <w:tc>
          <w:tcPr>
            <w:tcW w:w="768" w:type="pct"/>
            <w:tcBorders>
              <w:top w:val="single" w:color="000000" w:sz="6" w:space="0"/>
              <w:bottom w:val="single" w:color="000000" w:sz="12" w:space="0"/>
            </w:tcBorders>
            <w:vAlign w:val="center"/>
          </w:tcPr>
          <w:p>
            <w:pPr>
              <w:ind w:firstLine="0" w:firstLineChars="0"/>
              <w:jc w:val="center"/>
              <w:rPr>
                <w:color w:val="000000"/>
                <w:sz w:val="24"/>
                <w:szCs w:val="18"/>
              </w:rPr>
            </w:pPr>
            <w:r>
              <w:rPr>
                <w:color w:val="000000"/>
                <w:sz w:val="24"/>
                <w:szCs w:val="18"/>
              </w:rPr>
              <w:t>2424.888</w:t>
            </w:r>
          </w:p>
        </w:tc>
        <w:tc>
          <w:tcPr>
            <w:tcW w:w="680" w:type="pct"/>
            <w:tcBorders>
              <w:top w:val="single" w:color="000000" w:sz="6" w:space="0"/>
              <w:bottom w:val="single" w:color="000000" w:sz="12" w:space="0"/>
            </w:tcBorders>
            <w:vAlign w:val="center"/>
          </w:tcPr>
          <w:p>
            <w:pPr>
              <w:ind w:firstLine="0" w:firstLineChars="0"/>
              <w:jc w:val="center"/>
              <w:rPr>
                <w:color w:val="000000"/>
                <w:sz w:val="24"/>
                <w:szCs w:val="18"/>
              </w:rPr>
            </w:pPr>
            <w:r>
              <w:rPr>
                <w:color w:val="000000"/>
                <w:sz w:val="24"/>
                <w:szCs w:val="18"/>
              </w:rPr>
              <w:t>2371.042</w:t>
            </w:r>
          </w:p>
        </w:tc>
        <w:tc>
          <w:tcPr>
            <w:tcW w:w="884" w:type="pct"/>
            <w:tcBorders>
              <w:top w:val="single" w:color="auto" w:sz="4" w:space="0"/>
              <w:left w:val="single" w:color="auto" w:sz="4" w:space="0"/>
              <w:bottom w:val="single" w:color="000000" w:sz="12" w:space="0"/>
              <w:right w:val="single" w:color="auto" w:sz="4" w:space="0"/>
            </w:tcBorders>
            <w:shd w:val="clear" w:color="800000" w:fill="FFFFFF"/>
            <w:vAlign w:val="center"/>
          </w:tcPr>
          <w:p>
            <w:pPr>
              <w:ind w:firstLine="0" w:firstLineChars="0"/>
              <w:jc w:val="center"/>
              <w:rPr>
                <w:color w:val="000000"/>
                <w:sz w:val="24"/>
                <w:szCs w:val="18"/>
              </w:rPr>
            </w:pPr>
            <w:r>
              <w:rPr>
                <w:color w:val="000000"/>
                <w:sz w:val="24"/>
                <w:szCs w:val="18"/>
              </w:rPr>
              <w:t>710.198</w:t>
            </w:r>
          </w:p>
        </w:tc>
        <w:tc>
          <w:tcPr>
            <w:tcW w:w="966" w:type="pct"/>
            <w:tcBorders>
              <w:top w:val="single" w:color="auto" w:sz="4" w:space="0"/>
              <w:left w:val="nil"/>
              <w:bottom w:val="single" w:color="000000" w:sz="12" w:space="0"/>
              <w:right w:val="single" w:color="auto" w:sz="4" w:space="0"/>
            </w:tcBorders>
            <w:shd w:val="clear" w:color="800000" w:fill="FFFFFF"/>
            <w:vAlign w:val="center"/>
          </w:tcPr>
          <w:p>
            <w:pPr>
              <w:ind w:firstLine="0" w:firstLineChars="0"/>
              <w:jc w:val="center"/>
              <w:rPr>
                <w:color w:val="000000"/>
                <w:sz w:val="24"/>
                <w:szCs w:val="18"/>
              </w:rPr>
            </w:pPr>
            <w:r>
              <w:rPr>
                <w:color w:val="000000"/>
                <w:sz w:val="24"/>
                <w:szCs w:val="18"/>
              </w:rPr>
              <w:t>1660.844</w:t>
            </w:r>
          </w:p>
        </w:tc>
        <w:tc>
          <w:tcPr>
            <w:tcW w:w="724" w:type="pct"/>
            <w:tcBorders>
              <w:top w:val="single" w:color="000000" w:sz="6" w:space="0"/>
              <w:bottom w:val="single" w:color="000000" w:sz="12" w:space="0"/>
            </w:tcBorders>
            <w:vAlign w:val="center"/>
          </w:tcPr>
          <w:p>
            <w:pPr>
              <w:ind w:firstLine="0" w:firstLineChars="0"/>
              <w:jc w:val="center"/>
              <w:rPr>
                <w:color w:val="000000"/>
                <w:sz w:val="24"/>
                <w:szCs w:val="18"/>
              </w:rPr>
            </w:pPr>
            <w:r>
              <w:rPr>
                <w:color w:val="000000"/>
                <w:sz w:val="24"/>
                <w:szCs w:val="18"/>
              </w:rPr>
              <w:t>42.392</w:t>
            </w:r>
          </w:p>
        </w:tc>
        <w:tc>
          <w:tcPr>
            <w:tcW w:w="584" w:type="pct"/>
            <w:tcBorders>
              <w:top w:val="single" w:color="000000" w:sz="6" w:space="0"/>
              <w:bottom w:val="single" w:color="000000" w:sz="12" w:space="0"/>
            </w:tcBorders>
            <w:vAlign w:val="center"/>
          </w:tcPr>
          <w:p>
            <w:pPr>
              <w:ind w:firstLine="0" w:firstLineChars="0"/>
              <w:jc w:val="center"/>
              <w:rPr>
                <w:color w:val="000000"/>
                <w:sz w:val="24"/>
                <w:szCs w:val="18"/>
              </w:rPr>
            </w:pPr>
            <w:r>
              <w:rPr>
                <w:color w:val="000000"/>
                <w:sz w:val="24"/>
                <w:szCs w:val="18"/>
              </w:rPr>
              <w:t>11.454</w:t>
            </w:r>
          </w:p>
        </w:tc>
      </w:tr>
      <w:bookmarkEnd w:id="52"/>
    </w:tbl>
    <w:p>
      <w:pPr>
        <w:widowControl/>
        <w:snapToGrid w:val="0"/>
        <w:spacing w:before="312" w:beforeLines="100" w:line="360" w:lineRule="auto"/>
        <w:ind w:firstLine="0" w:firstLineChars="0"/>
        <w:jc w:val="center"/>
        <w:rPr>
          <w:rFonts w:eastAsia="宋体" w:cs="Times New Roman"/>
          <w:b/>
          <w:color w:val="FF0000"/>
          <w:kern w:val="0"/>
          <w:sz w:val="28"/>
          <w:szCs w:val="28"/>
        </w:rPr>
      </w:pPr>
      <w:r>
        <w:rPr>
          <w:rFonts w:eastAsia="宋体" w:cs="Times New Roman"/>
          <w:b/>
          <w:color w:val="FF0000"/>
          <w:kern w:val="0"/>
          <w:sz w:val="28"/>
          <w:szCs w:val="28"/>
        </w:rPr>
        <w:t xml:space="preserve"> </w:t>
      </w:r>
      <w:r>
        <w:drawing>
          <wp:inline distT="0" distB="0" distL="0" distR="0">
            <wp:extent cx="4379595" cy="3446780"/>
            <wp:effectExtent l="0" t="0" r="1905" b="12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snapToGrid w:val="0"/>
        <w:spacing w:before="312" w:beforeLines="100" w:line="360" w:lineRule="auto"/>
        <w:ind w:firstLine="0" w:firstLineChars="0"/>
        <w:jc w:val="center"/>
        <w:rPr>
          <w:rFonts w:cs="Times New Roman"/>
          <w:b/>
          <w:sz w:val="28"/>
        </w:rPr>
      </w:pPr>
      <w:r>
        <w:rPr>
          <w:rFonts w:cs="Times New Roman"/>
          <w:b/>
          <w:sz w:val="28"/>
        </w:rPr>
        <w:t>图2-12  阳城县公路</w:t>
      </w:r>
      <w:r>
        <w:rPr>
          <w:rFonts w:hint="eastAsia" w:cs="Times New Roman"/>
          <w:b/>
          <w:sz w:val="28"/>
        </w:rPr>
        <w:t>行政</w:t>
      </w:r>
      <w:r>
        <w:rPr>
          <w:rFonts w:cs="Times New Roman"/>
          <w:b/>
          <w:sz w:val="28"/>
        </w:rPr>
        <w:t>等级构成示意图</w:t>
      </w:r>
    </w:p>
    <w:p>
      <w:pPr>
        <w:widowControl/>
        <w:snapToGrid w:val="0"/>
        <w:spacing w:before="312" w:beforeLines="100" w:line="360" w:lineRule="auto"/>
        <w:ind w:firstLine="0" w:firstLineChars="0"/>
        <w:jc w:val="center"/>
        <w:rPr>
          <w:rFonts w:cs="Times New Roman"/>
          <w:b/>
          <w:color w:val="FF0000"/>
          <w:sz w:val="28"/>
        </w:rPr>
      </w:pPr>
      <w:r>
        <w:drawing>
          <wp:inline distT="0" distB="0" distL="0" distR="0">
            <wp:extent cx="4389120" cy="3401060"/>
            <wp:effectExtent l="0" t="0" r="11430" b="889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widowControl/>
        <w:snapToGrid w:val="0"/>
        <w:spacing w:before="312" w:beforeLines="100" w:line="360" w:lineRule="auto"/>
        <w:ind w:firstLine="0" w:firstLineChars="0"/>
        <w:jc w:val="center"/>
        <w:rPr>
          <w:rFonts w:eastAsia="宋体" w:cs="Times New Roman"/>
          <w:b/>
          <w:kern w:val="0"/>
          <w:sz w:val="28"/>
          <w:szCs w:val="28"/>
        </w:rPr>
      </w:pPr>
      <w:r>
        <w:rPr>
          <w:rFonts w:cs="Times New Roman"/>
          <w:b/>
          <w:sz w:val="28"/>
        </w:rPr>
        <w:t>图2-13  阳城县公路</w:t>
      </w:r>
      <w:r>
        <w:rPr>
          <w:rFonts w:hint="eastAsia" w:cs="Times New Roman"/>
          <w:b/>
          <w:sz w:val="28"/>
        </w:rPr>
        <w:t>技术</w:t>
      </w:r>
      <w:r>
        <w:rPr>
          <w:rFonts w:cs="Times New Roman"/>
          <w:b/>
          <w:sz w:val="28"/>
        </w:rPr>
        <w:t>等级构成示意图</w:t>
      </w:r>
    </w:p>
    <w:p>
      <w:pPr>
        <w:widowControl/>
        <w:snapToGrid w:val="0"/>
        <w:spacing w:before="312" w:beforeLines="100" w:line="360" w:lineRule="auto"/>
        <w:ind w:firstLine="0" w:firstLineChars="0"/>
        <w:jc w:val="center"/>
        <w:rPr>
          <w:rFonts w:eastAsia="宋体" w:cs="Times New Roman"/>
          <w:b/>
          <w:color w:val="FF0000"/>
          <w:kern w:val="0"/>
          <w:sz w:val="28"/>
          <w:szCs w:val="28"/>
        </w:rPr>
      </w:pPr>
      <w:r>
        <w:drawing>
          <wp:inline distT="0" distB="0" distL="0" distR="0">
            <wp:extent cx="4535170" cy="3373755"/>
            <wp:effectExtent l="0" t="0" r="17780" b="1714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widowControl/>
        <w:snapToGrid w:val="0"/>
        <w:spacing w:before="312" w:beforeLines="100" w:line="360" w:lineRule="auto"/>
        <w:ind w:firstLine="0" w:firstLineChars="0"/>
        <w:jc w:val="center"/>
        <w:rPr>
          <w:rFonts w:cs="Times New Roman"/>
          <w:b/>
          <w:sz w:val="28"/>
        </w:rPr>
      </w:pPr>
      <w:r>
        <w:rPr>
          <w:rFonts w:cs="Times New Roman"/>
          <w:b/>
          <w:sz w:val="28"/>
        </w:rPr>
        <w:t>图2-14  阳城县公路面铺装现状构成示意图</w:t>
      </w:r>
    </w:p>
    <w:p>
      <w:pPr>
        <w:widowControl/>
        <w:snapToGrid w:val="0"/>
        <w:spacing w:before="312" w:beforeLines="100" w:line="360" w:lineRule="auto"/>
        <w:ind w:firstLine="0" w:firstLineChars="0"/>
        <w:jc w:val="center"/>
        <w:rPr>
          <w:rFonts w:cs="Times New Roman"/>
          <w:b/>
          <w:sz w:val="28"/>
        </w:rPr>
      </w:pPr>
      <w:r>
        <w:drawing>
          <wp:inline distT="0" distB="0" distL="0" distR="0">
            <wp:extent cx="4381500" cy="35433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napToGrid w:val="0"/>
        <w:spacing w:before="312" w:beforeLines="100" w:line="360" w:lineRule="auto"/>
        <w:ind w:firstLine="0" w:firstLineChars="0"/>
        <w:jc w:val="center"/>
        <w:rPr>
          <w:rFonts w:cs="Times New Roman"/>
          <w:b/>
          <w:sz w:val="28"/>
        </w:rPr>
      </w:pPr>
      <w:r>
        <w:rPr>
          <w:rFonts w:cs="Times New Roman"/>
          <w:b/>
          <w:sz w:val="28"/>
        </w:rPr>
        <w:t>图2-15  阳城县公路</w:t>
      </w:r>
      <w:r>
        <w:rPr>
          <w:rFonts w:hint="eastAsia" w:cs="Times New Roman"/>
          <w:b/>
          <w:sz w:val="28"/>
        </w:rPr>
        <w:t>有铺装路面(高级)类型</w:t>
      </w:r>
      <w:r>
        <w:rPr>
          <w:rFonts w:cs="Times New Roman"/>
          <w:b/>
          <w:sz w:val="28"/>
        </w:rPr>
        <w:t>示意图</w:t>
      </w:r>
    </w:p>
    <w:p>
      <w:pPr>
        <w:ind w:firstLine="640"/>
        <w:rPr>
          <w:rFonts w:cs="Times New Roman"/>
        </w:rPr>
      </w:pPr>
      <w:r>
        <w:rPr>
          <w:rFonts w:hint="eastAsia" w:cs="Times New Roman"/>
        </w:rPr>
        <w:t>2、公路网密度分析</w:t>
      </w:r>
    </w:p>
    <w:p>
      <w:pPr>
        <w:ind w:firstLine="640"/>
        <w:rPr>
          <w:rFonts w:cs="Times New Roman"/>
        </w:rPr>
      </w:pPr>
      <w:r>
        <w:rPr>
          <w:rFonts w:cs="Times New Roman"/>
        </w:rPr>
        <w:t>公路网密度的大小反映了一个地区的公路发展水平，在某种程度上体现了路网结构规模的合理性，它是公路交通宏观规划的重要指标之一。具体有面积密度、人口密度、经济指标密度、综合密度、车辆密度等形式。依据分担的对象不同，有以下几种不同的表达方式：</w:t>
      </w:r>
    </w:p>
    <w:p>
      <w:pPr>
        <w:ind w:firstLine="640"/>
        <w:rPr>
          <w:rFonts w:cs="Times New Roman"/>
        </w:rPr>
      </w:pPr>
      <w:r>
        <w:rPr>
          <w:rFonts w:cs="Times New Roman"/>
        </w:rPr>
        <w:t>（1） 面积密度（km/km</w:t>
      </w:r>
      <w:r>
        <w:rPr>
          <w:rFonts w:cs="Times New Roman"/>
          <w:vertAlign w:val="superscript"/>
        </w:rPr>
        <w:t>2</w:t>
      </w:r>
      <w:r>
        <w:rPr>
          <w:rFonts w:cs="Times New Roman"/>
        </w:rPr>
        <w:t>）</w:t>
      </w:r>
    </w:p>
    <w:p>
      <w:pPr>
        <w:ind w:firstLine="640"/>
        <w:rPr>
          <w:rFonts w:cs="Times New Roman"/>
        </w:rPr>
      </w:pPr>
      <w:r>
        <w:rPr>
          <w:rFonts w:cs="Times New Roman"/>
        </w:rPr>
        <w:t xml:space="preserve">  单位面积拥有的公路里程长度，计算公式为</w:t>
      </w:r>
    </w:p>
    <w:p>
      <w:pPr>
        <w:ind w:firstLine="560"/>
        <w:rPr>
          <w:rFonts w:cs="Times New Roman"/>
        </w:rPr>
      </w:pPr>
      <w:r>
        <w:rPr>
          <w:rFonts w:eastAsia="宋体" w:cs="Times New Roman"/>
          <w:kern w:val="0"/>
          <w:sz w:val="28"/>
          <w:szCs w:val="28"/>
          <w:lang w:bidi="en-US"/>
        </w:rPr>
        <w:t xml:space="preserve">                   </w:t>
      </w:r>
      <w:r>
        <w:rPr>
          <w:rFonts w:cs="Times New Roman"/>
        </w:rPr>
        <w:t xml:space="preserve">  DA=L/A</w:t>
      </w:r>
    </w:p>
    <w:p>
      <w:pPr>
        <w:ind w:firstLine="640"/>
        <w:rPr>
          <w:rFonts w:cs="Times New Roman"/>
        </w:rPr>
      </w:pPr>
      <w:r>
        <w:rPr>
          <w:rFonts w:cs="Times New Roman"/>
        </w:rPr>
        <w:t>式中L为区域内公路总长度，A为区域国土面积。</w:t>
      </w:r>
    </w:p>
    <w:p>
      <w:pPr>
        <w:ind w:firstLine="640"/>
        <w:rPr>
          <w:rFonts w:cs="Times New Roman"/>
        </w:rPr>
      </w:pPr>
      <w:r>
        <w:rPr>
          <w:rFonts w:cs="Times New Roman"/>
        </w:rPr>
        <w:t>阳城县现状干线公路网包括：</w:t>
      </w:r>
      <w:r>
        <w:rPr>
          <w:rFonts w:hint="eastAsia" w:cs="Times New Roman"/>
        </w:rPr>
        <w:t>国道48.416公里，省道96.054公里，县道</w:t>
      </w:r>
      <w:r>
        <w:rPr>
          <w:rFonts w:cs="Times New Roman"/>
        </w:rPr>
        <w:t>234.901</w:t>
      </w:r>
      <w:r>
        <w:rPr>
          <w:rFonts w:hint="eastAsia" w:cs="Times New Roman"/>
        </w:rPr>
        <w:t>公里</w:t>
      </w:r>
      <w:r>
        <w:rPr>
          <w:rFonts w:cs="Times New Roman"/>
        </w:rPr>
        <w:t>，合计350.655公里。</w:t>
      </w:r>
    </w:p>
    <w:p>
      <w:pPr>
        <w:ind w:firstLine="640"/>
        <w:rPr>
          <w:rFonts w:cs="Times New Roman"/>
        </w:rPr>
      </w:pPr>
      <w:r>
        <w:rPr>
          <w:rFonts w:cs="Times New Roman"/>
        </w:rPr>
        <w:t>阳城县干线公路网面积密度为0.1782km/km</w:t>
      </w:r>
      <w:r>
        <w:rPr>
          <w:rFonts w:cs="Times New Roman"/>
        </w:rPr>
        <w:object>
          <v:shape id="_x0000_i1025" o:spt="75" type="#_x0000_t75" style="height:15.05pt;width: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cs="Times New Roman"/>
        </w:rPr>
        <w:t>。</w:t>
      </w:r>
    </w:p>
    <w:p>
      <w:pPr>
        <w:ind w:firstLine="640"/>
        <w:rPr>
          <w:rFonts w:cs="Times New Roman"/>
        </w:rPr>
      </w:pPr>
      <w:r>
        <w:rPr>
          <w:rFonts w:cs="Times New Roman"/>
        </w:rPr>
        <w:t>（2）人口密度（km/万人）</w:t>
      </w:r>
    </w:p>
    <w:p>
      <w:pPr>
        <w:ind w:firstLine="640"/>
        <w:rPr>
          <w:rFonts w:cs="Times New Roman"/>
        </w:rPr>
      </w:pPr>
      <w:r>
        <w:rPr>
          <w:rFonts w:cs="Times New Roman"/>
        </w:rPr>
        <w:t xml:space="preserve">  单位人口拥有的公路里程长度，计算公式为</w:t>
      </w:r>
    </w:p>
    <w:p>
      <w:pPr>
        <w:ind w:firstLine="640"/>
        <w:rPr>
          <w:rFonts w:cs="Times New Roman"/>
        </w:rPr>
      </w:pPr>
      <w:r>
        <w:rPr>
          <w:rFonts w:cs="Times New Roman"/>
        </w:rPr>
        <w:t xml:space="preserve">                     DP=L/P</w:t>
      </w:r>
    </w:p>
    <w:p>
      <w:pPr>
        <w:ind w:firstLine="640"/>
        <w:rPr>
          <w:rFonts w:cs="Times New Roman"/>
        </w:rPr>
      </w:pPr>
      <w:r>
        <w:rPr>
          <w:rFonts w:cs="Times New Roman"/>
        </w:rPr>
        <w:t>式中L为区域内干线公路总长度，P为区域总人口。</w:t>
      </w:r>
    </w:p>
    <w:p>
      <w:pPr>
        <w:ind w:firstLine="640"/>
        <w:rPr>
          <w:rFonts w:cs="Times New Roman"/>
        </w:rPr>
      </w:pPr>
      <w:r>
        <w:rPr>
          <w:rFonts w:hint="eastAsia" w:cs="Times New Roman"/>
        </w:rPr>
        <w:t>阳城县地区2</w:t>
      </w:r>
      <w:r>
        <w:rPr>
          <w:rFonts w:cs="Times New Roman"/>
        </w:rPr>
        <w:t>020</w:t>
      </w:r>
      <w:r>
        <w:rPr>
          <w:rFonts w:hint="eastAsia" w:cs="Times New Roman"/>
        </w:rPr>
        <w:t>年常驻人口为</w:t>
      </w:r>
      <w:r>
        <w:rPr>
          <w:rFonts w:cs="Times New Roman"/>
        </w:rPr>
        <w:t>39.45</w:t>
      </w:r>
      <w:r>
        <w:rPr>
          <w:rFonts w:hint="eastAsia" w:cs="Times New Roman"/>
        </w:rPr>
        <w:t>万人，</w:t>
      </w:r>
      <w:r>
        <w:rPr>
          <w:rFonts w:cs="Times New Roman"/>
        </w:rPr>
        <w:t>阳城县路网人口密度为8.889km/万人。</w:t>
      </w:r>
    </w:p>
    <w:p>
      <w:pPr>
        <w:ind w:firstLine="640"/>
        <w:rPr>
          <w:rFonts w:cs="Times New Roman"/>
        </w:rPr>
      </w:pPr>
      <w:r>
        <w:rPr>
          <w:rFonts w:cs="Times New Roman"/>
        </w:rPr>
        <w:t>（3）经济密度（km/亿元）</w:t>
      </w:r>
    </w:p>
    <w:p>
      <w:pPr>
        <w:ind w:firstLine="640"/>
        <w:rPr>
          <w:rFonts w:cs="Times New Roman"/>
        </w:rPr>
      </w:pPr>
      <w:r>
        <w:rPr>
          <w:rFonts w:cs="Times New Roman"/>
        </w:rPr>
        <w:t xml:space="preserve">  单位经济产值占有的公路里程数，计算公式为</w:t>
      </w:r>
    </w:p>
    <w:p>
      <w:pPr>
        <w:ind w:firstLine="640"/>
        <w:rPr>
          <w:rFonts w:cs="Times New Roman"/>
        </w:rPr>
      </w:pPr>
      <w:r>
        <w:rPr>
          <w:rFonts w:cs="Times New Roman"/>
        </w:rPr>
        <w:t xml:space="preserve">                     DG=L/GDP</w:t>
      </w:r>
    </w:p>
    <w:p>
      <w:pPr>
        <w:ind w:firstLine="640"/>
        <w:rPr>
          <w:rFonts w:cs="Times New Roman"/>
        </w:rPr>
      </w:pPr>
      <w:r>
        <w:rPr>
          <w:rFonts w:cs="Times New Roman"/>
        </w:rPr>
        <w:t>式中L为区域内</w:t>
      </w:r>
      <w:r>
        <w:rPr>
          <w:rFonts w:hint="eastAsia" w:cs="Times New Roman"/>
        </w:rPr>
        <w:t>干线</w:t>
      </w:r>
      <w:r>
        <w:rPr>
          <w:rFonts w:cs="Times New Roman"/>
        </w:rPr>
        <w:t>公路总长度， GDP为区域国民生产总值。</w:t>
      </w:r>
    </w:p>
    <w:p>
      <w:pPr>
        <w:ind w:firstLine="640"/>
        <w:rPr>
          <w:rFonts w:cs="Times New Roman"/>
        </w:rPr>
      </w:pPr>
      <w:r>
        <w:rPr>
          <w:rFonts w:cs="Times New Roman"/>
        </w:rPr>
        <w:t>2019年阳城县地区生产总值237.50亿元，对应路网经济密度为1.476km/亿元。</w:t>
      </w:r>
    </w:p>
    <w:p>
      <w:pPr>
        <w:ind w:firstLine="640"/>
        <w:rPr>
          <w:rFonts w:cs="Times New Roman"/>
        </w:rPr>
      </w:pPr>
      <w:r>
        <w:rPr>
          <w:rFonts w:cs="Times New Roman"/>
        </w:rPr>
        <w:t>阳城县目前急需提高公路网密度，不仅需要增加新路里程，更需要对原有公路技术等级进行提高。根据目前阳城县的经济密度，其公路网需在原有基础上再增加一些或改扩建，才能更好的适应公路运输和经济发展的需要。</w:t>
      </w:r>
    </w:p>
    <w:p>
      <w:pPr>
        <w:ind w:firstLine="640"/>
        <w:rPr>
          <w:rFonts w:cs="Times New Roman"/>
        </w:rPr>
      </w:pPr>
      <w:r>
        <w:rPr>
          <w:rFonts w:cs="Times New Roman"/>
        </w:rPr>
        <w:t>一般可认为公路网密度愈大愈好；但路网密度愈大，意味着通车里程愈长，需要的建设资金与养护管理费用愈多，因此有必要引入合理密度的概念。</w:t>
      </w:r>
    </w:p>
    <w:p>
      <w:pPr>
        <w:ind w:firstLine="640"/>
        <w:rPr>
          <w:rFonts w:cs="Times New Roman"/>
        </w:rPr>
      </w:pPr>
      <w:r>
        <w:rPr>
          <w:rFonts w:hint="eastAsia" w:cs="Times New Roman"/>
        </w:rPr>
        <w:t>（4）</w:t>
      </w:r>
      <w:r>
        <w:rPr>
          <w:rFonts w:cs="Times New Roman"/>
        </w:rPr>
        <w:t>区域网值</w:t>
      </w:r>
    </w:p>
    <w:p>
      <w:pPr>
        <w:ind w:firstLine="640"/>
        <w:rPr>
          <w:rFonts w:cs="Times New Roman"/>
        </w:rPr>
      </w:pPr>
      <w:r>
        <w:rPr>
          <w:rFonts w:cs="Times New Roman"/>
        </w:rPr>
        <w:t>区域网值计算公式为：</w:t>
      </w:r>
    </w:p>
    <w:p>
      <w:pPr>
        <w:ind w:firstLine="640"/>
        <w:rPr>
          <w:rFonts w:cs="Times New Roman"/>
        </w:rPr>
      </w:pPr>
      <w:r>
        <w:rPr>
          <w:rFonts w:cs="Times New Roman"/>
        </w:rPr>
        <w:t>η=</w:t>
      </w:r>
      <w:r>
        <w:rPr>
          <w:rFonts w:cs="Times New Roman"/>
        </w:rPr>
        <w:object>
          <v:shape id="_x0000_i1026" o:spt="75" type="#_x0000_t75" style="height:31.95pt;width:30.05pt;" o:ole="t" fillcolor="#FFFFFF"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26" r:id="rId55">
            <o:LockedField>false</o:LockedField>
          </o:OLEObject>
        </w:object>
      </w:r>
    </w:p>
    <w:p>
      <w:pPr>
        <w:ind w:firstLine="640"/>
        <w:rPr>
          <w:rFonts w:cs="Times New Roman"/>
        </w:rPr>
      </w:pPr>
      <w:r>
        <w:rPr>
          <w:rFonts w:cs="Times New Roman"/>
        </w:rPr>
        <w:t>式中：L、P、A分别为区域的干线道路长度（公里）、区域人口（万人）及区域面积（平方公里）。</w:t>
      </w:r>
    </w:p>
    <w:p>
      <w:pPr>
        <w:ind w:firstLine="640"/>
        <w:rPr>
          <w:rFonts w:cs="Times New Roman"/>
        </w:rPr>
      </w:pPr>
      <w:r>
        <w:rPr>
          <w:rFonts w:cs="Times New Roman"/>
        </w:rPr>
        <w:t>计算得到阳城县现状公路网区域网值为1.258。</w:t>
      </w:r>
    </w:p>
    <w:p>
      <w:pPr>
        <w:ind w:firstLine="640"/>
      </w:pPr>
      <w:r>
        <w:rPr>
          <w:rFonts w:hint="eastAsia"/>
        </w:rPr>
        <w:t>3、</w:t>
      </w:r>
      <w:r>
        <w:t>公路网服务水平评价</w:t>
      </w:r>
    </w:p>
    <w:p>
      <w:pPr>
        <w:ind w:firstLine="640"/>
        <w:rPr>
          <w:rFonts w:cs="Times New Roman"/>
        </w:rPr>
      </w:pPr>
      <w:r>
        <w:rPr>
          <w:rFonts w:hint="eastAsia" w:cs="Times New Roman"/>
        </w:rPr>
        <w:t>（1）</w:t>
      </w:r>
      <w:r>
        <w:rPr>
          <w:rFonts w:cs="Times New Roman"/>
        </w:rPr>
        <w:t>路网等级水平指数</w:t>
      </w:r>
    </w:p>
    <w:p>
      <w:pPr>
        <w:ind w:firstLine="640"/>
        <w:rPr>
          <w:rFonts w:cs="Times New Roman"/>
        </w:rPr>
      </w:pPr>
      <w:r>
        <w:rPr>
          <w:rFonts w:cs="Times New Roman"/>
        </w:rPr>
        <w:t>公路网等级水平指数是反映公路网等级结构的重要指标。路网等级水平指数的定义是：</w:t>
      </w:r>
    </w:p>
    <w:p>
      <w:pPr>
        <w:ind w:firstLine="640"/>
        <w:rPr>
          <w:rFonts w:cs="Times New Roman"/>
        </w:rPr>
      </w:pPr>
      <w:r>
        <w:rPr>
          <w:rFonts w:cs="Times New Roman"/>
        </w:rPr>
        <w:object>
          <v:shape id="_x0000_i1027" o:spt="75" type="#_x0000_t75" style="height:42.55pt;width:108.3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27" r:id="rId57">
            <o:LockedField>false</o:LockedField>
          </o:OLEObject>
        </w:object>
      </w:r>
    </w:p>
    <w:p>
      <w:pPr>
        <w:ind w:firstLine="640"/>
        <w:rPr>
          <w:rFonts w:cs="Times New Roman"/>
        </w:rPr>
      </w:pPr>
      <w:r>
        <w:rPr>
          <w:rFonts w:cs="Times New Roman"/>
        </w:rPr>
        <w:t>式中：Ji-第i条公路或路段的等级换算系数，Ji 按高速公路、一级公路、二级公路、三级公路、四级公路、等外公路的顺序，分别取0、1、2、3、4、5。</w:t>
      </w:r>
    </w:p>
    <w:p>
      <w:pPr>
        <w:ind w:firstLine="640"/>
        <w:rPr>
          <w:rFonts w:cs="Times New Roman"/>
        </w:rPr>
      </w:pPr>
      <w:r>
        <w:rPr>
          <w:rFonts w:cs="Times New Roman"/>
        </w:rPr>
        <w:t>公路网等级水平指数越低表明路网中高等级公路所占比重越大、路网建设水平越高。阳城县现状公路网等级水平指数为3.837，现状公路网等级水平指数介于3和4之间，说明阳城县现状公路网等级结构以三级和四级公路为主，道路等级有待提高。</w:t>
      </w:r>
    </w:p>
    <w:p>
      <w:pPr>
        <w:ind w:firstLine="640"/>
        <w:rPr>
          <w:rFonts w:cs="Times New Roman"/>
        </w:rPr>
      </w:pPr>
      <w:r>
        <w:rPr>
          <w:rFonts w:hint="eastAsia" w:cs="Times New Roman"/>
        </w:rPr>
        <w:t>（2）</w:t>
      </w:r>
      <w:r>
        <w:rPr>
          <w:rFonts w:cs="Times New Roman"/>
        </w:rPr>
        <w:t>道路铺装率</w:t>
      </w:r>
    </w:p>
    <w:p>
      <w:pPr>
        <w:ind w:firstLine="640"/>
        <w:rPr>
          <w:rFonts w:cs="Times New Roman"/>
        </w:rPr>
      </w:pPr>
      <w:r>
        <w:rPr>
          <w:rFonts w:cs="Times New Roman"/>
        </w:rPr>
        <w:t>道路铺装率指路网中有高级或次高级路面的里程和路网总里程之比。截止2020年年底，阳城县现状干线公路网的道路铺装率为90.27%，农村公路道路铺装率为95.06%，未来几年工作的重点需要进行路面硬化。</w:t>
      </w:r>
    </w:p>
    <w:p>
      <w:pPr>
        <w:ind w:firstLine="640"/>
        <w:rPr>
          <w:rFonts w:cs="Times New Roman"/>
        </w:rPr>
      </w:pPr>
      <w:r>
        <w:rPr>
          <w:rFonts w:hint="eastAsia" w:cs="Times New Roman"/>
        </w:rPr>
        <w:t>（3）</w:t>
      </w:r>
      <w:r>
        <w:rPr>
          <w:rFonts w:cs="Times New Roman"/>
        </w:rPr>
        <w:t>路网节点连通度</w:t>
      </w:r>
    </w:p>
    <w:p>
      <w:pPr>
        <w:ind w:firstLine="640"/>
        <w:rPr>
          <w:rFonts w:cs="Times New Roman"/>
        </w:rPr>
      </w:pPr>
      <w:r>
        <w:rPr>
          <w:rFonts w:cs="Times New Roman"/>
        </w:rPr>
        <w:t>公路网节点连通度通过考察网络交通节点（公路交叉口或城镇交通枢纽）的连通状况，从路网布局方面反映公路网的结构特点，其定义为规划区域内各节点间依靠公路交通相互连通的强度，计算公式为：</w:t>
      </w:r>
    </w:p>
    <w:p>
      <w:pPr>
        <w:ind w:firstLine="640"/>
        <w:rPr>
          <w:rFonts w:cs="Times New Roman"/>
        </w:rPr>
      </w:pPr>
      <w:r>
        <w:rPr>
          <w:rFonts w:cs="Times New Roman"/>
        </w:rPr>
        <w:t>C=</w:t>
      </w:r>
      <w:r>
        <w:rPr>
          <w:rFonts w:cs="Times New Roman"/>
        </w:rPr>
        <w:object>
          <v:shape id="_x0000_i1028" o:spt="75" type="#_x0000_t75" style="height:31.95pt;width:38.8pt;" o:ole="t" fillcolor="#FFFFFF"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p>
    <w:p>
      <w:pPr>
        <w:ind w:firstLine="640"/>
        <w:rPr>
          <w:rFonts w:cs="Times New Roman"/>
        </w:rPr>
      </w:pPr>
      <w:r>
        <w:rPr>
          <w:rFonts w:cs="Times New Roman"/>
        </w:rPr>
        <w:t>式中：A-区域面积，N-节点数</w:t>
      </w:r>
      <w:r>
        <w:rPr>
          <w:rFonts w:hint="eastAsia" w:cs="Times New Roman"/>
        </w:rPr>
        <w:t>；</w:t>
      </w:r>
    </w:p>
    <w:p>
      <w:pPr>
        <w:ind w:firstLine="640"/>
        <w:rPr>
          <w:rFonts w:cs="Times New Roman"/>
        </w:rPr>
      </w:pPr>
      <w:r>
        <w:rPr>
          <w:rFonts w:cs="Times New Roman"/>
        </w:rPr>
        <w:t>研究表明，当C值接近1.0时，路网布局为树状；C值为2.0时，路网布局为方格网状，节点多为四路连通；当C值略大于3.0时，路网布局为三角网状，节点多为六路连通。</w:t>
      </w:r>
    </w:p>
    <w:p>
      <w:pPr>
        <w:ind w:firstLine="640"/>
        <w:rPr>
          <w:rFonts w:cs="Times New Roman"/>
        </w:rPr>
      </w:pPr>
      <w:r>
        <w:rPr>
          <w:rFonts w:cs="Times New Roman"/>
        </w:rPr>
        <w:t>阳城县现状公路网的连通度为2.03，</w:t>
      </w:r>
      <w:r>
        <w:rPr>
          <w:rFonts w:hint="eastAsia" w:cs="Times New Roman"/>
        </w:rPr>
        <w:t>大</w:t>
      </w:r>
      <w:r>
        <w:rPr>
          <w:rFonts w:cs="Times New Roman"/>
        </w:rPr>
        <w:t>于2.0</w:t>
      </w:r>
      <w:r>
        <w:rPr>
          <w:rFonts w:hint="eastAsia" w:cs="Times New Roman"/>
        </w:rPr>
        <w:t>，</w:t>
      </w:r>
      <w:r>
        <w:rPr>
          <w:rFonts w:cs="Times New Roman"/>
        </w:rPr>
        <w:t>连通度基本满足需求。</w:t>
      </w:r>
    </w:p>
    <w:p>
      <w:pPr>
        <w:pStyle w:val="4"/>
        <w:ind w:firstLine="602" w:firstLineChars="200"/>
        <w:rPr>
          <w:rFonts w:cs="Times New Roman"/>
        </w:rPr>
      </w:pPr>
      <w:bookmarkStart w:id="53" w:name="_Toc49243303"/>
      <w:bookmarkStart w:id="54" w:name="_Toc488330214"/>
      <w:bookmarkStart w:id="55" w:name="_Toc49243377"/>
      <w:bookmarkStart w:id="56" w:name="_Toc488330127"/>
      <w:r>
        <w:rPr>
          <w:rFonts w:cs="Times New Roman"/>
        </w:rPr>
        <w:t>干线公路情况</w:t>
      </w:r>
      <w:bookmarkEnd w:id="53"/>
      <w:bookmarkEnd w:id="54"/>
      <w:bookmarkEnd w:id="55"/>
      <w:bookmarkEnd w:id="56"/>
    </w:p>
    <w:p>
      <w:pPr>
        <w:widowControl/>
        <w:spacing w:line="360" w:lineRule="auto"/>
        <w:ind w:firstLine="561" w:firstLineChars="0"/>
        <w:rPr>
          <w:rFonts w:cs="Times New Roman"/>
          <w:szCs w:val="28"/>
        </w:rPr>
      </w:pPr>
      <w:r>
        <w:rPr>
          <w:rFonts w:hint="eastAsia" w:cs="Times New Roman"/>
          <w:szCs w:val="28"/>
        </w:rPr>
        <w:t>省道332（陵川-沁水）：由晋城市泽州县周村镇进入阳城县境内，经北留、润城、阳城县、西河、芹池，从大峪沟到沁水县，阳城县境内长度48公里，为三级公路，路基宽度8.5米，路面宽度为7.5米。</w:t>
      </w:r>
    </w:p>
    <w:p>
      <w:pPr>
        <w:widowControl/>
        <w:spacing w:line="360" w:lineRule="auto"/>
        <w:ind w:firstLine="561" w:firstLineChars="0"/>
        <w:rPr>
          <w:rFonts w:cs="Times New Roman"/>
          <w:szCs w:val="28"/>
        </w:rPr>
      </w:pPr>
      <w:r>
        <w:rPr>
          <w:rFonts w:hint="eastAsia" w:cs="Times New Roman"/>
          <w:szCs w:val="28"/>
        </w:rPr>
        <w:t>省道S229阳济线（阳城-三窑乡）：从阳城县县城东起，经白桑、蟒河、东冶，由晋豫界的蟒河自然保护区南坡出晋入豫，路线全长42公里，目前为经营性二级公路，路基宽度12.0米，路面宽11.0米。</w:t>
      </w:r>
    </w:p>
    <w:p>
      <w:pPr>
        <w:widowControl/>
        <w:spacing w:line="360" w:lineRule="auto"/>
        <w:ind w:firstLine="561" w:firstLineChars="0"/>
        <w:rPr>
          <w:rFonts w:cs="Times New Roman"/>
          <w:color w:val="FF0000"/>
          <w:szCs w:val="28"/>
        </w:rPr>
      </w:pPr>
      <w:r>
        <w:rPr>
          <w:rFonts w:hint="eastAsia" w:cs="Times New Roman"/>
          <w:szCs w:val="28"/>
        </w:rPr>
        <w:t>晋阳高速公路，起点为晋城泽州县牛匠村，经泽州南村、周村、阳城县北留、润城到阳城县凤城镇东关村，1997年底建成通车，并于2009年9月完成路面大修工程（晋城至阳城高速公路大修工程）。大修后晋阳高速主线全长36.1公里，设计速度为60km/h，全封闭全立交。</w:t>
      </w:r>
      <w:r>
        <w:rPr>
          <w:rFonts w:cs="Times New Roman"/>
          <w:color w:val="FF0000"/>
          <w:szCs w:val="28"/>
        </w:rPr>
        <w:t xml:space="preserve"> </w:t>
      </w:r>
    </w:p>
    <w:p>
      <w:pPr>
        <w:pStyle w:val="4"/>
        <w:ind w:firstLine="602" w:firstLineChars="200"/>
        <w:rPr>
          <w:rFonts w:cs="Times New Roman"/>
        </w:rPr>
      </w:pPr>
      <w:bookmarkStart w:id="57" w:name="_Toc488330128"/>
      <w:bookmarkStart w:id="58" w:name="_Toc488330215"/>
      <w:bookmarkStart w:id="59" w:name="_Toc49243304"/>
      <w:bookmarkStart w:id="60" w:name="_Toc49243378"/>
      <w:r>
        <w:rPr>
          <w:rFonts w:cs="Times New Roman"/>
        </w:rPr>
        <w:t>农村公路情况</w:t>
      </w:r>
      <w:bookmarkEnd w:id="57"/>
      <w:bookmarkEnd w:id="58"/>
      <w:bookmarkEnd w:id="59"/>
      <w:bookmarkEnd w:id="60"/>
    </w:p>
    <w:p>
      <w:pPr>
        <w:widowControl/>
        <w:spacing w:line="360" w:lineRule="auto"/>
        <w:ind w:firstLine="561" w:firstLineChars="0"/>
        <w:rPr>
          <w:rFonts w:cs="Times New Roman"/>
          <w:szCs w:val="28"/>
        </w:rPr>
      </w:pPr>
      <w:r>
        <w:rPr>
          <w:rFonts w:hint="eastAsia" w:cs="Times New Roman"/>
          <w:szCs w:val="28"/>
        </w:rPr>
        <w:t>截止2</w:t>
      </w:r>
      <w:r>
        <w:rPr>
          <w:rFonts w:cs="Times New Roman"/>
          <w:szCs w:val="28"/>
        </w:rPr>
        <w:t>020</w:t>
      </w:r>
      <w:r>
        <w:rPr>
          <w:rFonts w:hint="eastAsia" w:cs="Times New Roman"/>
          <w:szCs w:val="28"/>
        </w:rPr>
        <w:t>年底，</w:t>
      </w:r>
      <w:r>
        <w:rPr>
          <w:rFonts w:cs="Times New Roman"/>
          <w:szCs w:val="28"/>
        </w:rPr>
        <w:t>阳城县农村公路总里程2184.418公里，其中县道330.901公里；乡道914.793公里</w:t>
      </w:r>
      <w:r>
        <w:rPr>
          <w:rFonts w:hint="eastAsia" w:cs="Times New Roman"/>
          <w:szCs w:val="28"/>
        </w:rPr>
        <w:t>；</w:t>
      </w:r>
      <w:r>
        <w:rPr>
          <w:rFonts w:cs="Times New Roman"/>
          <w:szCs w:val="28"/>
        </w:rPr>
        <w:t>村道1034.724公里，具体情况如下:</w:t>
      </w:r>
    </w:p>
    <w:p>
      <w:pPr>
        <w:widowControl/>
        <w:spacing w:line="360" w:lineRule="auto"/>
        <w:ind w:firstLine="640"/>
        <w:rPr>
          <w:rFonts w:cs="Times New Roman"/>
          <w:szCs w:val="28"/>
        </w:rPr>
      </w:pPr>
      <w:r>
        <w:rPr>
          <w:rFonts w:cs="Times New Roman"/>
          <w:szCs w:val="28"/>
        </w:rPr>
        <w:t>1、县道：</w:t>
      </w:r>
      <w:r>
        <w:rPr>
          <w:rFonts w:hint="eastAsia" w:cs="Times New Roman"/>
          <w:szCs w:val="28"/>
        </w:rPr>
        <w:t>全县</w:t>
      </w:r>
      <w:r>
        <w:rPr>
          <w:rFonts w:cs="Times New Roman"/>
          <w:szCs w:val="28"/>
        </w:rPr>
        <w:t>现有县道总里程</w:t>
      </w:r>
      <w:r>
        <w:rPr>
          <w:rFonts w:hint="eastAsia" w:cs="Times New Roman"/>
          <w:szCs w:val="28"/>
        </w:rPr>
        <w:t>为</w:t>
      </w:r>
      <w:r>
        <w:rPr>
          <w:rFonts w:cs="Times New Roman"/>
          <w:szCs w:val="28"/>
        </w:rPr>
        <w:t>330.901公里，其中</w:t>
      </w:r>
      <w:r>
        <w:rPr>
          <w:rFonts w:hint="eastAsia" w:cs="Times New Roman"/>
          <w:szCs w:val="28"/>
        </w:rPr>
        <w:t>，</w:t>
      </w:r>
      <w:r>
        <w:rPr>
          <w:rFonts w:cs="Times New Roman"/>
          <w:szCs w:val="28"/>
        </w:rPr>
        <w:t>二级公路78.128公里、三级公路169.77公里、四级公路83.003公里。 全部县道中，有铺装路面318.617公里，</w:t>
      </w:r>
      <w:r>
        <w:rPr>
          <w:rFonts w:hint="eastAsia" w:cs="Times New Roman"/>
          <w:szCs w:val="28"/>
        </w:rPr>
        <w:t>其中沥青砼路面</w:t>
      </w:r>
      <w:r>
        <w:rPr>
          <w:rFonts w:cs="Times New Roman"/>
          <w:szCs w:val="28"/>
        </w:rPr>
        <w:t>160.837</w:t>
      </w:r>
      <w:r>
        <w:rPr>
          <w:rFonts w:hint="eastAsia" w:cs="Times New Roman"/>
          <w:szCs w:val="28"/>
        </w:rPr>
        <w:t>公里，水泥砼路面</w:t>
      </w:r>
      <w:r>
        <w:rPr>
          <w:rFonts w:cs="Times New Roman"/>
          <w:szCs w:val="28"/>
        </w:rPr>
        <w:t>61.780</w:t>
      </w:r>
      <w:r>
        <w:rPr>
          <w:rFonts w:hint="eastAsia" w:cs="Times New Roman"/>
          <w:szCs w:val="28"/>
        </w:rPr>
        <w:t>公里；</w:t>
      </w:r>
      <w:r>
        <w:rPr>
          <w:rFonts w:cs="Times New Roman"/>
          <w:szCs w:val="28"/>
        </w:rPr>
        <w:t>简易铺装路面12.284公里，</w:t>
      </w:r>
      <w:r>
        <w:rPr>
          <w:rFonts w:hint="eastAsia" w:cs="Times New Roman"/>
          <w:szCs w:val="28"/>
        </w:rPr>
        <w:t>无</w:t>
      </w:r>
      <w:r>
        <w:rPr>
          <w:rFonts w:cs="Times New Roman"/>
          <w:szCs w:val="28"/>
        </w:rPr>
        <w:t>未铺装路面。</w:t>
      </w:r>
    </w:p>
    <w:p>
      <w:pPr>
        <w:widowControl/>
        <w:spacing w:line="600" w:lineRule="exact"/>
        <w:ind w:firstLine="640"/>
        <w:rPr>
          <w:rFonts w:cs="Times New Roman"/>
          <w:szCs w:val="28"/>
        </w:rPr>
      </w:pPr>
      <w:r>
        <w:rPr>
          <w:rFonts w:cs="Times New Roman"/>
          <w:szCs w:val="28"/>
        </w:rPr>
        <w:t>2、乡道：全县共有乡道914.793公里，其中</w:t>
      </w:r>
      <w:r>
        <w:rPr>
          <w:rFonts w:hint="eastAsia" w:cs="Times New Roman"/>
          <w:szCs w:val="28"/>
        </w:rPr>
        <w:t>一级公路</w:t>
      </w:r>
      <w:r>
        <w:rPr>
          <w:rFonts w:cs="Times New Roman"/>
          <w:szCs w:val="28"/>
        </w:rPr>
        <w:t>12.59</w:t>
      </w:r>
      <w:r>
        <w:rPr>
          <w:rFonts w:hint="eastAsia" w:cs="Times New Roman"/>
          <w:szCs w:val="28"/>
        </w:rPr>
        <w:t>公里、</w:t>
      </w:r>
      <w:r>
        <w:rPr>
          <w:rFonts w:cs="Times New Roman"/>
          <w:szCs w:val="28"/>
        </w:rPr>
        <w:t>二级公路32.233公里、</w:t>
      </w:r>
      <w:r>
        <w:rPr>
          <w:rFonts w:hint="eastAsia" w:cs="Times New Roman"/>
          <w:szCs w:val="28"/>
        </w:rPr>
        <w:t>三级公路</w:t>
      </w:r>
      <w:r>
        <w:rPr>
          <w:rFonts w:cs="Times New Roman"/>
          <w:szCs w:val="28"/>
        </w:rPr>
        <w:t>72.902</w:t>
      </w:r>
      <w:r>
        <w:rPr>
          <w:rFonts w:hint="eastAsia" w:cs="Times New Roman"/>
          <w:szCs w:val="28"/>
        </w:rPr>
        <w:t>公里、</w:t>
      </w:r>
      <w:r>
        <w:rPr>
          <w:rFonts w:cs="Times New Roman"/>
          <w:szCs w:val="28"/>
        </w:rPr>
        <w:t>四级公路797.068公里。全部乡道中，有铺装路面887.383公里，其中沥青砼路面189.99公里，水泥砼路面697.393公里；简易铺装路面23.021公里，未铺装路面4.389公里。</w:t>
      </w:r>
    </w:p>
    <w:p>
      <w:pPr>
        <w:widowControl/>
        <w:spacing w:line="600" w:lineRule="exact"/>
        <w:ind w:firstLine="640"/>
        <w:rPr>
          <w:rFonts w:cs="Times New Roman"/>
          <w:szCs w:val="28"/>
        </w:rPr>
      </w:pPr>
      <w:r>
        <w:rPr>
          <w:rFonts w:cs="Times New Roman"/>
          <w:szCs w:val="28"/>
        </w:rPr>
        <w:t>3、村道：全县共有村道1034.724公里，其中</w:t>
      </w:r>
      <w:r>
        <w:rPr>
          <w:rFonts w:hint="eastAsia" w:cs="Times New Roman"/>
          <w:szCs w:val="28"/>
        </w:rPr>
        <w:t>一级公路</w:t>
      </w:r>
      <w:r>
        <w:rPr>
          <w:rFonts w:cs="Times New Roman"/>
          <w:szCs w:val="28"/>
        </w:rPr>
        <w:t>2.184</w:t>
      </w:r>
      <w:r>
        <w:rPr>
          <w:rFonts w:hint="eastAsia" w:cs="Times New Roman"/>
          <w:szCs w:val="28"/>
        </w:rPr>
        <w:t>公里、</w:t>
      </w:r>
      <w:r>
        <w:rPr>
          <w:rFonts w:cs="Times New Roman"/>
          <w:szCs w:val="28"/>
        </w:rPr>
        <w:t>二级公路24.175公里、三级公路50.448公里、四级公路957.917公里。全部村道中，有铺装路面1020.572公里，其中沥青砼路面118.901公里，水泥砼路面901.671公里；简易铺装路面7.087公里，未铺装路面7.065公里。</w:t>
      </w:r>
    </w:p>
    <w:p>
      <w:pPr>
        <w:pStyle w:val="4"/>
        <w:ind w:firstLine="602" w:firstLineChars="200"/>
        <w:rPr>
          <w:rFonts w:cs="Times New Roman"/>
        </w:rPr>
      </w:pPr>
      <w:bookmarkStart w:id="61" w:name="_Toc49243305"/>
      <w:bookmarkStart w:id="62" w:name="_Toc49243379"/>
      <w:r>
        <w:rPr>
          <w:rFonts w:hint="eastAsia" w:cs="Times New Roman"/>
        </w:rPr>
        <w:t>铁路发展现状</w:t>
      </w:r>
      <w:bookmarkEnd w:id="61"/>
      <w:bookmarkEnd w:id="62"/>
    </w:p>
    <w:p>
      <w:pPr>
        <w:ind w:firstLine="640"/>
      </w:pPr>
      <w:r>
        <w:rPr>
          <w:rFonts w:hint="eastAsia"/>
        </w:rPr>
        <w:t>境内铁路有侯月铁路和煤炭专用线。</w:t>
      </w:r>
    </w:p>
    <w:p>
      <w:pPr>
        <w:ind w:firstLine="640"/>
      </w:pPr>
      <w:r>
        <w:rPr>
          <w:rFonts w:hint="eastAsia"/>
        </w:rPr>
        <w:t>侯（马）月（山）铁路起于侯马北编组部，与南同蒲铁路相接，止于河南月山编组站，与太焦铁路相接，途经曲沃、翼城、沁水、阳城入河南济源，全长265公里，其中山西境内203.6公里，晋城境内长103公里，阳城境内长31公里。途经町店、凤城、润城、白桑、北留、东冶六个乡镇。由于侯月铁路两端连接太焦、同蒲两大线路，平行于陇海铁路，联结晋、鲁、豫、陕、宁诸省，成为晋煤外运的重要通道。特殊的地理位置让阳城经济走向全国打开了又一条主要通道。</w:t>
      </w:r>
    </w:p>
    <w:p>
      <w:pPr>
        <w:ind w:firstLine="640"/>
      </w:pPr>
      <w:r>
        <w:rPr>
          <w:rFonts w:hint="eastAsia"/>
        </w:rPr>
        <w:t>境内煤炭专用线有5条，分别为：阳城煤炭运销公司专用线、八甲口专用线、美泉专用线、阳城亚美大宁铁路专线营运有限公司专用线和阳城国际发电有限责任公司专用铁路。</w:t>
      </w:r>
    </w:p>
    <w:p>
      <w:pPr>
        <w:ind w:firstLine="640"/>
      </w:pPr>
      <w:r>
        <w:rPr>
          <w:rFonts w:hint="eastAsia"/>
        </w:rPr>
        <w:t>（1）阳城煤炭运销公司专用线</w:t>
      </w:r>
    </w:p>
    <w:p>
      <w:pPr>
        <w:ind w:firstLine="640"/>
      </w:pPr>
      <w:r>
        <w:rPr>
          <w:rFonts w:hint="eastAsia"/>
        </w:rPr>
        <w:t>简称阳专线。接轨地点：阳城火车站。线路长3.5公里，货位有效长920米，客车数62车，一次装车数59车，年设计将车发运量100万吨。有装载机5台，有90辆汽车供应该线煤炭发运。2010年装车4057车，计26.6万吨；2011年装车2584车，计16.8万吨。</w:t>
      </w:r>
    </w:p>
    <w:p>
      <w:pPr>
        <w:ind w:firstLine="640"/>
      </w:pPr>
      <w:r>
        <w:rPr>
          <w:rFonts w:hint="eastAsia"/>
        </w:rPr>
        <w:t>（2）八甲口煤炭集运站专线</w:t>
      </w:r>
    </w:p>
    <w:p>
      <w:pPr>
        <w:ind w:firstLine="640"/>
      </w:pPr>
      <w:r>
        <w:rPr>
          <w:rFonts w:hint="eastAsia"/>
        </w:rPr>
        <w:t>八甲口煤炭集运站专线线路长1.5公里，在阳城站接轨，货位有效长772米，客车数55车，货位88个，共有四家货主单位使用，其中选煤厂用10个，县乡镇集运站用10个，八甲口综合集运站38个（含鑫能公司10个-），下孔货运站30个，一次装车数为25车，有装载机8台。该线各单位上货统一使用下孔汽车队，车数约为200辆。2010年装车9012车，计59.4万吨；2011年装车2916车，计19.3万吨。</w:t>
      </w:r>
    </w:p>
    <w:p>
      <w:pPr>
        <w:ind w:firstLine="640"/>
      </w:pPr>
      <w:r>
        <w:rPr>
          <w:rFonts w:hint="eastAsia"/>
        </w:rPr>
        <w:t>（3）美泉专用线</w:t>
      </w:r>
    </w:p>
    <w:p>
      <w:pPr>
        <w:ind w:firstLine="640"/>
      </w:pPr>
      <w:r>
        <w:rPr>
          <w:rFonts w:hint="eastAsia"/>
        </w:rPr>
        <w:t>该线有效长331米，货位有效长290米，可容车21车，2008年投入使用。当年装车1324车，计7.04万吨。2010年装车3393车，计22.7万吨；2011年装车4537车，计26.8万吨。</w:t>
      </w:r>
    </w:p>
    <w:p>
      <w:pPr>
        <w:ind w:firstLine="640"/>
      </w:pPr>
      <w:r>
        <w:rPr>
          <w:rFonts w:hint="eastAsia"/>
        </w:rPr>
        <w:t>（</w:t>
      </w:r>
      <w:r>
        <w:t>4</w:t>
      </w:r>
      <w:r>
        <w:rPr>
          <w:rFonts w:hint="eastAsia"/>
        </w:rPr>
        <w:t>）阳城亚美大宁铁路专线营运有限公司专用线</w:t>
      </w:r>
    </w:p>
    <w:p>
      <w:pPr>
        <w:ind w:firstLine="640"/>
      </w:pPr>
      <w:r>
        <w:rPr>
          <w:rFonts w:hint="eastAsia"/>
        </w:rPr>
        <w:t>阳城亚美大宁铁路专线营运有限公司专用线西起阳城县町店镇大宁村，东至阳城县八甲口火车站与侯月铁路接轨。于2003年开始筹建，2010年1月30日临时开通，于2010年3月16日开始装车。全长14.652公里，发送品类为煤，到达品类有木材、钢铁、建材，是亚美大宁煤炭有限公司煤炭外运的一条交通要道。</w:t>
      </w:r>
    </w:p>
    <w:p>
      <w:pPr>
        <w:ind w:firstLine="640"/>
      </w:pPr>
      <w:r>
        <w:rPr>
          <w:rFonts w:hint="eastAsia"/>
        </w:rPr>
        <w:t>（</w:t>
      </w:r>
      <w:r>
        <w:t>5</w:t>
      </w:r>
      <w:r>
        <w:rPr>
          <w:rFonts w:hint="eastAsia"/>
        </w:rPr>
        <w:t>）阳城国际发电有限责任公司专用铁路</w:t>
      </w:r>
    </w:p>
    <w:p>
      <w:pPr>
        <w:ind w:firstLine="640"/>
      </w:pPr>
      <w:r>
        <w:rPr>
          <w:rFonts w:hint="eastAsia"/>
        </w:rPr>
        <w:t>阳城国际发电有限责任公司专用铁路是该公司自用专用线，该线接轨站为郑州铁路局嘉峰车站，所属车务段为郑州铁路局济源车务段。</w:t>
      </w:r>
    </w:p>
    <w:p>
      <w:pPr>
        <w:ind w:firstLine="640"/>
      </w:pPr>
      <w:r>
        <w:rPr>
          <w:rFonts w:hint="eastAsia"/>
        </w:rPr>
        <w:t>阳城国际发电有限责任公司专用铁路于2001年4月1日正式开通。设计运量每年可卸290万吨货物。该铁路由嘉峰车站月山端牵出线5道岔处接轨，专用铁路全长19.08公里，区间最大坡度为13‰，最小曲线半径为400米。全线设有1个线路所和2个企业车站。二个企业站分别为屯城站和电厂站，站场连锁采用集中连锁（6502电气集中），区间采用半自动闭塞（64D型）。</w:t>
      </w:r>
    </w:p>
    <w:p>
      <w:pPr>
        <w:ind w:firstLine="640"/>
      </w:pPr>
      <w:r>
        <w:rPr>
          <w:rFonts w:hint="eastAsia"/>
        </w:rPr>
        <w:t>铁路不仅为晋城市阳城县货运提供了重要通道，也为阳城县及周边地区客运提供了更为便捷的方式。</w:t>
      </w:r>
    </w:p>
    <w:p>
      <w:pPr>
        <w:pStyle w:val="3"/>
        <w:ind w:firstLine="640"/>
        <w:rPr>
          <w:rFonts w:cs="Times New Roman"/>
        </w:rPr>
      </w:pPr>
      <w:bookmarkStart w:id="63" w:name="_Toc49243306"/>
      <w:bookmarkStart w:id="64" w:name="_Toc49243380"/>
      <w:r>
        <w:rPr>
          <w:rFonts w:eastAsia="方正楷体简体" w:cs="Times New Roman"/>
          <w:bCs w:val="0"/>
        </w:rPr>
        <w:t>农村公路发展现状</w:t>
      </w:r>
      <w:bookmarkEnd w:id="63"/>
      <w:bookmarkEnd w:id="64"/>
    </w:p>
    <w:p>
      <w:pPr>
        <w:pStyle w:val="4"/>
        <w:ind w:firstLine="602" w:firstLineChars="200"/>
        <w:rPr>
          <w:rFonts w:cs="Times New Roman"/>
        </w:rPr>
      </w:pPr>
      <w:bookmarkStart w:id="65" w:name="_Toc49243307"/>
      <w:bookmarkStart w:id="66" w:name="_Toc49243381"/>
      <w:r>
        <w:rPr>
          <w:rFonts w:cs="Times New Roman"/>
        </w:rPr>
        <w:t>公路网现状分析</w:t>
      </w:r>
      <w:bookmarkEnd w:id="65"/>
      <w:bookmarkEnd w:id="66"/>
    </w:p>
    <w:p>
      <w:pPr>
        <w:snapToGrid w:val="0"/>
        <w:spacing w:line="360" w:lineRule="auto"/>
        <w:ind w:firstLine="640"/>
      </w:pPr>
      <w:r>
        <w:rPr>
          <w:rFonts w:hint="eastAsia"/>
        </w:rPr>
        <w:t>阳城县公路交通网络目前已基本形成了以高速公路、国、省干线公路为骨架，以县乡公路为依托，村道、专用公路为补充的综合公路交通运输网络。其中高速公路现有2条53公里，包括：晋阳高速17公里、阳翼高速36公里（其中2</w:t>
      </w:r>
      <w:r>
        <w:t>020</w:t>
      </w:r>
      <w:r>
        <w:rPr>
          <w:rFonts w:hint="eastAsia"/>
        </w:rPr>
        <w:t>年建成通车的阳蟒高速40.1公里，拟建的阳运高速总长134.74公里，阳城境内段35.7公里）；省级公路2条92公里，包括：陵沁线49公里，阳济公路43公里；县级公路</w:t>
      </w:r>
      <w:r>
        <w:t>234.901</w:t>
      </w:r>
      <w:r>
        <w:rPr>
          <w:rFonts w:hint="eastAsia"/>
        </w:rPr>
        <w:t>公里，乡级公路</w:t>
      </w:r>
      <w:r>
        <w:t>914.793</w:t>
      </w:r>
      <w:r>
        <w:rPr>
          <w:rFonts w:hint="eastAsia"/>
        </w:rPr>
        <w:t>公里（包含旅游公路11条116公里），村通公路</w:t>
      </w:r>
      <w:r>
        <w:t>1034.724</w:t>
      </w:r>
      <w:r>
        <w:rPr>
          <w:rFonts w:hint="eastAsia"/>
        </w:rPr>
        <w:t>公里。</w:t>
      </w:r>
    </w:p>
    <w:p>
      <w:pPr>
        <w:spacing w:line="360" w:lineRule="auto"/>
        <w:ind w:firstLine="640"/>
        <w:rPr>
          <w:rFonts w:cs="Times New Roman"/>
          <w:szCs w:val="28"/>
        </w:rPr>
      </w:pPr>
      <w:r>
        <w:rPr>
          <w:rFonts w:cs="Times New Roman"/>
          <w:szCs w:val="28"/>
        </w:rPr>
        <w:t>（1）行政等级</w:t>
      </w:r>
    </w:p>
    <w:p>
      <w:pPr>
        <w:spacing w:line="360" w:lineRule="auto"/>
        <w:ind w:firstLine="640"/>
        <w:rPr>
          <w:rFonts w:cs="Times New Roman"/>
          <w:szCs w:val="28"/>
        </w:rPr>
      </w:pPr>
      <w:r>
        <w:rPr>
          <w:rFonts w:hint="eastAsia" w:cs="Times New Roman"/>
          <w:szCs w:val="28"/>
        </w:rPr>
        <w:t>阳城县公路网总规模</w:t>
      </w:r>
      <w:r>
        <w:rPr>
          <w:rFonts w:cs="Times New Roman"/>
          <w:szCs w:val="28"/>
        </w:rPr>
        <w:t>2424.888</w:t>
      </w:r>
      <w:r>
        <w:rPr>
          <w:rFonts w:hint="eastAsia" w:cs="Times New Roman"/>
          <w:szCs w:val="28"/>
        </w:rPr>
        <w:t>公里，境内有国道48.416公里，省道</w:t>
      </w:r>
      <w:r>
        <w:rPr>
          <w:rFonts w:cs="Times New Roman"/>
          <w:szCs w:val="28"/>
        </w:rPr>
        <w:t>96.054</w:t>
      </w:r>
      <w:r>
        <w:rPr>
          <w:rFonts w:hint="eastAsia" w:cs="Times New Roman"/>
          <w:szCs w:val="28"/>
        </w:rPr>
        <w:t>公里，县道</w:t>
      </w:r>
      <w:r>
        <w:rPr>
          <w:rFonts w:cs="Times New Roman"/>
          <w:szCs w:val="28"/>
        </w:rPr>
        <w:t>330.901</w:t>
      </w:r>
      <w:r>
        <w:rPr>
          <w:rFonts w:hint="eastAsia" w:cs="Times New Roman"/>
          <w:szCs w:val="28"/>
        </w:rPr>
        <w:t>公里，乡道</w:t>
      </w:r>
      <w:r>
        <w:rPr>
          <w:rFonts w:cs="Times New Roman"/>
          <w:szCs w:val="28"/>
        </w:rPr>
        <w:t>914.793</w:t>
      </w:r>
      <w:r>
        <w:rPr>
          <w:rFonts w:hint="eastAsia" w:cs="Times New Roman"/>
          <w:szCs w:val="28"/>
        </w:rPr>
        <w:t>公里，村道</w:t>
      </w:r>
      <w:r>
        <w:rPr>
          <w:rFonts w:cs="Times New Roman"/>
          <w:szCs w:val="28"/>
        </w:rPr>
        <w:t>1034.724</w:t>
      </w:r>
      <w:r>
        <w:rPr>
          <w:rFonts w:hint="eastAsia" w:cs="Times New Roman"/>
          <w:szCs w:val="28"/>
        </w:rPr>
        <w:t>公里。国省干线公路里程占公路通车里程的比例为6.</w:t>
      </w:r>
      <w:r>
        <w:rPr>
          <w:rFonts w:cs="Times New Roman"/>
          <w:szCs w:val="28"/>
        </w:rPr>
        <w:t>45</w:t>
      </w:r>
      <w:r>
        <w:rPr>
          <w:rFonts w:hint="eastAsia" w:cs="Times New Roman"/>
          <w:szCs w:val="28"/>
        </w:rPr>
        <w:t>%，县乡公路及村道所占比例为93.</w:t>
      </w:r>
      <w:r>
        <w:rPr>
          <w:rFonts w:cs="Times New Roman"/>
          <w:szCs w:val="28"/>
        </w:rPr>
        <w:t>55</w:t>
      </w:r>
      <w:r>
        <w:rPr>
          <w:rFonts w:hint="eastAsia" w:cs="Times New Roman"/>
          <w:szCs w:val="28"/>
        </w:rPr>
        <w:t>%。说明区域内路网结构不尽合理，干线公路的比例偏低，县乡公路及村道的比例较高，同时也说明区域内主要靠县乡公路及村道作为区域连通的主要途径。</w:t>
      </w:r>
    </w:p>
    <w:p>
      <w:pPr>
        <w:spacing w:line="600" w:lineRule="exact"/>
        <w:ind w:firstLine="640"/>
        <w:rPr>
          <w:rFonts w:cs="Times New Roman"/>
          <w:szCs w:val="28"/>
        </w:rPr>
      </w:pPr>
      <w:r>
        <w:rPr>
          <w:rFonts w:cs="Times New Roman"/>
          <w:szCs w:val="28"/>
        </w:rPr>
        <w:t>阳城县公路网中，乡道和村道占的比例较大，达到82.64%。首先，应充分发挥阳城县承载的省际间、省内通道功能的作用，提高国道的比例。其次应加强阳城县与相邻县区的联络，加强县域内各乡镇之间的联系，完善相邻县区、乡镇的衔接，促进区域城乡协调发展，提升路网的行政功能，加强省道、县道的建设。</w:t>
      </w: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tbl>
      <w:tblPr>
        <w:tblStyle w:val="13"/>
        <w:tblW w:w="8931" w:type="dxa"/>
        <w:jc w:val="center"/>
        <w:tblLayout w:type="autofit"/>
        <w:tblCellMar>
          <w:top w:w="0" w:type="dxa"/>
          <w:left w:w="108" w:type="dxa"/>
          <w:bottom w:w="0" w:type="dxa"/>
          <w:right w:w="108" w:type="dxa"/>
        </w:tblCellMar>
      </w:tblPr>
      <w:tblGrid>
        <w:gridCol w:w="1134"/>
        <w:gridCol w:w="3119"/>
        <w:gridCol w:w="2835"/>
        <w:gridCol w:w="1843"/>
      </w:tblGrid>
      <w:tr>
        <w:tblPrEx>
          <w:tblCellMar>
            <w:top w:w="0" w:type="dxa"/>
            <w:left w:w="108" w:type="dxa"/>
            <w:bottom w:w="0" w:type="dxa"/>
            <w:right w:w="108" w:type="dxa"/>
          </w:tblCellMar>
        </w:tblPrEx>
        <w:trPr>
          <w:trHeight w:val="600" w:hRule="atLeast"/>
          <w:jc w:val="center"/>
        </w:trPr>
        <w:tc>
          <w:tcPr>
            <w:tcW w:w="8931" w:type="dxa"/>
            <w:gridSpan w:val="4"/>
            <w:tcBorders>
              <w:top w:val="nil"/>
              <w:left w:val="nil"/>
              <w:bottom w:val="single" w:color="auto" w:sz="12" w:space="0"/>
              <w:right w:val="nil"/>
            </w:tcBorders>
            <w:shd w:val="clear" w:color="auto" w:fill="auto"/>
            <w:noWrap/>
            <w:vAlign w:val="center"/>
          </w:tcPr>
          <w:p>
            <w:pPr>
              <w:ind w:firstLine="0" w:firstLineChars="0"/>
              <w:jc w:val="center"/>
              <w:rPr>
                <w:rFonts w:cs="Times New Roman"/>
                <w:b/>
                <w:sz w:val="28"/>
                <w:szCs w:val="28"/>
              </w:rPr>
            </w:pPr>
            <w:r>
              <w:rPr>
                <w:rFonts w:cs="Times New Roman"/>
                <w:b/>
                <w:sz w:val="28"/>
                <w:szCs w:val="28"/>
              </w:rPr>
              <w:t>表2-5   阳城县公路网行政等级现状</w:t>
            </w:r>
          </w:p>
        </w:tc>
      </w:tr>
      <w:tr>
        <w:tblPrEx>
          <w:tblCellMar>
            <w:top w:w="0" w:type="dxa"/>
            <w:left w:w="108" w:type="dxa"/>
            <w:bottom w:w="0" w:type="dxa"/>
            <w:right w:w="108" w:type="dxa"/>
          </w:tblCellMar>
        </w:tblPrEx>
        <w:trPr>
          <w:trHeight w:val="499" w:hRule="atLeast"/>
          <w:jc w:val="center"/>
        </w:trPr>
        <w:tc>
          <w:tcPr>
            <w:tcW w:w="4253" w:type="dxa"/>
            <w:gridSpan w:val="2"/>
            <w:tcBorders>
              <w:top w:val="single" w:color="auto" w:sz="12" w:space="0"/>
              <w:left w:val="single" w:color="auto" w:sz="12"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公路技术标准</w:t>
            </w:r>
          </w:p>
        </w:tc>
        <w:tc>
          <w:tcPr>
            <w:tcW w:w="2835" w:type="dxa"/>
            <w:tcBorders>
              <w:top w:val="single" w:color="auto" w:sz="12" w:space="0"/>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技术指标值（公里）</w:t>
            </w:r>
          </w:p>
        </w:tc>
        <w:tc>
          <w:tcPr>
            <w:tcW w:w="1843" w:type="dxa"/>
            <w:tcBorders>
              <w:top w:val="single" w:color="auto" w:sz="12" w:space="0"/>
              <w:left w:val="nil"/>
              <w:bottom w:val="single" w:color="auto" w:sz="4" w:space="0"/>
              <w:right w:val="single" w:color="auto" w:sz="12" w:space="0"/>
            </w:tcBorders>
            <w:shd w:val="clear" w:color="auto" w:fill="auto"/>
            <w:noWrap/>
            <w:vAlign w:val="center"/>
          </w:tcPr>
          <w:p>
            <w:pPr>
              <w:ind w:firstLine="0" w:firstLineChars="0"/>
              <w:jc w:val="center"/>
              <w:rPr>
                <w:rFonts w:cs="Times New Roman"/>
                <w:sz w:val="28"/>
                <w:szCs w:val="28"/>
              </w:rPr>
            </w:pPr>
            <w:r>
              <w:rPr>
                <w:rFonts w:cs="Times New Roman"/>
                <w:sz w:val="28"/>
                <w:szCs w:val="28"/>
              </w:rPr>
              <w:t>比重（%）</w:t>
            </w:r>
          </w:p>
        </w:tc>
      </w:tr>
      <w:tr>
        <w:tblPrEx>
          <w:tblCellMar>
            <w:top w:w="0" w:type="dxa"/>
            <w:left w:w="108" w:type="dxa"/>
            <w:bottom w:w="0" w:type="dxa"/>
            <w:right w:w="108" w:type="dxa"/>
          </w:tblCellMar>
        </w:tblPrEx>
        <w:trPr>
          <w:trHeight w:val="499" w:hRule="atLeast"/>
          <w:jc w:val="center"/>
        </w:trPr>
        <w:tc>
          <w:tcPr>
            <w:tcW w:w="4253" w:type="dxa"/>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公路总里程</w:t>
            </w:r>
          </w:p>
        </w:tc>
        <w:tc>
          <w:tcPr>
            <w:tcW w:w="2835"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2424.888</w:t>
            </w:r>
          </w:p>
        </w:tc>
        <w:tc>
          <w:tcPr>
            <w:tcW w:w="1843" w:type="dxa"/>
            <w:tcBorders>
              <w:top w:val="nil"/>
              <w:left w:val="nil"/>
              <w:bottom w:val="single" w:color="auto" w:sz="4" w:space="0"/>
              <w:right w:val="single" w:color="auto" w:sz="12" w:space="0"/>
            </w:tcBorders>
            <w:shd w:val="clear" w:color="auto" w:fill="auto"/>
            <w:noWrap/>
            <w:vAlign w:val="center"/>
          </w:tcPr>
          <w:p>
            <w:pPr>
              <w:ind w:firstLine="0" w:firstLineChars="0"/>
              <w:jc w:val="center"/>
              <w:rPr>
                <w:rFonts w:cs="Times New Roman"/>
                <w:sz w:val="28"/>
                <w:szCs w:val="28"/>
              </w:rPr>
            </w:pPr>
            <w:r>
              <w:rPr>
                <w:rFonts w:cs="Times New Roman"/>
                <w:sz w:val="28"/>
                <w:szCs w:val="28"/>
              </w:rPr>
              <w:t>100</w:t>
            </w:r>
          </w:p>
        </w:tc>
      </w:tr>
      <w:tr>
        <w:tblPrEx>
          <w:tblCellMar>
            <w:top w:w="0" w:type="dxa"/>
            <w:left w:w="108" w:type="dxa"/>
            <w:bottom w:w="0" w:type="dxa"/>
            <w:right w:w="108" w:type="dxa"/>
          </w:tblCellMar>
        </w:tblPrEx>
        <w:trPr>
          <w:trHeight w:val="499" w:hRule="atLeast"/>
          <w:jc w:val="center"/>
        </w:trPr>
        <w:tc>
          <w:tcPr>
            <w:tcW w:w="1134" w:type="dxa"/>
            <w:vMerge w:val="restart"/>
            <w:tcBorders>
              <w:top w:val="nil"/>
              <w:left w:val="single" w:color="auto" w:sz="12" w:space="0"/>
              <w:bottom w:val="single" w:color="000000" w:sz="8" w:space="0"/>
              <w:right w:val="single" w:color="auto" w:sz="4" w:space="0"/>
            </w:tcBorders>
            <w:shd w:val="clear" w:color="auto" w:fill="auto"/>
            <w:vAlign w:val="center"/>
          </w:tcPr>
          <w:p>
            <w:pPr>
              <w:ind w:firstLine="0" w:firstLineChars="0"/>
              <w:jc w:val="center"/>
              <w:rPr>
                <w:rFonts w:cs="Times New Roman"/>
                <w:sz w:val="28"/>
                <w:szCs w:val="28"/>
              </w:rPr>
            </w:pPr>
            <w:r>
              <w:rPr>
                <w:rFonts w:cs="Times New Roman"/>
                <w:sz w:val="28"/>
                <w:szCs w:val="28"/>
              </w:rPr>
              <w:t>行</w:t>
            </w:r>
            <w:r>
              <w:rPr>
                <w:rFonts w:cs="Times New Roman"/>
                <w:sz w:val="28"/>
                <w:szCs w:val="28"/>
              </w:rPr>
              <w:br w:type="textWrapping"/>
            </w:r>
            <w:r>
              <w:rPr>
                <w:rFonts w:cs="Times New Roman"/>
                <w:sz w:val="28"/>
                <w:szCs w:val="28"/>
              </w:rPr>
              <w:t>政</w:t>
            </w:r>
            <w:r>
              <w:rPr>
                <w:rFonts w:cs="Times New Roman"/>
                <w:sz w:val="28"/>
                <w:szCs w:val="28"/>
              </w:rPr>
              <w:br w:type="textWrapping"/>
            </w:r>
            <w:r>
              <w:rPr>
                <w:rFonts w:cs="Times New Roman"/>
                <w:sz w:val="28"/>
                <w:szCs w:val="28"/>
              </w:rPr>
              <w:t>等</w:t>
            </w:r>
            <w:r>
              <w:rPr>
                <w:rFonts w:cs="Times New Roman"/>
                <w:sz w:val="28"/>
                <w:szCs w:val="28"/>
              </w:rPr>
              <w:br w:type="textWrapping"/>
            </w:r>
            <w:r>
              <w:rPr>
                <w:rFonts w:cs="Times New Roman"/>
                <w:sz w:val="28"/>
                <w:szCs w:val="28"/>
              </w:rPr>
              <w:t>级</w:t>
            </w:r>
          </w:p>
        </w:tc>
        <w:tc>
          <w:tcPr>
            <w:tcW w:w="3119"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国主干线（高速）</w:t>
            </w:r>
          </w:p>
        </w:tc>
        <w:tc>
          <w:tcPr>
            <w:tcW w:w="2835" w:type="dxa"/>
            <w:tcBorders>
              <w:top w:val="single" w:color="auto" w:sz="4" w:space="0"/>
              <w:left w:val="single" w:color="auto" w:sz="4" w:space="0"/>
              <w:bottom w:val="single" w:color="auto" w:sz="4" w:space="0"/>
              <w:right w:val="single" w:color="auto" w:sz="4" w:space="0"/>
            </w:tcBorders>
            <w:shd w:val="clear" w:color="800000" w:fill="FFFFFF"/>
            <w:noWrap/>
            <w:vAlign w:val="center"/>
          </w:tcPr>
          <w:p>
            <w:pPr>
              <w:ind w:firstLine="0" w:firstLineChars="0"/>
              <w:jc w:val="center"/>
              <w:rPr>
                <w:rFonts w:cs="Times New Roman"/>
                <w:sz w:val="28"/>
                <w:szCs w:val="28"/>
              </w:rPr>
            </w:pPr>
            <w:r>
              <w:rPr>
                <w:rFonts w:cs="Times New Roman"/>
                <w:sz w:val="28"/>
                <w:szCs w:val="28"/>
              </w:rPr>
              <w:t>48.416</w:t>
            </w:r>
          </w:p>
        </w:tc>
        <w:tc>
          <w:tcPr>
            <w:tcW w:w="1843" w:type="dxa"/>
            <w:tcBorders>
              <w:top w:val="nil"/>
              <w:left w:val="nil"/>
              <w:bottom w:val="single" w:color="auto" w:sz="8" w:space="0"/>
              <w:right w:val="single" w:color="auto" w:sz="12" w:space="0"/>
            </w:tcBorders>
            <w:shd w:val="clear" w:color="auto" w:fill="auto"/>
            <w:noWrap/>
            <w:vAlign w:val="center"/>
          </w:tcPr>
          <w:p>
            <w:pPr>
              <w:widowControl/>
              <w:ind w:firstLine="0" w:firstLineChars="0"/>
              <w:jc w:val="center"/>
              <w:rPr>
                <w:rFonts w:eastAsia="等线" w:cs="Times New Roman"/>
                <w:sz w:val="28"/>
                <w:szCs w:val="28"/>
              </w:rPr>
            </w:pPr>
            <w:r>
              <w:rPr>
                <w:rFonts w:eastAsia="等线" w:cs="Times New Roman"/>
                <w:sz w:val="28"/>
                <w:szCs w:val="28"/>
              </w:rPr>
              <w:t>2.16</w:t>
            </w:r>
          </w:p>
        </w:tc>
      </w:tr>
      <w:tr>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省道</w:t>
            </w:r>
          </w:p>
        </w:tc>
        <w:tc>
          <w:tcPr>
            <w:tcW w:w="2835" w:type="dxa"/>
            <w:tcBorders>
              <w:top w:val="nil"/>
              <w:left w:val="single" w:color="auto" w:sz="4" w:space="0"/>
              <w:bottom w:val="single" w:color="auto" w:sz="4" w:space="0"/>
              <w:right w:val="single" w:color="auto" w:sz="4" w:space="0"/>
            </w:tcBorders>
            <w:shd w:val="clear" w:color="800000" w:fill="FFFFFF"/>
            <w:noWrap/>
            <w:vAlign w:val="center"/>
          </w:tcPr>
          <w:p>
            <w:pPr>
              <w:ind w:firstLine="0" w:firstLineChars="0"/>
              <w:jc w:val="center"/>
              <w:rPr>
                <w:rFonts w:cs="Times New Roman"/>
                <w:sz w:val="28"/>
                <w:szCs w:val="28"/>
              </w:rPr>
            </w:pPr>
            <w:r>
              <w:rPr>
                <w:rFonts w:cs="Times New Roman"/>
                <w:sz w:val="28"/>
                <w:szCs w:val="28"/>
              </w:rPr>
              <w:t>96.054</w:t>
            </w:r>
          </w:p>
        </w:tc>
        <w:tc>
          <w:tcPr>
            <w:tcW w:w="1843" w:type="dxa"/>
            <w:tcBorders>
              <w:top w:val="nil"/>
              <w:left w:val="nil"/>
              <w:bottom w:val="single" w:color="auto" w:sz="8" w:space="0"/>
              <w:right w:val="single" w:color="auto" w:sz="12"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4.29</w:t>
            </w:r>
          </w:p>
        </w:tc>
      </w:tr>
      <w:tr>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县道</w:t>
            </w:r>
          </w:p>
        </w:tc>
        <w:tc>
          <w:tcPr>
            <w:tcW w:w="2835" w:type="dxa"/>
            <w:tcBorders>
              <w:top w:val="single" w:color="auto" w:sz="4" w:space="0"/>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330.901</w:t>
            </w:r>
          </w:p>
        </w:tc>
        <w:tc>
          <w:tcPr>
            <w:tcW w:w="1843" w:type="dxa"/>
            <w:tcBorders>
              <w:top w:val="nil"/>
              <w:left w:val="nil"/>
              <w:bottom w:val="single" w:color="auto" w:sz="8" w:space="0"/>
              <w:right w:val="single" w:color="auto" w:sz="12"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10.91</w:t>
            </w:r>
          </w:p>
        </w:tc>
      </w:tr>
      <w:tr>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000000" w:sz="8" w:space="0"/>
              <w:right w:val="single" w:color="auto" w:sz="4" w:space="0"/>
            </w:tcBorders>
            <w:vAlign w:val="center"/>
          </w:tcPr>
          <w:p>
            <w:pPr>
              <w:ind w:firstLine="0" w:firstLineChars="0"/>
              <w:rPr>
                <w:rFonts w:cs="Times New Roman"/>
                <w:sz w:val="28"/>
                <w:szCs w:val="28"/>
              </w:rPr>
            </w:pPr>
          </w:p>
        </w:tc>
        <w:tc>
          <w:tcPr>
            <w:tcW w:w="3119"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乡道</w:t>
            </w:r>
          </w:p>
        </w:tc>
        <w:tc>
          <w:tcPr>
            <w:tcW w:w="2835"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914.793</w:t>
            </w:r>
          </w:p>
        </w:tc>
        <w:tc>
          <w:tcPr>
            <w:tcW w:w="1843" w:type="dxa"/>
            <w:tcBorders>
              <w:top w:val="nil"/>
              <w:left w:val="nil"/>
              <w:bottom w:val="single" w:color="auto" w:sz="8" w:space="0"/>
              <w:right w:val="single" w:color="auto" w:sz="12"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42.11</w:t>
            </w:r>
          </w:p>
        </w:tc>
      </w:tr>
      <w:tr>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12" w:space="0"/>
              <w:bottom w:val="single" w:color="auto" w:sz="12" w:space="0"/>
              <w:right w:val="single" w:color="auto" w:sz="4" w:space="0"/>
            </w:tcBorders>
            <w:vAlign w:val="center"/>
          </w:tcPr>
          <w:p>
            <w:pPr>
              <w:ind w:firstLine="0" w:firstLineChars="0"/>
              <w:rPr>
                <w:rFonts w:cs="Times New Roman"/>
                <w:sz w:val="28"/>
                <w:szCs w:val="28"/>
              </w:rPr>
            </w:pPr>
          </w:p>
        </w:tc>
        <w:tc>
          <w:tcPr>
            <w:tcW w:w="3119" w:type="dxa"/>
            <w:tcBorders>
              <w:top w:val="single" w:color="auto" w:sz="4" w:space="0"/>
              <w:left w:val="nil"/>
              <w:bottom w:val="single" w:color="auto" w:sz="12"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村道</w:t>
            </w:r>
          </w:p>
        </w:tc>
        <w:tc>
          <w:tcPr>
            <w:tcW w:w="2835" w:type="dxa"/>
            <w:tcBorders>
              <w:top w:val="single" w:color="auto" w:sz="4" w:space="0"/>
              <w:left w:val="nil"/>
              <w:bottom w:val="single" w:color="auto" w:sz="12"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1034.724</w:t>
            </w:r>
          </w:p>
        </w:tc>
        <w:tc>
          <w:tcPr>
            <w:tcW w:w="1843" w:type="dxa"/>
            <w:tcBorders>
              <w:top w:val="nil"/>
              <w:left w:val="nil"/>
              <w:bottom w:val="single" w:color="auto" w:sz="12" w:space="0"/>
              <w:right w:val="single" w:color="auto" w:sz="12"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40.15</w:t>
            </w:r>
          </w:p>
        </w:tc>
      </w:tr>
    </w:tbl>
    <w:p>
      <w:pPr>
        <w:spacing w:line="600" w:lineRule="exact"/>
        <w:ind w:firstLine="640"/>
        <w:rPr>
          <w:rFonts w:cs="Times New Roman"/>
          <w:szCs w:val="28"/>
        </w:rPr>
      </w:pPr>
      <w:r>
        <w:rPr>
          <w:rFonts w:cs="Times New Roman"/>
          <w:szCs w:val="28"/>
        </w:rPr>
        <w:t>（2）技术等级</w:t>
      </w:r>
    </w:p>
    <w:p>
      <w:pPr>
        <w:spacing w:line="600" w:lineRule="exact"/>
        <w:ind w:firstLine="640"/>
        <w:rPr>
          <w:rFonts w:cs="Times New Roman"/>
          <w:szCs w:val="28"/>
        </w:rPr>
      </w:pPr>
      <w:r>
        <w:rPr>
          <w:rFonts w:hint="eastAsia" w:cs="Times New Roman"/>
          <w:szCs w:val="28"/>
        </w:rPr>
        <w:t>至20</w:t>
      </w:r>
      <w:r>
        <w:rPr>
          <w:rFonts w:cs="Times New Roman"/>
          <w:szCs w:val="28"/>
        </w:rPr>
        <w:t>20</w:t>
      </w:r>
      <w:r>
        <w:rPr>
          <w:rFonts w:hint="eastAsia" w:cs="Times New Roman"/>
          <w:szCs w:val="28"/>
        </w:rPr>
        <w:t>年底，阳城县境内高速公路通车里程为53.</w:t>
      </w:r>
      <w:r>
        <w:rPr>
          <w:rFonts w:cs="Times New Roman"/>
          <w:szCs w:val="28"/>
        </w:rPr>
        <w:t>19</w:t>
      </w:r>
      <w:r>
        <w:rPr>
          <w:rFonts w:hint="eastAsia" w:cs="Times New Roman"/>
          <w:szCs w:val="28"/>
        </w:rPr>
        <w:t>公里，一级公路里程为</w:t>
      </w:r>
      <w:r>
        <w:rPr>
          <w:rFonts w:cs="Times New Roman"/>
          <w:szCs w:val="28"/>
        </w:rPr>
        <w:t>27.994</w:t>
      </w:r>
      <w:r>
        <w:rPr>
          <w:rFonts w:hint="eastAsia" w:cs="Times New Roman"/>
          <w:szCs w:val="28"/>
        </w:rPr>
        <w:t>公里，二级公路里程为</w:t>
      </w:r>
      <w:r>
        <w:rPr>
          <w:rFonts w:cs="Times New Roman"/>
          <w:szCs w:val="28"/>
        </w:rPr>
        <w:t>176.592</w:t>
      </w:r>
      <w:r>
        <w:rPr>
          <w:rFonts w:hint="eastAsia" w:cs="Times New Roman"/>
          <w:szCs w:val="28"/>
        </w:rPr>
        <w:t>公里，三级公路里程为</w:t>
      </w:r>
      <w:r>
        <w:rPr>
          <w:rFonts w:cs="Times New Roman"/>
          <w:szCs w:val="28"/>
        </w:rPr>
        <w:t>329.12</w:t>
      </w:r>
      <w:r>
        <w:rPr>
          <w:rFonts w:hint="eastAsia" w:cs="Times New Roman"/>
          <w:szCs w:val="28"/>
        </w:rPr>
        <w:t>公里，四级公路里程为</w:t>
      </w:r>
      <w:r>
        <w:rPr>
          <w:rFonts w:cs="Times New Roman"/>
          <w:szCs w:val="28"/>
        </w:rPr>
        <w:t>1837.988</w:t>
      </w:r>
      <w:r>
        <w:rPr>
          <w:rFonts w:hint="eastAsia" w:cs="Times New Roman"/>
          <w:szCs w:val="28"/>
        </w:rPr>
        <w:t>公里，无等外路。二级及以上公路里程为</w:t>
      </w:r>
      <w:r>
        <w:rPr>
          <w:rFonts w:cs="Times New Roman"/>
          <w:szCs w:val="28"/>
        </w:rPr>
        <w:t>250.658</w:t>
      </w:r>
      <w:r>
        <w:rPr>
          <w:rFonts w:hint="eastAsia" w:cs="Times New Roman"/>
          <w:szCs w:val="28"/>
        </w:rPr>
        <w:t>公里，占通车里程的11.</w:t>
      </w:r>
      <w:r>
        <w:rPr>
          <w:rFonts w:cs="Times New Roman"/>
          <w:szCs w:val="28"/>
        </w:rPr>
        <w:t>2</w:t>
      </w:r>
      <w:r>
        <w:rPr>
          <w:rFonts w:hint="eastAsia" w:cs="Times New Roman"/>
          <w:szCs w:val="28"/>
        </w:rPr>
        <w:t>1%，三级公路占通车里程的10.</w:t>
      </w:r>
      <w:r>
        <w:rPr>
          <w:rFonts w:cs="Times New Roman"/>
          <w:szCs w:val="28"/>
        </w:rPr>
        <w:t>26</w:t>
      </w:r>
      <w:r>
        <w:rPr>
          <w:rFonts w:hint="eastAsia" w:cs="Times New Roman"/>
          <w:szCs w:val="28"/>
        </w:rPr>
        <w:t>%，四级公路占通车总里程为78.5</w:t>
      </w:r>
      <w:r>
        <w:rPr>
          <w:rFonts w:cs="Times New Roman"/>
          <w:szCs w:val="28"/>
        </w:rPr>
        <w:t>4</w:t>
      </w:r>
      <w:r>
        <w:rPr>
          <w:rFonts w:hint="eastAsia" w:cs="Times New Roman"/>
          <w:szCs w:val="28"/>
        </w:rPr>
        <w:t>%。说明县区内低等级公路所占比重较大，特别是四级公路所占比重达到了70%以上，技术等级偏低。</w:t>
      </w:r>
    </w:p>
    <w:p>
      <w:pPr>
        <w:spacing w:line="600" w:lineRule="exact"/>
        <w:ind w:firstLine="640"/>
        <w:rPr>
          <w:rFonts w:cs="Times New Roman"/>
          <w:szCs w:val="28"/>
        </w:rPr>
      </w:pPr>
      <w:r>
        <w:rPr>
          <w:rFonts w:cs="Times New Roman"/>
          <w:szCs w:val="28"/>
        </w:rPr>
        <w:t>从</w:t>
      </w:r>
      <w:r>
        <w:rPr>
          <w:rFonts w:hint="eastAsia" w:cs="Times New Roman"/>
          <w:szCs w:val="28"/>
        </w:rPr>
        <w:t>表</w:t>
      </w:r>
      <w:r>
        <w:rPr>
          <w:rFonts w:cs="Times New Roman"/>
          <w:szCs w:val="28"/>
        </w:rPr>
        <w:t>中可见，目前阳城县公路通车里程中，以四级公路最多，二级公路和三级公路也占有相当比例，而以高速公路和一级公路为代表的高等级公路所占比例小。在此背景下，急需提升路网技术等级，优化等级结构。</w:t>
      </w:r>
    </w:p>
    <w:p>
      <w:pPr>
        <w:spacing w:line="600" w:lineRule="exact"/>
        <w:ind w:firstLine="640"/>
        <w:rPr>
          <w:rFonts w:cs="Times New Roman"/>
          <w:szCs w:val="28"/>
        </w:rPr>
      </w:pPr>
    </w:p>
    <w:p>
      <w:pPr>
        <w:spacing w:line="600" w:lineRule="exact"/>
        <w:ind w:firstLine="640"/>
        <w:rPr>
          <w:rFonts w:cs="Times New Roman"/>
          <w:szCs w:val="28"/>
        </w:rPr>
      </w:pPr>
    </w:p>
    <w:tbl>
      <w:tblPr>
        <w:tblStyle w:val="13"/>
        <w:tblW w:w="8992" w:type="dxa"/>
        <w:jc w:val="center"/>
        <w:tblLayout w:type="autofit"/>
        <w:tblCellMar>
          <w:top w:w="0" w:type="dxa"/>
          <w:left w:w="108" w:type="dxa"/>
          <w:bottom w:w="0" w:type="dxa"/>
          <w:right w:w="108" w:type="dxa"/>
        </w:tblCellMar>
      </w:tblPr>
      <w:tblGrid>
        <w:gridCol w:w="993"/>
        <w:gridCol w:w="2940"/>
        <w:gridCol w:w="3155"/>
        <w:gridCol w:w="1904"/>
      </w:tblGrid>
      <w:tr>
        <w:tblPrEx>
          <w:tblCellMar>
            <w:top w:w="0" w:type="dxa"/>
            <w:left w:w="108" w:type="dxa"/>
            <w:bottom w:w="0" w:type="dxa"/>
            <w:right w:w="108" w:type="dxa"/>
          </w:tblCellMar>
        </w:tblPrEx>
        <w:trPr>
          <w:trHeight w:val="600" w:hRule="atLeast"/>
          <w:jc w:val="center"/>
        </w:trPr>
        <w:tc>
          <w:tcPr>
            <w:tcW w:w="8992" w:type="dxa"/>
            <w:gridSpan w:val="4"/>
            <w:tcBorders>
              <w:top w:val="nil"/>
              <w:left w:val="nil"/>
              <w:bottom w:val="nil"/>
              <w:right w:val="nil"/>
            </w:tcBorders>
            <w:shd w:val="clear" w:color="auto" w:fill="auto"/>
            <w:noWrap/>
            <w:vAlign w:val="center"/>
          </w:tcPr>
          <w:p>
            <w:pPr>
              <w:ind w:firstLine="0" w:firstLineChars="0"/>
              <w:jc w:val="center"/>
              <w:rPr>
                <w:rFonts w:cs="Times New Roman"/>
                <w:b/>
                <w:sz w:val="28"/>
                <w:szCs w:val="28"/>
              </w:rPr>
            </w:pPr>
            <w:r>
              <w:rPr>
                <w:rFonts w:cs="Times New Roman"/>
                <w:b/>
                <w:sz w:val="28"/>
                <w:szCs w:val="28"/>
              </w:rPr>
              <w:t>表2-6   阳城县公路网技术等级现状</w:t>
            </w:r>
          </w:p>
        </w:tc>
      </w:tr>
      <w:tr>
        <w:tblPrEx>
          <w:tblCellMar>
            <w:top w:w="0" w:type="dxa"/>
            <w:left w:w="108" w:type="dxa"/>
            <w:bottom w:w="0" w:type="dxa"/>
            <w:right w:w="108" w:type="dxa"/>
          </w:tblCellMar>
        </w:tblPrEx>
        <w:trPr>
          <w:trHeight w:val="499" w:hRule="atLeast"/>
          <w:jc w:val="center"/>
        </w:trPr>
        <w:tc>
          <w:tcPr>
            <w:tcW w:w="3933" w:type="dxa"/>
            <w:gridSpan w:val="2"/>
            <w:tcBorders>
              <w:top w:val="single" w:color="auto" w:sz="8" w:space="0"/>
              <w:left w:val="single" w:color="auto" w:sz="8"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公路技术标准</w:t>
            </w:r>
          </w:p>
        </w:tc>
        <w:tc>
          <w:tcPr>
            <w:tcW w:w="3155" w:type="dxa"/>
            <w:tcBorders>
              <w:top w:val="single" w:color="auto" w:sz="8" w:space="0"/>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技术指标值（公里）</w:t>
            </w:r>
          </w:p>
        </w:tc>
        <w:tc>
          <w:tcPr>
            <w:tcW w:w="1904" w:type="dxa"/>
            <w:tcBorders>
              <w:top w:val="single" w:color="auto" w:sz="8" w:space="0"/>
              <w:left w:val="nil"/>
              <w:bottom w:val="single" w:color="auto" w:sz="4" w:space="0"/>
              <w:right w:val="single" w:color="auto" w:sz="8" w:space="0"/>
            </w:tcBorders>
            <w:shd w:val="clear" w:color="auto" w:fill="auto"/>
            <w:noWrap/>
            <w:vAlign w:val="center"/>
          </w:tcPr>
          <w:p>
            <w:pPr>
              <w:ind w:firstLine="0" w:firstLineChars="0"/>
              <w:jc w:val="center"/>
              <w:rPr>
                <w:rFonts w:cs="Times New Roman"/>
                <w:sz w:val="28"/>
                <w:szCs w:val="28"/>
              </w:rPr>
            </w:pPr>
            <w:r>
              <w:rPr>
                <w:rFonts w:cs="Times New Roman"/>
                <w:sz w:val="28"/>
                <w:szCs w:val="28"/>
              </w:rPr>
              <w:t>比重（%）</w:t>
            </w:r>
          </w:p>
        </w:tc>
      </w:tr>
      <w:tr>
        <w:tblPrEx>
          <w:tblCellMar>
            <w:top w:w="0" w:type="dxa"/>
            <w:left w:w="108" w:type="dxa"/>
            <w:bottom w:w="0" w:type="dxa"/>
            <w:right w:w="108" w:type="dxa"/>
          </w:tblCellMar>
        </w:tblPrEx>
        <w:trPr>
          <w:trHeight w:val="499" w:hRule="atLeast"/>
          <w:jc w:val="center"/>
        </w:trPr>
        <w:tc>
          <w:tcPr>
            <w:tcW w:w="3933" w:type="dxa"/>
            <w:gridSpan w:val="2"/>
            <w:tcBorders>
              <w:top w:val="single" w:color="auto" w:sz="4" w:space="0"/>
              <w:left w:val="single" w:color="auto" w:sz="8"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公路总里程</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2424.888</w:t>
            </w:r>
          </w:p>
        </w:tc>
        <w:tc>
          <w:tcPr>
            <w:tcW w:w="1904" w:type="dxa"/>
            <w:tcBorders>
              <w:top w:val="nil"/>
              <w:left w:val="nil"/>
              <w:bottom w:val="single" w:color="auto" w:sz="4" w:space="0"/>
              <w:right w:val="single" w:color="auto" w:sz="8" w:space="0"/>
            </w:tcBorders>
            <w:shd w:val="clear" w:color="auto" w:fill="auto"/>
            <w:noWrap/>
            <w:vAlign w:val="center"/>
          </w:tcPr>
          <w:p>
            <w:pPr>
              <w:ind w:firstLine="0" w:firstLineChars="0"/>
              <w:jc w:val="center"/>
              <w:rPr>
                <w:rFonts w:cs="Times New Roman"/>
                <w:sz w:val="28"/>
                <w:szCs w:val="28"/>
              </w:rPr>
            </w:pPr>
            <w:r>
              <w:rPr>
                <w:rFonts w:cs="Times New Roman"/>
                <w:sz w:val="28"/>
                <w:szCs w:val="28"/>
              </w:rPr>
              <w:t>100</w:t>
            </w:r>
          </w:p>
        </w:tc>
      </w:tr>
      <w:tr>
        <w:tblPrEx>
          <w:tblCellMar>
            <w:top w:w="0" w:type="dxa"/>
            <w:left w:w="108" w:type="dxa"/>
            <w:bottom w:w="0" w:type="dxa"/>
            <w:right w:w="108" w:type="dxa"/>
          </w:tblCellMar>
        </w:tblPrEx>
        <w:trPr>
          <w:trHeight w:val="499" w:hRule="atLeast"/>
          <w:jc w:val="center"/>
        </w:trPr>
        <w:tc>
          <w:tcPr>
            <w:tcW w:w="993" w:type="dxa"/>
            <w:vMerge w:val="restart"/>
            <w:tcBorders>
              <w:top w:val="nil"/>
              <w:left w:val="single" w:color="auto" w:sz="8" w:space="0"/>
              <w:bottom w:val="single" w:color="000000" w:sz="8" w:space="0"/>
              <w:right w:val="single" w:color="auto" w:sz="4" w:space="0"/>
            </w:tcBorders>
            <w:shd w:val="clear" w:color="auto" w:fill="auto"/>
            <w:vAlign w:val="center"/>
          </w:tcPr>
          <w:p>
            <w:pPr>
              <w:ind w:firstLine="0" w:firstLineChars="0"/>
              <w:jc w:val="center"/>
              <w:rPr>
                <w:rFonts w:cs="Times New Roman"/>
                <w:sz w:val="28"/>
                <w:szCs w:val="28"/>
              </w:rPr>
            </w:pPr>
            <w:r>
              <w:rPr>
                <w:rFonts w:cs="Times New Roman"/>
                <w:sz w:val="28"/>
                <w:szCs w:val="28"/>
              </w:rPr>
              <w:t>技</w:t>
            </w:r>
          </w:p>
          <w:p>
            <w:pPr>
              <w:ind w:firstLine="0" w:firstLineChars="0"/>
              <w:jc w:val="center"/>
              <w:rPr>
                <w:rFonts w:cs="Times New Roman"/>
                <w:sz w:val="28"/>
                <w:szCs w:val="28"/>
              </w:rPr>
            </w:pPr>
            <w:r>
              <w:rPr>
                <w:rFonts w:cs="Times New Roman"/>
                <w:sz w:val="28"/>
                <w:szCs w:val="28"/>
              </w:rPr>
              <w:t>术</w:t>
            </w:r>
            <w:r>
              <w:rPr>
                <w:rFonts w:cs="Times New Roman"/>
                <w:sz w:val="28"/>
                <w:szCs w:val="28"/>
              </w:rPr>
              <w:br w:type="textWrapping"/>
            </w:r>
            <w:r>
              <w:rPr>
                <w:rFonts w:cs="Times New Roman"/>
                <w:sz w:val="28"/>
                <w:szCs w:val="28"/>
              </w:rPr>
              <w:t>等</w:t>
            </w:r>
            <w:r>
              <w:rPr>
                <w:rFonts w:cs="Times New Roman"/>
                <w:sz w:val="28"/>
                <w:szCs w:val="28"/>
              </w:rPr>
              <w:br w:type="textWrapping"/>
            </w:r>
            <w:r>
              <w:rPr>
                <w:rFonts w:cs="Times New Roman"/>
                <w:sz w:val="28"/>
                <w:szCs w:val="28"/>
              </w:rPr>
              <w:t>级</w:t>
            </w:r>
          </w:p>
        </w:tc>
        <w:tc>
          <w:tcPr>
            <w:tcW w:w="294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高速公路</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53.194</w:t>
            </w:r>
          </w:p>
        </w:tc>
        <w:tc>
          <w:tcPr>
            <w:tcW w:w="1904"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eastAsia="等线" w:cs="Times New Roman"/>
                <w:sz w:val="28"/>
                <w:szCs w:val="28"/>
              </w:rPr>
            </w:pPr>
            <w:r>
              <w:rPr>
                <w:rFonts w:eastAsia="等线" w:cs="Times New Roman"/>
                <w:sz w:val="28"/>
                <w:szCs w:val="28"/>
              </w:rPr>
              <w:t>2.38</w:t>
            </w:r>
          </w:p>
        </w:tc>
      </w:tr>
      <w:tr>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shd w:val="clear" w:color="auto" w:fill="auto"/>
            <w:vAlign w:val="center"/>
          </w:tcPr>
          <w:p>
            <w:pPr>
              <w:ind w:firstLine="0" w:firstLineChars="0"/>
              <w:jc w:val="center"/>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hint="eastAsia" w:cs="Times New Roman"/>
                <w:sz w:val="28"/>
                <w:szCs w:val="28"/>
              </w:rPr>
              <w:t>一级公路</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27.994</w:t>
            </w:r>
          </w:p>
        </w:tc>
        <w:tc>
          <w:tcPr>
            <w:tcW w:w="1904"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1.30</w:t>
            </w:r>
          </w:p>
        </w:tc>
      </w:tr>
      <w:tr>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二级公路</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176.592</w:t>
            </w:r>
          </w:p>
        </w:tc>
        <w:tc>
          <w:tcPr>
            <w:tcW w:w="1904"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7.53</w:t>
            </w:r>
          </w:p>
        </w:tc>
      </w:tr>
      <w:tr>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三级公路</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329.12</w:t>
            </w:r>
          </w:p>
        </w:tc>
        <w:tc>
          <w:tcPr>
            <w:tcW w:w="1904"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10.26</w:t>
            </w:r>
          </w:p>
        </w:tc>
      </w:tr>
      <w:tr>
        <w:tblPrEx>
          <w:tblCellMar>
            <w:top w:w="0" w:type="dxa"/>
            <w:left w:w="108" w:type="dxa"/>
            <w:bottom w:w="0" w:type="dxa"/>
            <w:right w:w="108" w:type="dxa"/>
          </w:tblCellMar>
        </w:tblPrEx>
        <w:trPr>
          <w:trHeight w:val="499" w:hRule="atLeast"/>
          <w:jc w:val="center"/>
        </w:trPr>
        <w:tc>
          <w:tcPr>
            <w:tcW w:w="993" w:type="dxa"/>
            <w:vMerge w:val="continue"/>
            <w:tcBorders>
              <w:top w:val="nil"/>
              <w:left w:val="single" w:color="auto" w:sz="8" w:space="0"/>
              <w:bottom w:val="single" w:color="000000" w:sz="8" w:space="0"/>
              <w:right w:val="single" w:color="auto" w:sz="4" w:space="0"/>
            </w:tcBorders>
            <w:vAlign w:val="center"/>
          </w:tcPr>
          <w:p>
            <w:pPr>
              <w:ind w:firstLine="0" w:firstLineChars="0"/>
              <w:rPr>
                <w:rFonts w:cs="Times New Roman"/>
                <w:sz w:val="28"/>
                <w:szCs w:val="28"/>
              </w:rPr>
            </w:pPr>
          </w:p>
        </w:tc>
        <w:tc>
          <w:tcPr>
            <w:tcW w:w="2940"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四级公路</w:t>
            </w:r>
          </w:p>
        </w:tc>
        <w:tc>
          <w:tcPr>
            <w:tcW w:w="315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1837.988</w:t>
            </w:r>
          </w:p>
        </w:tc>
        <w:tc>
          <w:tcPr>
            <w:tcW w:w="1904"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78.54</w:t>
            </w:r>
          </w:p>
        </w:tc>
      </w:tr>
    </w:tbl>
    <w:p>
      <w:pPr>
        <w:spacing w:line="600" w:lineRule="exact"/>
        <w:ind w:firstLine="640"/>
        <w:rPr>
          <w:rFonts w:cs="Times New Roman"/>
          <w:szCs w:val="28"/>
        </w:rPr>
      </w:pPr>
      <w:r>
        <w:rPr>
          <w:rFonts w:cs="Times New Roman"/>
          <w:szCs w:val="28"/>
        </w:rPr>
        <w:t>（3）路面等级</w:t>
      </w:r>
    </w:p>
    <w:p>
      <w:pPr>
        <w:spacing w:line="600" w:lineRule="exact"/>
        <w:ind w:firstLine="640"/>
        <w:rPr>
          <w:rFonts w:cs="Times New Roman"/>
          <w:szCs w:val="28"/>
        </w:rPr>
      </w:pPr>
      <w:r>
        <w:rPr>
          <w:rFonts w:hint="eastAsia" w:cs="Times New Roman"/>
          <w:szCs w:val="28"/>
        </w:rPr>
        <w:t>至20</w:t>
      </w:r>
      <w:r>
        <w:rPr>
          <w:rFonts w:cs="Times New Roman"/>
          <w:szCs w:val="28"/>
        </w:rPr>
        <w:t>20</w:t>
      </w:r>
      <w:r>
        <w:rPr>
          <w:rFonts w:hint="eastAsia" w:cs="Times New Roman"/>
          <w:szCs w:val="28"/>
        </w:rPr>
        <w:t>年底，阳城县境内有铺装路面</w:t>
      </w:r>
      <w:r>
        <w:rPr>
          <w:rFonts w:cs="Times New Roman"/>
          <w:szCs w:val="28"/>
        </w:rPr>
        <w:t>2371.042</w:t>
      </w:r>
      <w:r>
        <w:rPr>
          <w:rFonts w:hint="eastAsia" w:cs="Times New Roman"/>
          <w:szCs w:val="28"/>
        </w:rPr>
        <w:t>公里，其中，沥青混凝土路面</w:t>
      </w:r>
      <w:r>
        <w:rPr>
          <w:rFonts w:cs="Times New Roman"/>
          <w:szCs w:val="28"/>
        </w:rPr>
        <w:t>710.198</w:t>
      </w:r>
      <w:r>
        <w:rPr>
          <w:rFonts w:hint="eastAsia" w:cs="Times New Roman"/>
          <w:szCs w:val="28"/>
        </w:rPr>
        <w:t>公里，水泥混凝土路面</w:t>
      </w:r>
      <w:r>
        <w:rPr>
          <w:rFonts w:cs="Times New Roman"/>
          <w:szCs w:val="28"/>
        </w:rPr>
        <w:t>1660.844</w:t>
      </w:r>
      <w:r>
        <w:rPr>
          <w:rFonts w:hint="eastAsia" w:cs="Times New Roman"/>
          <w:szCs w:val="28"/>
        </w:rPr>
        <w:t>公里；简易铺装路面77.256公里，未铺装路面26.182公里。从路面铺装角度分析，有铺装里程占通车里程的比例为98.8</w:t>
      </w:r>
      <w:r>
        <w:rPr>
          <w:rFonts w:cs="Times New Roman"/>
          <w:szCs w:val="28"/>
        </w:rPr>
        <w:t>3</w:t>
      </w:r>
      <w:r>
        <w:rPr>
          <w:rFonts w:hint="eastAsia" w:cs="Times New Roman"/>
          <w:szCs w:val="28"/>
        </w:rPr>
        <w:t>%，整体路网铺装率较高，属于中上水平。</w:t>
      </w:r>
    </w:p>
    <w:p>
      <w:pPr>
        <w:spacing w:line="600" w:lineRule="exact"/>
        <w:ind w:firstLine="640"/>
        <w:rPr>
          <w:rFonts w:cs="Times New Roman"/>
          <w:szCs w:val="28"/>
        </w:rPr>
      </w:pPr>
      <w:r>
        <w:rPr>
          <w:rFonts w:cs="Times New Roman"/>
          <w:szCs w:val="28"/>
        </w:rPr>
        <w:t>有铺装路面中，水泥砼路面占的比重较大。可见，阳城县的路面等级较低，导致运行速度慢，严重制约了物流和信息流的发展，急需提升路面等级。</w:t>
      </w: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p>
      <w:pPr>
        <w:spacing w:line="600" w:lineRule="exact"/>
        <w:ind w:firstLine="640"/>
        <w:rPr>
          <w:rFonts w:cs="Times New Roman"/>
          <w:szCs w:val="28"/>
        </w:rPr>
      </w:pPr>
    </w:p>
    <w:tbl>
      <w:tblPr>
        <w:tblStyle w:val="13"/>
        <w:tblW w:w="8647" w:type="dxa"/>
        <w:jc w:val="center"/>
        <w:tblLayout w:type="autofit"/>
        <w:tblCellMar>
          <w:top w:w="0" w:type="dxa"/>
          <w:left w:w="108" w:type="dxa"/>
          <w:bottom w:w="0" w:type="dxa"/>
          <w:right w:w="108" w:type="dxa"/>
        </w:tblCellMar>
      </w:tblPr>
      <w:tblGrid>
        <w:gridCol w:w="1134"/>
        <w:gridCol w:w="2677"/>
        <w:gridCol w:w="3065"/>
        <w:gridCol w:w="1771"/>
      </w:tblGrid>
      <w:tr>
        <w:tblPrEx>
          <w:tblCellMar>
            <w:top w:w="0" w:type="dxa"/>
            <w:left w:w="108" w:type="dxa"/>
            <w:bottom w:w="0" w:type="dxa"/>
            <w:right w:w="108" w:type="dxa"/>
          </w:tblCellMar>
        </w:tblPrEx>
        <w:trPr>
          <w:trHeight w:val="600" w:hRule="atLeast"/>
          <w:jc w:val="center"/>
        </w:trPr>
        <w:tc>
          <w:tcPr>
            <w:tcW w:w="8647" w:type="dxa"/>
            <w:gridSpan w:val="4"/>
            <w:tcBorders>
              <w:top w:val="nil"/>
              <w:left w:val="nil"/>
              <w:bottom w:val="nil"/>
              <w:right w:val="nil"/>
            </w:tcBorders>
            <w:shd w:val="clear" w:color="auto" w:fill="auto"/>
            <w:noWrap/>
            <w:vAlign w:val="center"/>
          </w:tcPr>
          <w:p>
            <w:pPr>
              <w:ind w:firstLine="0" w:firstLineChars="0"/>
              <w:jc w:val="center"/>
              <w:rPr>
                <w:rFonts w:cs="Times New Roman"/>
                <w:b/>
                <w:sz w:val="28"/>
                <w:szCs w:val="28"/>
              </w:rPr>
            </w:pPr>
            <w:r>
              <w:rPr>
                <w:rFonts w:cs="Times New Roman"/>
                <w:b/>
                <w:sz w:val="28"/>
                <w:szCs w:val="28"/>
              </w:rPr>
              <w:t>表2-7    阳城县公路网路面等级现状</w:t>
            </w:r>
          </w:p>
        </w:tc>
      </w:tr>
      <w:tr>
        <w:tblPrEx>
          <w:tblCellMar>
            <w:top w:w="0" w:type="dxa"/>
            <w:left w:w="108" w:type="dxa"/>
            <w:bottom w:w="0" w:type="dxa"/>
            <w:right w:w="108" w:type="dxa"/>
          </w:tblCellMar>
        </w:tblPrEx>
        <w:trPr>
          <w:trHeight w:val="499" w:hRule="atLeast"/>
          <w:jc w:val="center"/>
        </w:trPr>
        <w:tc>
          <w:tcPr>
            <w:tcW w:w="3811" w:type="dxa"/>
            <w:gridSpan w:val="2"/>
            <w:tcBorders>
              <w:top w:val="single" w:color="auto" w:sz="8" w:space="0"/>
              <w:left w:val="single" w:color="auto" w:sz="8"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公路技术标准</w:t>
            </w:r>
          </w:p>
        </w:tc>
        <w:tc>
          <w:tcPr>
            <w:tcW w:w="3065" w:type="dxa"/>
            <w:tcBorders>
              <w:top w:val="single" w:color="auto" w:sz="8" w:space="0"/>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技术指标值（公里）</w:t>
            </w:r>
          </w:p>
        </w:tc>
        <w:tc>
          <w:tcPr>
            <w:tcW w:w="1771" w:type="dxa"/>
            <w:tcBorders>
              <w:top w:val="single" w:color="auto" w:sz="8" w:space="0"/>
              <w:left w:val="nil"/>
              <w:bottom w:val="single" w:color="auto" w:sz="4" w:space="0"/>
              <w:right w:val="single" w:color="auto" w:sz="8" w:space="0"/>
            </w:tcBorders>
            <w:shd w:val="clear" w:color="auto" w:fill="auto"/>
            <w:noWrap/>
            <w:vAlign w:val="center"/>
          </w:tcPr>
          <w:p>
            <w:pPr>
              <w:ind w:firstLine="0" w:firstLineChars="0"/>
              <w:jc w:val="center"/>
              <w:rPr>
                <w:rFonts w:cs="Times New Roman"/>
                <w:sz w:val="28"/>
                <w:szCs w:val="28"/>
              </w:rPr>
            </w:pPr>
            <w:r>
              <w:rPr>
                <w:rFonts w:cs="Times New Roman"/>
                <w:sz w:val="28"/>
                <w:szCs w:val="28"/>
              </w:rPr>
              <w:t>比重（%）</w:t>
            </w:r>
          </w:p>
        </w:tc>
      </w:tr>
      <w:tr>
        <w:tblPrEx>
          <w:tblCellMar>
            <w:top w:w="0" w:type="dxa"/>
            <w:left w:w="108" w:type="dxa"/>
            <w:bottom w:w="0" w:type="dxa"/>
            <w:right w:w="108" w:type="dxa"/>
          </w:tblCellMar>
        </w:tblPrEx>
        <w:trPr>
          <w:trHeight w:val="499" w:hRule="atLeast"/>
          <w:jc w:val="center"/>
        </w:trPr>
        <w:tc>
          <w:tcPr>
            <w:tcW w:w="3811" w:type="dxa"/>
            <w:gridSpan w:val="2"/>
            <w:tcBorders>
              <w:top w:val="single" w:color="auto" w:sz="4" w:space="0"/>
              <w:left w:val="single" w:color="auto" w:sz="8" w:space="0"/>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公路总里程</w:t>
            </w:r>
          </w:p>
        </w:tc>
        <w:tc>
          <w:tcPr>
            <w:tcW w:w="3065"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2424.888</w:t>
            </w:r>
          </w:p>
        </w:tc>
        <w:tc>
          <w:tcPr>
            <w:tcW w:w="1771" w:type="dxa"/>
            <w:tcBorders>
              <w:top w:val="nil"/>
              <w:left w:val="nil"/>
              <w:bottom w:val="single" w:color="auto" w:sz="4" w:space="0"/>
              <w:right w:val="single" w:color="auto" w:sz="8" w:space="0"/>
            </w:tcBorders>
            <w:shd w:val="clear" w:color="auto" w:fill="auto"/>
            <w:noWrap/>
            <w:vAlign w:val="center"/>
          </w:tcPr>
          <w:p>
            <w:pPr>
              <w:ind w:firstLine="0" w:firstLineChars="0"/>
              <w:jc w:val="center"/>
              <w:rPr>
                <w:rFonts w:cs="Times New Roman"/>
                <w:sz w:val="28"/>
                <w:szCs w:val="28"/>
              </w:rPr>
            </w:pPr>
            <w:r>
              <w:rPr>
                <w:rFonts w:cs="Times New Roman"/>
                <w:sz w:val="28"/>
                <w:szCs w:val="28"/>
              </w:rPr>
              <w:t>100</w:t>
            </w:r>
          </w:p>
        </w:tc>
      </w:tr>
      <w:tr>
        <w:tblPrEx>
          <w:tblCellMar>
            <w:top w:w="0" w:type="dxa"/>
            <w:left w:w="108" w:type="dxa"/>
            <w:bottom w:w="0" w:type="dxa"/>
            <w:right w:w="108" w:type="dxa"/>
          </w:tblCellMar>
        </w:tblPrEx>
        <w:trPr>
          <w:trHeight w:val="499" w:hRule="atLeast"/>
          <w:jc w:val="center"/>
        </w:trPr>
        <w:tc>
          <w:tcPr>
            <w:tcW w:w="1134" w:type="dxa"/>
            <w:vMerge w:val="restart"/>
            <w:tcBorders>
              <w:top w:val="nil"/>
              <w:left w:val="single" w:color="auto" w:sz="8" w:space="0"/>
              <w:bottom w:val="single" w:color="000000" w:sz="8" w:space="0"/>
              <w:right w:val="single" w:color="auto" w:sz="4" w:space="0"/>
            </w:tcBorders>
            <w:shd w:val="clear" w:color="auto" w:fill="auto"/>
            <w:vAlign w:val="center"/>
          </w:tcPr>
          <w:p>
            <w:pPr>
              <w:ind w:firstLine="0" w:firstLineChars="0"/>
              <w:jc w:val="center"/>
              <w:rPr>
                <w:rFonts w:cs="Times New Roman"/>
                <w:sz w:val="28"/>
                <w:szCs w:val="28"/>
              </w:rPr>
            </w:pPr>
            <w:r>
              <w:rPr>
                <w:rFonts w:cs="Times New Roman"/>
                <w:sz w:val="28"/>
                <w:szCs w:val="28"/>
              </w:rPr>
              <w:t>路面</w:t>
            </w:r>
          </w:p>
          <w:p>
            <w:pPr>
              <w:ind w:firstLine="0" w:firstLineChars="0"/>
              <w:jc w:val="center"/>
              <w:rPr>
                <w:rFonts w:cs="Times New Roman"/>
                <w:sz w:val="28"/>
                <w:szCs w:val="28"/>
              </w:rPr>
            </w:pPr>
            <w:r>
              <w:rPr>
                <w:rFonts w:cs="Times New Roman"/>
                <w:sz w:val="28"/>
                <w:szCs w:val="28"/>
              </w:rPr>
              <w:t>等级</w:t>
            </w:r>
          </w:p>
        </w:tc>
        <w:tc>
          <w:tcPr>
            <w:tcW w:w="2677"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有铺装路面</w:t>
            </w:r>
          </w:p>
        </w:tc>
        <w:tc>
          <w:tcPr>
            <w:tcW w:w="306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rPr>
            </w:pPr>
            <w:r>
              <w:rPr>
                <w:sz w:val="28"/>
              </w:rPr>
              <w:t>2371.042</w:t>
            </w:r>
          </w:p>
        </w:tc>
        <w:tc>
          <w:tcPr>
            <w:tcW w:w="177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eastAsia="等线" w:cs="Times New Roman"/>
                <w:sz w:val="28"/>
                <w:szCs w:val="28"/>
              </w:rPr>
            </w:pPr>
            <w:r>
              <w:rPr>
                <w:rFonts w:eastAsia="等线" w:cs="Times New Roman"/>
                <w:sz w:val="28"/>
                <w:szCs w:val="28"/>
              </w:rPr>
              <w:t>95.38</w:t>
            </w:r>
          </w:p>
        </w:tc>
      </w:tr>
      <w:tr>
        <w:tblPrEx>
          <w:tblCellMar>
            <w:top w:w="0" w:type="dxa"/>
            <w:left w:w="108" w:type="dxa"/>
            <w:bottom w:w="0" w:type="dxa"/>
            <w:right w:w="108" w:type="dxa"/>
          </w:tblCellMar>
        </w:tblPrEx>
        <w:trPr>
          <w:trHeight w:val="499" w:hRule="atLeast"/>
          <w:jc w:val="center"/>
        </w:trPr>
        <w:tc>
          <w:tcPr>
            <w:tcW w:w="1134" w:type="dxa"/>
            <w:vMerge w:val="continue"/>
            <w:tcBorders>
              <w:top w:val="nil"/>
              <w:left w:val="single" w:color="auto" w:sz="8" w:space="0"/>
              <w:bottom w:val="single" w:color="000000" w:sz="8" w:space="0"/>
              <w:right w:val="single" w:color="auto" w:sz="4" w:space="0"/>
            </w:tcBorders>
            <w:vAlign w:val="center"/>
          </w:tcPr>
          <w:p>
            <w:pPr>
              <w:ind w:firstLine="0" w:firstLineChars="0"/>
              <w:jc w:val="center"/>
              <w:rPr>
                <w:rFonts w:cs="Times New Roman"/>
                <w:sz w:val="28"/>
                <w:szCs w:val="28"/>
              </w:rPr>
            </w:pPr>
          </w:p>
        </w:tc>
        <w:tc>
          <w:tcPr>
            <w:tcW w:w="2677" w:type="dxa"/>
            <w:tcBorders>
              <w:top w:val="nil"/>
              <w:left w:val="nil"/>
              <w:bottom w:val="single" w:color="auto" w:sz="4"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简易铺装路面</w:t>
            </w:r>
          </w:p>
        </w:tc>
        <w:tc>
          <w:tcPr>
            <w:tcW w:w="3065" w:type="dxa"/>
            <w:tcBorders>
              <w:top w:val="single" w:color="auto" w:sz="4" w:space="0"/>
              <w:left w:val="single" w:color="auto" w:sz="4" w:space="0"/>
              <w:bottom w:val="single" w:color="auto" w:sz="4" w:space="0"/>
              <w:right w:val="single" w:color="auto" w:sz="4" w:space="0"/>
            </w:tcBorders>
            <w:shd w:val="clear" w:color="800000" w:fill="FFFFFF"/>
            <w:noWrap/>
            <w:vAlign w:val="center"/>
          </w:tcPr>
          <w:p>
            <w:pPr>
              <w:widowControl/>
              <w:ind w:firstLine="0" w:firstLineChars="0"/>
              <w:jc w:val="center"/>
              <w:rPr>
                <w:sz w:val="28"/>
              </w:rPr>
            </w:pPr>
            <w:r>
              <w:rPr>
                <w:sz w:val="28"/>
              </w:rPr>
              <w:t>42.392</w:t>
            </w:r>
          </w:p>
        </w:tc>
        <w:tc>
          <w:tcPr>
            <w:tcW w:w="1771"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3.45</w:t>
            </w:r>
          </w:p>
        </w:tc>
      </w:tr>
      <w:tr>
        <w:tblPrEx>
          <w:tblCellMar>
            <w:top w:w="0" w:type="dxa"/>
            <w:left w:w="108" w:type="dxa"/>
            <w:bottom w:w="0" w:type="dxa"/>
            <w:right w:w="108" w:type="dxa"/>
          </w:tblCellMar>
        </w:tblPrEx>
        <w:trPr>
          <w:trHeight w:val="706" w:hRule="atLeast"/>
          <w:jc w:val="center"/>
        </w:trPr>
        <w:tc>
          <w:tcPr>
            <w:tcW w:w="1134" w:type="dxa"/>
            <w:vMerge w:val="continue"/>
            <w:tcBorders>
              <w:top w:val="nil"/>
              <w:left w:val="single" w:color="auto" w:sz="8" w:space="0"/>
              <w:bottom w:val="single" w:color="000000" w:sz="8" w:space="0"/>
              <w:right w:val="single" w:color="auto" w:sz="4" w:space="0"/>
            </w:tcBorders>
            <w:vAlign w:val="center"/>
          </w:tcPr>
          <w:p>
            <w:pPr>
              <w:ind w:firstLine="0" w:firstLineChars="0"/>
              <w:jc w:val="center"/>
              <w:rPr>
                <w:rFonts w:cs="Times New Roman"/>
                <w:sz w:val="28"/>
                <w:szCs w:val="28"/>
              </w:rPr>
            </w:pPr>
          </w:p>
        </w:tc>
        <w:tc>
          <w:tcPr>
            <w:tcW w:w="2677" w:type="dxa"/>
            <w:tcBorders>
              <w:top w:val="nil"/>
              <w:left w:val="nil"/>
              <w:bottom w:val="single" w:color="auto" w:sz="8" w:space="0"/>
              <w:right w:val="single" w:color="auto" w:sz="4" w:space="0"/>
            </w:tcBorders>
            <w:shd w:val="clear" w:color="auto" w:fill="auto"/>
            <w:noWrap/>
            <w:vAlign w:val="center"/>
          </w:tcPr>
          <w:p>
            <w:pPr>
              <w:ind w:firstLine="0" w:firstLineChars="0"/>
              <w:jc w:val="center"/>
              <w:rPr>
                <w:rFonts w:cs="Times New Roman"/>
                <w:sz w:val="28"/>
                <w:szCs w:val="28"/>
              </w:rPr>
            </w:pPr>
            <w:r>
              <w:rPr>
                <w:rFonts w:cs="Times New Roman"/>
                <w:sz w:val="28"/>
                <w:szCs w:val="28"/>
              </w:rPr>
              <w:t>未铺装路面</w:t>
            </w:r>
          </w:p>
        </w:tc>
        <w:tc>
          <w:tcPr>
            <w:tcW w:w="3065" w:type="dxa"/>
            <w:tcBorders>
              <w:top w:val="nil"/>
              <w:left w:val="nil"/>
              <w:bottom w:val="single" w:color="auto" w:sz="8" w:space="0"/>
              <w:right w:val="single" w:color="auto" w:sz="4" w:space="0"/>
            </w:tcBorders>
            <w:shd w:val="clear" w:color="auto" w:fill="auto"/>
            <w:noWrap/>
            <w:vAlign w:val="center"/>
          </w:tcPr>
          <w:p>
            <w:pPr>
              <w:ind w:firstLine="0" w:firstLineChars="0"/>
              <w:jc w:val="center"/>
              <w:rPr>
                <w:sz w:val="28"/>
              </w:rPr>
            </w:pPr>
            <w:r>
              <w:rPr>
                <w:sz w:val="28"/>
              </w:rPr>
              <w:t>11.454</w:t>
            </w:r>
          </w:p>
        </w:tc>
        <w:tc>
          <w:tcPr>
            <w:tcW w:w="1771" w:type="dxa"/>
            <w:tcBorders>
              <w:top w:val="nil"/>
              <w:left w:val="nil"/>
              <w:bottom w:val="single" w:color="auto" w:sz="8" w:space="0"/>
              <w:right w:val="single" w:color="auto" w:sz="8" w:space="0"/>
            </w:tcBorders>
            <w:shd w:val="clear" w:color="auto" w:fill="auto"/>
            <w:noWrap/>
            <w:vAlign w:val="center"/>
          </w:tcPr>
          <w:p>
            <w:pPr>
              <w:ind w:firstLine="0" w:firstLineChars="0"/>
              <w:jc w:val="center"/>
              <w:rPr>
                <w:rFonts w:eastAsia="等线" w:cs="Times New Roman"/>
                <w:sz w:val="28"/>
                <w:szCs w:val="28"/>
              </w:rPr>
            </w:pPr>
            <w:r>
              <w:rPr>
                <w:rFonts w:eastAsia="等线" w:cs="Times New Roman"/>
                <w:sz w:val="28"/>
                <w:szCs w:val="28"/>
              </w:rPr>
              <w:t>1.17</w:t>
            </w:r>
          </w:p>
        </w:tc>
      </w:tr>
    </w:tbl>
    <w:p>
      <w:pPr>
        <w:pStyle w:val="4"/>
        <w:ind w:firstLine="602" w:firstLineChars="200"/>
        <w:rPr>
          <w:rFonts w:cs="Times New Roman"/>
          <w:bCs w:val="0"/>
        </w:rPr>
      </w:pPr>
      <w:bookmarkStart w:id="67" w:name="_Toc49243382"/>
      <w:bookmarkStart w:id="68" w:name="_Toc49243308"/>
      <w:bookmarkStart w:id="69" w:name="_Toc488330220"/>
      <w:bookmarkStart w:id="70" w:name="_Toc402516459"/>
      <w:bookmarkStart w:id="71" w:name="_Toc488330133"/>
      <w:bookmarkStart w:id="72" w:name="_Toc236817664"/>
      <w:r>
        <w:rPr>
          <w:rFonts w:cs="Times New Roman"/>
          <w:bCs w:val="0"/>
        </w:rPr>
        <w:t>农村公路发展现状</w:t>
      </w:r>
      <w:bookmarkEnd w:id="67"/>
      <w:bookmarkEnd w:id="68"/>
    </w:p>
    <w:bookmarkEnd w:id="69"/>
    <w:bookmarkEnd w:id="70"/>
    <w:bookmarkEnd w:id="71"/>
    <w:bookmarkEnd w:id="72"/>
    <w:p>
      <w:pPr>
        <w:spacing w:line="360" w:lineRule="auto"/>
        <w:ind w:firstLine="640"/>
        <w:rPr>
          <w:rFonts w:cs="Times New Roman"/>
          <w:szCs w:val="28"/>
        </w:rPr>
      </w:pPr>
      <w:r>
        <w:rPr>
          <w:rFonts w:hint="eastAsia" w:cs="Times New Roman"/>
          <w:szCs w:val="28"/>
          <w:lang w:eastAsia="zh-CN"/>
        </w:rPr>
        <w:t>“十三五”</w:t>
      </w:r>
      <w:r>
        <w:rPr>
          <w:rFonts w:cs="Times New Roman"/>
          <w:szCs w:val="28"/>
        </w:rPr>
        <w:t>实施以来，阳城县的农村公路事业取得了较好的成绩，得到了前所未有的飞速发展，但仍不能适应改革开</w:t>
      </w:r>
      <w:r>
        <w:rPr>
          <w:rFonts w:hint="eastAsia" w:cs="Times New Roman"/>
          <w:szCs w:val="28"/>
          <w:lang w:eastAsia="zh-CN"/>
        </w:rPr>
        <w:t>放</w:t>
      </w:r>
      <w:r>
        <w:rPr>
          <w:rFonts w:cs="Times New Roman"/>
          <w:szCs w:val="28"/>
        </w:rPr>
        <w:t>和经济发展的要求，公路的建设还远滞后经济的增长，仍然是阳城县经济快速发展的制约因素。</w:t>
      </w:r>
    </w:p>
    <w:p>
      <w:pPr>
        <w:spacing w:line="360" w:lineRule="auto"/>
        <w:ind w:firstLine="640"/>
        <w:rPr>
          <w:rFonts w:cs="Times New Roman"/>
          <w:szCs w:val="28"/>
        </w:rPr>
      </w:pPr>
      <w:r>
        <w:rPr>
          <w:rFonts w:cs="Times New Roman"/>
          <w:szCs w:val="28"/>
        </w:rPr>
        <w:t>1、建设养护资金投入不足，农村公路供给需求矛盾突出。</w:t>
      </w:r>
    </w:p>
    <w:p>
      <w:pPr>
        <w:spacing w:line="360" w:lineRule="auto"/>
        <w:ind w:firstLine="640"/>
        <w:rPr>
          <w:rFonts w:cs="Times New Roman"/>
        </w:rPr>
      </w:pPr>
      <w:r>
        <w:rPr>
          <w:rFonts w:cs="Times New Roman"/>
          <w:szCs w:val="28"/>
        </w:rPr>
        <w:t>2009年，随着我国成品油价格和税费改革的实施，二级及以下收费公路、汽车养路费逐步取消，资金来源发生了重要变化，中央财政转移支付的成品油消费税、车辆</w:t>
      </w:r>
      <w:r>
        <w:rPr>
          <w:rFonts w:cs="Times New Roman"/>
        </w:rPr>
        <w:t>购置税以及地方财政成为农村公路资金的主要来源。阳城县地形条件较为复杂，农村公路桥隧比例大，养护工作任务重，建设养护补助资金标准低，难以覆盖成本，资金来源渠道单一，配套资金落实难度大。</w:t>
      </w:r>
    </w:p>
    <w:p>
      <w:pPr>
        <w:ind w:firstLine="640"/>
        <w:rPr>
          <w:rFonts w:cs="Times New Roman"/>
        </w:rPr>
      </w:pPr>
      <w:r>
        <w:rPr>
          <w:rFonts w:cs="Times New Roman"/>
        </w:rPr>
        <w:t>2、缺乏科学规划指导，建设养护技术力量薄弱。</w:t>
      </w:r>
    </w:p>
    <w:p>
      <w:pPr>
        <w:ind w:firstLine="640"/>
        <w:rPr>
          <w:rFonts w:cs="Times New Roman"/>
        </w:rPr>
      </w:pPr>
      <w:r>
        <w:rPr>
          <w:rFonts w:cs="Times New Roman"/>
        </w:rPr>
        <w:t>农村公路路网规划缺乏科学合理性，与当地人口、经济规模、自然条件、产业结构、土地开发利用及城镇建设规划等融合度衔接不紧密。</w:t>
      </w:r>
    </w:p>
    <w:p>
      <w:pPr>
        <w:ind w:firstLine="640"/>
        <w:rPr>
          <w:rFonts w:cs="Times New Roman"/>
        </w:rPr>
      </w:pPr>
      <w:r>
        <w:rPr>
          <w:rFonts w:cs="Times New Roman"/>
        </w:rPr>
        <w:t>养护管理生产技术力量薄弱，专业化、市场化程度低。养护管理责任落实不到位，农村公路安全水平、通行能力、耐久性较弱，超载超限车辆和高速公路施工等导致农村公路损坏严重。在部分矿产资源丰富的县市，为节省通行费或躲避治超站、煤检站而绕行农村公路现象频发，重载车辆的增加大大超过路面设计荷载，超重超限致使许多路段路面严重损坏，水泥路面出现严重断板破碎，“油返砂”、“通返不通”现象比较严重。</w:t>
      </w:r>
    </w:p>
    <w:p>
      <w:pPr>
        <w:ind w:firstLine="640"/>
        <w:rPr>
          <w:rFonts w:cs="Times New Roman"/>
        </w:rPr>
      </w:pPr>
      <w:r>
        <w:rPr>
          <w:rFonts w:cs="Times New Roman"/>
        </w:rPr>
        <w:t>养护生产技术力量薄弱，农村公路抗灾能力差。阳城县地形条件较为复杂，技术等级偏低，缺桥少涵，抗自然灾害能力弱。养护生产技术力量严重不足，养护技术人员相对偏少，养护经验欠缺、机械设备匮乏，公路养护整体科技含量不高，掌握新材料、新技术和新工艺的能力差，养护管理水平低等因素在很大程度上降低了养护效率和质量，制约了农村公路管理养护工作的正常开展。</w:t>
      </w:r>
    </w:p>
    <w:p>
      <w:pPr>
        <w:ind w:firstLine="640"/>
        <w:rPr>
          <w:rFonts w:cs="Times New Roman"/>
        </w:rPr>
      </w:pPr>
      <w:r>
        <w:rPr>
          <w:rFonts w:cs="Times New Roman"/>
        </w:rPr>
        <w:t>3、公路损坏严重，安防工程和危桥改造缓慢，“通返不通”现象突出。</w:t>
      </w:r>
    </w:p>
    <w:p>
      <w:pPr>
        <w:ind w:firstLine="640"/>
        <w:rPr>
          <w:rFonts w:cs="Times New Roman"/>
        </w:rPr>
      </w:pPr>
      <w:r>
        <w:rPr>
          <w:rFonts w:cs="Times New Roman"/>
        </w:rPr>
        <w:t>山西省农村公路大多依山临崖而建，急弯陡坡，建设标准低，安全防护设施缺失，加之属于煤炭大省，重车较多使得桥梁损坏严重。乡村公路大都未能实施公路安防工程，农村公路安全隐患路段也未能及时进行全面排查，尤其是通行客运班线和接送学生车辆集中的农村公路急弯陡坡、临水临崖等重点路段存在严重隐患。</w:t>
      </w:r>
    </w:p>
    <w:p>
      <w:pPr>
        <w:ind w:firstLine="640"/>
        <w:rPr>
          <w:rFonts w:cs="Times New Roman"/>
        </w:rPr>
      </w:pPr>
      <w:r>
        <w:rPr>
          <w:rFonts w:cs="Times New Roman"/>
        </w:rPr>
        <w:t>近年来由于交通量增加，养护资金缺乏、超载车辆增加等原因，部分县道路面破损、油返沙病害严重、危桥数量增加，“通而不畅”严重影响了行车的舒适性和安全性。</w:t>
      </w:r>
    </w:p>
    <w:p>
      <w:pPr>
        <w:ind w:firstLine="640"/>
        <w:rPr>
          <w:rFonts w:cs="Times New Roman"/>
        </w:rPr>
      </w:pPr>
      <w:r>
        <w:rPr>
          <w:rFonts w:cs="Times New Roman"/>
        </w:rPr>
        <w:t>超载超限车辆导致的损坏。在部分矿产丰富的县，煤车、矿车等较多，为节省通行费或躲避治超站、煤检站而绕行农村公路，加之农村生产发展导致重载车辆增加，大大超过路面设计荷载，许多路段路面严重损坏，油路变成了土路，水泥路面出现严重断板破碎，“通返不通”现象比较严重。</w:t>
      </w:r>
    </w:p>
    <w:p>
      <w:pPr>
        <w:ind w:firstLine="640"/>
        <w:rPr>
          <w:rFonts w:cs="Times New Roman"/>
        </w:rPr>
      </w:pPr>
      <w:r>
        <w:rPr>
          <w:rFonts w:cs="Times New Roman"/>
        </w:rPr>
        <w:t>自然灾害导致的损害。由于山西省地形复杂，加上“冬季积雪夏季山洪”的气候特征，自然灾害对道路损坏严重。一是冬季冰雪冻融对水泥路面造成的损害，加之上述超载超限车辆和高速公路施工的破坏，造成路面功能退化，部分路面出现“返砂”现象。二是由于缺涵少桥，季节性的宽浅河流修建过水路面，在洪水季节，山洪冲毁路面灾害频发。</w:t>
      </w:r>
    </w:p>
    <w:p>
      <w:pPr>
        <w:tabs>
          <w:tab w:val="left" w:pos="913"/>
        </w:tabs>
        <w:ind w:firstLine="640"/>
        <w:rPr>
          <w:rFonts w:cs="Times New Roman"/>
        </w:rPr>
      </w:pPr>
      <w:r>
        <w:rPr>
          <w:rFonts w:cs="Times New Roman"/>
        </w:rPr>
        <w:t>4、旅游公路服务水平低，不能满足旅游运输交通需求。</w:t>
      </w:r>
    </w:p>
    <w:p>
      <w:pPr>
        <w:tabs>
          <w:tab w:val="left" w:pos="913"/>
        </w:tabs>
        <w:spacing w:line="360" w:lineRule="auto"/>
        <w:ind w:firstLine="640"/>
        <w:rPr>
          <w:rFonts w:cs="Times New Roman"/>
        </w:rPr>
      </w:pPr>
      <w:r>
        <w:rPr>
          <w:rFonts w:cs="Times New Roman"/>
        </w:rPr>
        <w:t>旅游资源受道路条件的限制，与区域旅游景点没有形成环线，没有形成规模，且由于旅游公路等级低，交通不便利，不能很好发挥阳城县旅游的优势。</w:t>
      </w:r>
    </w:p>
    <w:p>
      <w:pPr>
        <w:tabs>
          <w:tab w:val="left" w:pos="913"/>
        </w:tabs>
        <w:ind w:firstLine="640"/>
        <w:rPr>
          <w:rFonts w:cs="Times New Roman"/>
        </w:rPr>
      </w:pPr>
      <w:r>
        <w:rPr>
          <w:rFonts w:cs="Times New Roman"/>
        </w:rPr>
        <w:t>5、生态林区公路不完善，不能满足安全防火要求。</w:t>
      </w:r>
    </w:p>
    <w:p>
      <w:pPr>
        <w:tabs>
          <w:tab w:val="left" w:pos="913"/>
        </w:tabs>
        <w:spacing w:line="360" w:lineRule="auto"/>
        <w:ind w:firstLine="640"/>
        <w:rPr>
          <w:rFonts w:cs="Times New Roman"/>
        </w:rPr>
      </w:pPr>
      <w:r>
        <w:rPr>
          <w:rFonts w:cs="Times New Roman"/>
        </w:rPr>
        <w:t>境内林区丰富，但受地形条件的制约，通往林区公路等级偏低，且未形成循环，一旦发生森林火灾，难以快速有效地抵达现场。与快速机动的消防要求相比，目前的林区公路尚不完善。</w:t>
      </w:r>
    </w:p>
    <w:p>
      <w:pPr>
        <w:tabs>
          <w:tab w:val="left" w:pos="913"/>
        </w:tabs>
        <w:ind w:firstLine="640"/>
        <w:rPr>
          <w:rFonts w:cs="Times New Roman"/>
        </w:rPr>
      </w:pPr>
      <w:r>
        <w:rPr>
          <w:rFonts w:cs="Times New Roman"/>
        </w:rPr>
        <w:t>6、人文关怀欠缺，安保设施有待强化。</w:t>
      </w:r>
    </w:p>
    <w:p>
      <w:pPr>
        <w:tabs>
          <w:tab w:val="left" w:pos="913"/>
        </w:tabs>
        <w:spacing w:line="360" w:lineRule="auto"/>
        <w:ind w:firstLine="640"/>
        <w:rPr>
          <w:rFonts w:cs="Times New Roman"/>
        </w:rPr>
      </w:pPr>
      <w:r>
        <w:rPr>
          <w:rFonts w:cs="Times New Roman"/>
        </w:rPr>
        <w:t>从配套设施来看，排水设施不健全，雨天一身泥，晴天一身灰的现状没有根本解决；安全设施不完善，好多坡陡弯急路段没有配套防护设施，容易形成交通事故。</w:t>
      </w:r>
    </w:p>
    <w:p>
      <w:pPr>
        <w:ind w:firstLine="640"/>
        <w:rPr>
          <w:rFonts w:cs="Times New Roman"/>
        </w:rPr>
      </w:pPr>
    </w:p>
    <w:p>
      <w:pPr>
        <w:ind w:firstLine="640"/>
        <w:rPr>
          <w:rFonts w:cs="Times New Roman"/>
        </w:rPr>
      </w:pPr>
    </w:p>
    <w:p>
      <w:pPr>
        <w:ind w:firstLine="640"/>
        <w:rPr>
          <w:rFonts w:cs="Times New Roman"/>
        </w:rPr>
      </w:pPr>
    </w:p>
    <w:p>
      <w:pPr>
        <w:ind w:firstLine="640"/>
        <w:rPr>
          <w:rFonts w:cs="Times New Roman"/>
        </w:rPr>
        <w:sectPr>
          <w:headerReference r:id="rId15" w:type="default"/>
          <w:pgSz w:w="11906" w:h="16838"/>
          <w:pgMar w:top="1701" w:right="1531" w:bottom="1531" w:left="1531" w:header="851" w:footer="992" w:gutter="0"/>
          <w:cols w:space="425" w:num="1"/>
          <w:docGrid w:type="lines" w:linePitch="312" w:charSpace="0"/>
        </w:sectPr>
      </w:pPr>
    </w:p>
    <w:p>
      <w:pPr>
        <w:pStyle w:val="2"/>
        <w:spacing w:before="156" w:after="156"/>
        <w:ind w:left="851"/>
        <w:rPr>
          <w:rFonts w:cs="Times New Roman"/>
        </w:rPr>
      </w:pPr>
      <w:bookmarkStart w:id="73" w:name="_Toc49243309"/>
      <w:bookmarkStart w:id="74" w:name="_Toc49243383"/>
      <w:r>
        <w:rPr>
          <w:rFonts w:cs="Times New Roman"/>
        </w:rPr>
        <w:t>发展形势</w:t>
      </w:r>
      <w:bookmarkEnd w:id="73"/>
      <w:bookmarkEnd w:id="74"/>
    </w:p>
    <w:p>
      <w:pPr>
        <w:pStyle w:val="3"/>
        <w:ind w:firstLine="640"/>
        <w:rPr>
          <w:rFonts w:cs="Times New Roman"/>
        </w:rPr>
      </w:pPr>
      <w:bookmarkStart w:id="75" w:name="_Toc49243310"/>
      <w:bookmarkStart w:id="76" w:name="_Toc49243384"/>
      <w:r>
        <w:rPr>
          <w:rFonts w:eastAsia="方正楷体简体" w:cs="Times New Roman"/>
          <w:bCs w:val="0"/>
        </w:rPr>
        <w:t>经济社会发展形势</w:t>
      </w:r>
      <w:bookmarkEnd w:id="75"/>
      <w:bookmarkEnd w:id="76"/>
    </w:p>
    <w:p>
      <w:pPr>
        <w:pStyle w:val="4"/>
        <w:ind w:firstLine="602"/>
        <w:rPr>
          <w:rFonts w:cs="Times New Roman"/>
        </w:rPr>
      </w:pPr>
      <w:bookmarkStart w:id="77" w:name="_Toc49243385"/>
      <w:bookmarkStart w:id="78" w:name="_Toc49243311"/>
      <w:r>
        <w:rPr>
          <w:rFonts w:cs="Times New Roman"/>
        </w:rPr>
        <w:t>经济社会发展相关规划</w:t>
      </w:r>
      <w:bookmarkEnd w:id="77"/>
      <w:bookmarkEnd w:id="78"/>
    </w:p>
    <w:p>
      <w:pPr>
        <w:ind w:firstLine="640"/>
        <w:rPr>
          <w:rFonts w:cs="Times New Roman"/>
        </w:rPr>
      </w:pPr>
      <w:r>
        <w:rPr>
          <w:rFonts w:hint="eastAsia" w:cs="Times New Roman"/>
        </w:rPr>
        <w:t>2021-2025年是我国国民经济和社会发展</w:t>
      </w:r>
      <w:r>
        <w:rPr>
          <w:rFonts w:hint="eastAsia" w:cs="Times New Roman"/>
          <w:lang w:eastAsia="zh-CN"/>
        </w:rPr>
        <w:t>第十四个五年规划</w:t>
      </w:r>
      <w:r>
        <w:rPr>
          <w:rFonts w:hint="eastAsia" w:cs="Times New Roman"/>
        </w:rPr>
        <w:t>时期，“十四五”时期，是我国由</w:t>
      </w:r>
      <w:r>
        <w:rPr>
          <w:rFonts w:hint="eastAsia" w:cs="Times New Roman"/>
          <w:lang w:eastAsia="zh-CN"/>
        </w:rPr>
        <w:t>全面建成小康社会</w:t>
      </w:r>
      <w:r>
        <w:rPr>
          <w:rFonts w:hint="eastAsia" w:cs="Times New Roman"/>
        </w:rPr>
        <w:t>向基本实现社会主义现代化迈进的关键时期，“两个一百年”奋斗目标的历史交汇期，也是全面开启社会主义现代化强国建设新征程的重要机遇期，对我国国民经济和社会发展具有重要的意义。</w:t>
      </w:r>
    </w:p>
    <w:p>
      <w:pPr>
        <w:ind w:firstLine="640"/>
        <w:rPr>
          <w:rFonts w:cs="Times New Roman"/>
        </w:rPr>
      </w:pPr>
      <w:r>
        <w:rPr>
          <w:rFonts w:hint="eastAsia" w:cs="Times New Roman"/>
        </w:rPr>
        <w:t>以习近平新时代中国特色社会主义思想为指导，全面贯彻党的十九大和十九届二中、三中全会精神，全面加强党的领导，坚持以人民为中心的发展思想，牢固树立新发展理念，落实高质量发展要求，理顺规划关系，统一规划体系，完善规划管理，提高规划质量，强化政策协同，健全实施机制，加快建立制度健全、科学规范、运行有效的规划体制，更好发挥国家发展规划的战略导向作用，为创新和完善宏观调控、推进国家治理体系和治理能力现代化、建设社会主义现代化强国提供有力支撑。</w:t>
      </w:r>
    </w:p>
    <w:p>
      <w:pPr>
        <w:ind w:firstLine="640"/>
        <w:rPr>
          <w:rFonts w:cs="Times New Roman"/>
        </w:rPr>
      </w:pPr>
      <w:r>
        <w:rPr>
          <w:rFonts w:hint="eastAsia" w:cs="Times New Roman"/>
        </w:rPr>
        <w:t>“十四五”时期，我们将围绕推进经济高质量发展这一主要目标，建立以企业为主体、市场为导向、产学研深度融合的产业体制，促进科研成果转化；重视市场在资源配置中的决定性作用，建立准入畅通、开放有序的市场体系，提高生产资料与劳动力的配置效率；促进资源节约、环境友好、规范有序的绿色发展体系建设，使高污染、高能耗、生产方式不符合环保标准的企业退出市场；实施对外开放和境内开放，加快要素市场深度拓展开放，建立结构优化、效益提升的全面开放体系。将</w:t>
      </w:r>
      <w:r>
        <w:rPr>
          <w:rFonts w:cs="Times New Roman"/>
        </w:rPr>
        <w:t>产业结构更加合理，农业现代化迈出新步伐，传统产业巩固提升，新兴产业加快发展，服务业比重稳步提升，区域经济综合实力明显增强。人民生活水平明显提高。新型城镇化加速推进，户籍人口城镇化率明显提高。就业、教育、医疗、社保、住房等公共服务体系更加健全，公共事业普惠水平逐步提升。率先实现区域整体脱贫、贫困人口稳定脱贫，与全市同步迈入小康社会。社会文明程度不断提升。社会主义核心价值观深入人心，群众思想道德素质、科学文化素质明显提高。艰苦奋斗、吃苦耐劳的老区精神广泛弘扬，向上向善、诚信互助的社会风尚更加浓厚。生态治理取得较大进展。生态脆弱区治理取得明显成效，主要污染物减排、能源和水资源消耗完成控制目标，建设用地、碳排放得到有效控制，空气质量进一步改善，林草覆盖率进一步提高。绿色低碳生产生活水平明显提升，美丽乡村建设取得积极进展，人居环境明显改善。民主法治建设有序推进。</w:t>
      </w:r>
    </w:p>
    <w:p>
      <w:pPr>
        <w:ind w:firstLine="640"/>
        <w:rPr>
          <w:rFonts w:cs="Times New Roman"/>
        </w:rPr>
      </w:pPr>
      <w:r>
        <w:rPr>
          <w:rFonts w:hint="eastAsia" w:cs="Times New Roman"/>
        </w:rPr>
        <w:t>根据建设安全高效、智能绿色、互联互通的现代基础设施网络重要任务，强化基础设施领域补短板力度，补齐铁路、公路、水运、机场等领域短板，提升基础设施供给质量，加快推进基础设施建设的重大项目；完善基础设施建设领域的配套政策措施；尤其是对于农村地区，加强农村饮水、道路、用电、住房、物流、信息网络等基础设施建设，使得基础设施通达程度逐渐均衡，在城乡融合发展中，让基础设施建设先行，进一步增强基础设施对促进城乡和区域协调发展、改善民生等方面的支撑作用，更好发挥对经济社会发展的支撑引领作用。</w:t>
      </w:r>
    </w:p>
    <w:p>
      <w:pPr>
        <w:pStyle w:val="4"/>
        <w:rPr>
          <w:rFonts w:cs="Times New Roman"/>
        </w:rPr>
      </w:pPr>
      <w:bookmarkStart w:id="79" w:name="_Toc49243386"/>
      <w:bookmarkStart w:id="80" w:name="_Toc49243312"/>
      <w:r>
        <w:rPr>
          <w:rFonts w:cs="Times New Roman"/>
        </w:rPr>
        <w:t>经济社会发展</w:t>
      </w:r>
      <w:bookmarkEnd w:id="79"/>
      <w:bookmarkEnd w:id="80"/>
      <w:r>
        <w:rPr>
          <w:rFonts w:hint="eastAsia" w:cs="Times New Roman"/>
        </w:rPr>
        <w:t>预测</w:t>
      </w:r>
    </w:p>
    <w:p>
      <w:pPr>
        <w:ind w:firstLine="640"/>
      </w:pPr>
      <w:r>
        <w:rPr>
          <w:rFonts w:hint="eastAsia"/>
        </w:rPr>
        <w:t>经济定量预测的方法和模型有很多，各种方法的考虑角度不同，因此都各有优缺点。本报告根据掌握的规划相关区域的历年社会经济数据，采用多项式回归、对数回归、指数回归等方法对数据进行分析，对阳城县的人口和GDP进行预测。</w:t>
      </w:r>
    </w:p>
    <w:p>
      <w:pPr>
        <w:ind w:left="640" w:firstLine="0" w:firstLineChars="0"/>
      </w:pPr>
      <w:r>
        <w:rPr>
          <w:rFonts w:hint="eastAsia"/>
        </w:rPr>
        <w:t>1、人口发展预测</w:t>
      </w:r>
    </w:p>
    <w:p>
      <w:pPr>
        <w:ind w:firstLine="640"/>
      </w:pPr>
      <w:r>
        <w:rPr>
          <w:rFonts w:hint="eastAsia"/>
        </w:rPr>
        <w:t>时间序列回归分析模型是根据实物发展的时间发展变化规律，对事物发展运用趋势外推方法建立模型而进行预测的一种预测模型，回归分析模型有线性模型和非线性模型两种。</w:t>
      </w:r>
    </w:p>
    <w:p>
      <w:pPr>
        <w:ind w:firstLine="640"/>
      </w:pPr>
      <w:r>
        <w:rPr>
          <w:rFonts w:hint="eastAsia"/>
        </w:rPr>
        <w:t>对于历史数据序列</w:t>
      </w:r>
      <w:r>
        <w:rPr>
          <w:position w:val="-14"/>
        </w:rPr>
        <w:object>
          <v:shape id="_x0000_i1029" o:spt="75" type="#_x0000_t75" style="height:21.9pt;width:93.9pt;" o:ole="t" filled="f" o:preferrelative="t" stroked="f" coordsize="21600,21600">
            <v:path/>
            <v:fill on="f" focussize="0,0"/>
            <v:stroke on="f" joinstyle="miter"/>
            <v:imagedata r:id="rId62" o:title=""/>
            <o:lock v:ext="edit" aspectratio="t"/>
            <w10:wrap type="none"/>
            <w10:anchorlock/>
          </v:shape>
          <o:OLEObject Type="Embed" ProgID="Equation.DSMT4" ShapeID="_x0000_i1029" DrawAspect="Content" ObjectID="_1468075729" r:id="rId61">
            <o:LockedField>false</o:LockedField>
          </o:OLEObject>
        </w:object>
      </w:r>
      <w:r>
        <w:rPr>
          <w:rFonts w:hint="eastAsia"/>
        </w:rPr>
        <w:t>，</w:t>
      </w:r>
    </w:p>
    <w:p>
      <w:pPr>
        <w:ind w:firstLine="640"/>
      </w:pPr>
      <w:r>
        <w:rPr>
          <w:rFonts w:hint="eastAsia"/>
        </w:rPr>
        <w:t>对应时间序列</w:t>
      </w:r>
      <w:r>
        <w:rPr>
          <w:position w:val="-14"/>
        </w:rPr>
        <w:object>
          <v:shape id="_x0000_i1030" o:spt="75" type="#_x0000_t75" style="height:21.9pt;width:86.4pt;" o:ole="t" filled="f" o:preferrelative="t" stroked="f" coordsize="21600,21600">
            <v:path/>
            <v:fill on="f" focussize="0,0"/>
            <v:stroke on="f" joinstyle="miter"/>
            <v:imagedata r:id="rId64" o:title=""/>
            <o:lock v:ext="edit" aspectratio="t"/>
            <w10:wrap type="none"/>
            <w10:anchorlock/>
          </v:shape>
          <o:OLEObject Type="Embed" ProgID="Equation.DSMT4" ShapeID="_x0000_i1030" DrawAspect="Content" ObjectID="_1468075730" r:id="rId63">
            <o:LockedField>false</o:LockedField>
          </o:OLEObject>
        </w:object>
      </w:r>
      <w:r>
        <w:rPr>
          <w:rFonts w:hint="eastAsia"/>
        </w:rPr>
        <w:t>，</w:t>
      </w:r>
    </w:p>
    <w:p>
      <w:pPr>
        <w:ind w:firstLine="640"/>
      </w:pPr>
      <w:r>
        <w:rPr>
          <w:rFonts w:hint="eastAsia"/>
        </w:rPr>
        <w:t>若序列</w:t>
      </w:r>
      <w:r>
        <w:rPr>
          <w:position w:val="-4"/>
        </w:rPr>
        <w:object>
          <v:shape id="_x0000_i1031" o:spt="75" type="#_x0000_t75" style="height:14.4pt;width:14.4pt;" o:ole="t" filled="f" o:preferrelative="t" stroked="f" coordsize="21600,21600">
            <v:path/>
            <v:fill on="f" focussize="0,0"/>
            <v:stroke on="f" joinstyle="miter"/>
            <v:imagedata r:id="rId66" o:title=""/>
            <o:lock v:ext="edit" aspectratio="t"/>
            <w10:wrap type="none"/>
            <w10:anchorlock/>
          </v:shape>
          <o:OLEObject Type="Embed" ProgID="Equation.DSMT4" ShapeID="_x0000_i1031" DrawAspect="Content" ObjectID="_1468075731" r:id="rId65">
            <o:LockedField>false</o:LockedField>
          </o:OLEObject>
        </w:object>
      </w:r>
      <w:r>
        <w:rPr>
          <w:rFonts w:hint="eastAsia"/>
        </w:rPr>
        <w:t>的变化规律与</w:t>
      </w:r>
      <w:r>
        <w:rPr>
          <w:position w:val="-4"/>
        </w:rPr>
        <w:object>
          <v:shape id="_x0000_i1032" o:spt="75" type="#_x0000_t75" style="height:14.4pt;width:14.4pt;" o:ole="t" filled="f" o:preferrelative="t" stroked="f" coordsize="21600,21600">
            <v:path/>
            <v:fill on="f" focussize="0,0"/>
            <v:stroke on="f" joinstyle="miter"/>
            <v:imagedata r:id="rId68" o:title=""/>
            <o:lock v:ext="edit" aspectratio="t"/>
            <w10:wrap type="none"/>
            <w10:anchorlock/>
          </v:shape>
          <o:OLEObject Type="Embed" ProgID="Equation.DSMT4" ShapeID="_x0000_i1032" DrawAspect="Content" ObjectID="_1468075732" r:id="rId67">
            <o:LockedField>false</o:LockedField>
          </o:OLEObject>
        </w:object>
      </w:r>
      <w:r>
        <w:rPr>
          <w:rFonts w:hint="eastAsia"/>
        </w:rPr>
        <w:t>的变化呈线性关系，则线性回归模型为：</w:t>
      </w:r>
    </w:p>
    <w:p>
      <w:pPr>
        <w:ind w:firstLine="0" w:firstLineChars="0"/>
        <w:jc w:val="center"/>
      </w:pPr>
      <w:r>
        <w:rPr>
          <w:position w:val="-6"/>
        </w:rPr>
        <w:object>
          <v:shape id="_x0000_i1033" o:spt="75" type="#_x0000_t75" style="height:14.4pt;width:57.6pt;" o:ole="t" filled="f" o:preferrelative="t" stroked="f" coordsize="21600,21600">
            <v:path/>
            <v:fill on="f" focussize="0,0"/>
            <v:stroke on="f" joinstyle="miter"/>
            <v:imagedata r:id="rId70" o:title=""/>
            <o:lock v:ext="edit" aspectratio="t"/>
            <w10:wrap type="none"/>
            <w10:anchorlock/>
          </v:shape>
          <o:OLEObject Type="Embed" ProgID="Equation.DSMT4" ShapeID="_x0000_i1033" DrawAspect="Content" ObjectID="_1468075733" r:id="rId69">
            <o:LockedField>false</o:LockedField>
          </o:OLEObject>
        </w:object>
      </w:r>
    </w:p>
    <w:p>
      <w:pPr>
        <w:ind w:firstLine="640"/>
      </w:pPr>
      <w:r>
        <w:rPr>
          <w:rFonts w:hint="eastAsia"/>
        </w:rPr>
        <w:t>若序列</w:t>
      </w:r>
      <w:r>
        <w:rPr>
          <w:position w:val="-4"/>
        </w:rPr>
        <w:object>
          <v:shape id="_x0000_i1034" o:spt="75" type="#_x0000_t75" style="height:14.4pt;width:14.4pt;" o:ole="t" filled="f" o:preferrelative="t" stroked="f" coordsize="21600,21600">
            <v:path/>
            <v:fill on="f" focussize="0,0"/>
            <v:stroke on="f" joinstyle="miter"/>
            <v:imagedata r:id="rId66" o:title=""/>
            <o:lock v:ext="edit" aspectratio="t"/>
            <w10:wrap type="none"/>
            <w10:anchorlock/>
          </v:shape>
          <o:OLEObject Type="Embed" ProgID="Equation.DSMT4" ShapeID="_x0000_i1034" DrawAspect="Content" ObjectID="_1468075734" r:id="rId71">
            <o:LockedField>false</o:LockedField>
          </o:OLEObject>
        </w:object>
      </w:r>
      <w:r>
        <w:rPr>
          <w:rFonts w:hint="eastAsia"/>
        </w:rPr>
        <w:t>的变化规律与</w:t>
      </w:r>
      <w:r>
        <w:rPr>
          <w:position w:val="-4"/>
        </w:rPr>
        <w:object>
          <v:shape id="_x0000_i1035" o:spt="75" type="#_x0000_t75" style="height:14.4pt;width:14.4pt;" o:ole="t" filled="f" o:preferrelative="t" stroked="f" coordsize="21600,21600">
            <v:path/>
            <v:fill on="f" focussize="0,0"/>
            <v:stroke on="f" joinstyle="miter"/>
            <v:imagedata r:id="rId68" o:title=""/>
            <o:lock v:ext="edit" aspectratio="t"/>
            <w10:wrap type="none"/>
            <w10:anchorlock/>
          </v:shape>
          <o:OLEObject Type="Embed" ProgID="Equation.DSMT4" ShapeID="_x0000_i1035" DrawAspect="Content" ObjectID="_1468075735" r:id="rId72">
            <o:LockedField>false</o:LockedField>
          </o:OLEObject>
        </w:object>
      </w:r>
      <w:r>
        <w:rPr>
          <w:rFonts w:hint="eastAsia"/>
        </w:rPr>
        <w:t>的变化呈现非线性关系，则曲线回归模型为：</w:t>
      </w:r>
    </w:p>
    <w:p>
      <w:pPr>
        <w:ind w:firstLine="0" w:firstLineChars="0"/>
        <w:jc w:val="center"/>
      </w:pPr>
      <w:r>
        <w:rPr>
          <w:position w:val="-6"/>
        </w:rPr>
        <w:object>
          <v:shape id="_x0000_i1036" o:spt="75" type="#_x0000_t75" style="height:14.4pt;width:129.6pt;" o:ole="t" filled="f" o:preferrelative="t" stroked="f" coordsize="21600,21600">
            <v:path/>
            <v:fill on="f" focussize="0,0"/>
            <v:stroke on="f" joinstyle="miter"/>
            <v:imagedata r:id="rId74" o:title=""/>
            <o:lock v:ext="edit" aspectratio="t"/>
            <w10:wrap type="none"/>
            <w10:anchorlock/>
          </v:shape>
          <o:OLEObject Type="Embed" ProgID="Equation.DSMT4" ShapeID="_x0000_i1036" DrawAspect="Content" ObjectID="_1468075736" r:id="rId73">
            <o:LockedField>false</o:LockedField>
          </o:OLEObject>
        </w:object>
      </w:r>
    </w:p>
    <w:p>
      <w:pPr>
        <w:ind w:firstLine="640"/>
      </w:pPr>
      <w:r>
        <w:rPr>
          <w:rFonts w:hint="eastAsia"/>
        </w:rPr>
        <w:t>式中：a、b、c、A为待定系数。</w:t>
      </w:r>
    </w:p>
    <w:p>
      <w:pPr>
        <w:ind w:firstLine="640"/>
      </w:pPr>
      <w:r>
        <w:rPr>
          <w:rFonts w:hint="eastAsia"/>
        </w:rPr>
        <w:t>为了选取合适的预测模型，需要对历史数据进行详细分析。本规划编制通过对阳城县历年人口数据的分析，发现选用二阶曲线和对数曲线对统计数据进行的拟合效果较好，因此选用二阶曲线作为预测分析模型对相关指标进行预测。区域预测回归模型见</w:t>
      </w:r>
      <w:r>
        <w:fldChar w:fldCharType="begin"/>
      </w:r>
      <w:r>
        <w:instrText xml:space="preserve"> </w:instrText>
      </w:r>
      <w:r>
        <w:rPr>
          <w:rFonts w:hint="eastAsia"/>
        </w:rPr>
        <w:instrText xml:space="preserve">REF _Ref41725668 \h</w:instrText>
      </w:r>
      <w:r>
        <w:instrText xml:space="preserve">  \* MERGEFORMAT </w:instrText>
      </w:r>
      <w:r>
        <w:fldChar w:fldCharType="separate"/>
      </w:r>
      <w:r>
        <w:rPr>
          <w:rFonts w:hint="eastAsia"/>
        </w:rPr>
        <w:t>表</w:t>
      </w:r>
      <w:r>
        <w:t>3-1</w:t>
      </w:r>
      <w:r>
        <w:fldChar w:fldCharType="end"/>
      </w:r>
      <w:r>
        <w:rPr>
          <w:rFonts w:hint="eastAsia"/>
        </w:rPr>
        <w:t>。</w:t>
      </w:r>
    </w:p>
    <w:p>
      <w:pPr>
        <w:adjustRightInd w:val="0"/>
        <w:snapToGrid w:val="0"/>
        <w:spacing w:before="62" w:beforeLines="20" w:after="62" w:afterLines="20"/>
        <w:ind w:firstLine="0" w:firstLineChars="0"/>
        <w:jc w:val="center"/>
        <w:rPr>
          <w:b/>
          <w:bCs/>
          <w:sz w:val="28"/>
          <w:szCs w:val="21"/>
        </w:rPr>
      </w:pPr>
      <w:bookmarkStart w:id="81" w:name="_Ref41725668"/>
      <w:bookmarkStart w:id="82" w:name="_Ref41725596"/>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1</w:t>
      </w:r>
      <w:r>
        <w:rPr>
          <w:b/>
          <w:bCs/>
          <w:sz w:val="28"/>
          <w:szCs w:val="21"/>
        </w:rPr>
        <w:fldChar w:fldCharType="end"/>
      </w:r>
      <w:bookmarkEnd w:id="81"/>
      <w:r>
        <w:rPr>
          <w:b/>
          <w:bCs/>
          <w:sz w:val="28"/>
          <w:szCs w:val="21"/>
        </w:rPr>
        <w:t xml:space="preserve"> </w:t>
      </w:r>
      <w:r>
        <w:rPr>
          <w:rFonts w:hint="eastAsia"/>
          <w:b/>
          <w:bCs/>
          <w:sz w:val="28"/>
          <w:szCs w:val="21"/>
        </w:rPr>
        <w:t>项目规划区及影响区人口预测模型</w:t>
      </w:r>
      <w:bookmarkEnd w:id="82"/>
    </w:p>
    <w:tbl>
      <w:tblPr>
        <w:tblStyle w:val="13"/>
        <w:tblW w:w="490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5567"/>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38" w:type="pct"/>
            <w:tcBorders>
              <w:top w:val="single" w:color="auto" w:sz="12" w:space="0"/>
              <w:left w:val="single" w:color="auto" w:sz="12" w:space="0"/>
              <w:bottom w:val="single" w:color="auto" w:sz="6" w:space="0"/>
              <w:right w:val="single" w:color="auto" w:sz="6" w:space="0"/>
            </w:tcBorders>
            <w:vAlign w:val="center"/>
          </w:tcPr>
          <w:p>
            <w:pPr>
              <w:pStyle w:val="28"/>
              <w:rPr>
                <w:sz w:val="28"/>
                <w:szCs w:val="28"/>
              </w:rPr>
            </w:pPr>
            <w:r>
              <w:rPr>
                <w:rFonts w:hint="eastAsia"/>
                <w:sz w:val="28"/>
                <w:szCs w:val="28"/>
              </w:rPr>
              <w:t>预测区域</w:t>
            </w:r>
          </w:p>
        </w:tc>
        <w:tc>
          <w:tcPr>
            <w:tcW w:w="3132" w:type="pct"/>
            <w:tcBorders>
              <w:top w:val="single" w:color="auto" w:sz="12" w:space="0"/>
              <w:left w:val="single" w:color="auto" w:sz="6" w:space="0"/>
              <w:bottom w:val="single" w:color="auto" w:sz="6" w:space="0"/>
              <w:right w:val="single" w:color="auto" w:sz="6" w:space="0"/>
            </w:tcBorders>
            <w:vAlign w:val="center"/>
          </w:tcPr>
          <w:p>
            <w:pPr>
              <w:pStyle w:val="28"/>
              <w:rPr>
                <w:sz w:val="28"/>
                <w:szCs w:val="28"/>
              </w:rPr>
            </w:pPr>
            <w:r>
              <w:rPr>
                <w:rFonts w:hint="eastAsia"/>
                <w:sz w:val="28"/>
                <w:szCs w:val="28"/>
              </w:rPr>
              <w:t>拟合曲线方程</w:t>
            </w:r>
          </w:p>
        </w:tc>
        <w:tc>
          <w:tcPr>
            <w:tcW w:w="1030" w:type="pct"/>
            <w:tcBorders>
              <w:top w:val="single" w:color="auto" w:sz="12" w:space="0"/>
              <w:left w:val="single" w:color="auto" w:sz="6" w:space="0"/>
              <w:bottom w:val="single" w:color="auto" w:sz="6" w:space="0"/>
              <w:right w:val="single" w:color="auto" w:sz="12" w:space="0"/>
            </w:tcBorders>
            <w:vAlign w:val="center"/>
          </w:tcPr>
          <w:p>
            <w:pPr>
              <w:pStyle w:val="28"/>
              <w:rPr>
                <w:sz w:val="28"/>
                <w:szCs w:val="28"/>
              </w:rPr>
            </w:pPr>
            <w:r>
              <w:rPr>
                <w:rFonts w:hint="eastAsia"/>
                <w:sz w:val="28"/>
                <w:szCs w:val="28"/>
              </w:rPr>
              <w:t>相关系数R</w:t>
            </w:r>
            <w:r>
              <w:rPr>
                <w:rFonts w:hint="eastAsia"/>
                <w:sz w:val="28"/>
                <w:szCs w:val="2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8" w:type="pct"/>
            <w:tcBorders>
              <w:top w:val="single" w:color="auto" w:sz="6" w:space="0"/>
              <w:left w:val="single" w:color="auto" w:sz="12" w:space="0"/>
              <w:bottom w:val="single" w:color="auto" w:sz="12" w:space="0"/>
              <w:right w:val="single" w:color="auto" w:sz="6" w:space="0"/>
            </w:tcBorders>
            <w:vAlign w:val="center"/>
          </w:tcPr>
          <w:p>
            <w:pPr>
              <w:pStyle w:val="28"/>
              <w:rPr>
                <w:sz w:val="28"/>
                <w:szCs w:val="28"/>
              </w:rPr>
            </w:pPr>
            <w:r>
              <w:rPr>
                <w:rFonts w:hint="eastAsia"/>
                <w:sz w:val="28"/>
                <w:szCs w:val="28"/>
              </w:rPr>
              <w:t>阳城县</w:t>
            </w:r>
          </w:p>
        </w:tc>
        <w:tc>
          <w:tcPr>
            <w:tcW w:w="3132" w:type="pct"/>
            <w:tcBorders>
              <w:top w:val="single" w:color="auto" w:sz="6" w:space="0"/>
              <w:left w:val="single" w:color="auto" w:sz="6" w:space="0"/>
              <w:bottom w:val="single" w:color="auto" w:sz="12" w:space="0"/>
              <w:right w:val="single" w:color="auto" w:sz="6" w:space="0"/>
            </w:tcBorders>
            <w:vAlign w:val="center"/>
          </w:tcPr>
          <w:p>
            <w:pPr>
              <w:pStyle w:val="28"/>
              <w:rPr>
                <w:rFonts w:cs="Times New Roman"/>
                <w:sz w:val="28"/>
                <w:szCs w:val="28"/>
                <w:highlight w:val="yellow"/>
              </w:rPr>
            </w:pPr>
            <w:r>
              <w:rPr>
                <w:rFonts w:eastAsia="华文细黑" w:cs="Times New Roman"/>
                <w:sz w:val="28"/>
                <w:szCs w:val="28"/>
              </w:rPr>
              <w:t>y = 0.001386x</w:t>
            </w:r>
            <w:r>
              <w:rPr>
                <w:rFonts w:eastAsia="华文细黑" w:cs="Times New Roman"/>
                <w:sz w:val="28"/>
                <w:szCs w:val="28"/>
                <w:vertAlign w:val="superscript"/>
              </w:rPr>
              <w:t>2</w:t>
            </w:r>
            <w:r>
              <w:rPr>
                <w:rFonts w:eastAsia="华文细黑" w:cs="Times New Roman"/>
                <w:sz w:val="28"/>
                <w:szCs w:val="28"/>
              </w:rPr>
              <w:t xml:space="preserve"> – 8.2045x + 4832.8</w:t>
            </w:r>
          </w:p>
        </w:tc>
        <w:tc>
          <w:tcPr>
            <w:tcW w:w="1030" w:type="pct"/>
            <w:tcBorders>
              <w:top w:val="single" w:color="auto" w:sz="6" w:space="0"/>
              <w:left w:val="single" w:color="auto" w:sz="6" w:space="0"/>
              <w:bottom w:val="single" w:color="auto" w:sz="12" w:space="0"/>
              <w:right w:val="single" w:color="auto" w:sz="12" w:space="0"/>
            </w:tcBorders>
            <w:vAlign w:val="center"/>
          </w:tcPr>
          <w:p>
            <w:pPr>
              <w:pStyle w:val="28"/>
              <w:rPr>
                <w:rFonts w:cs="Times New Roman"/>
                <w:sz w:val="28"/>
                <w:szCs w:val="28"/>
                <w:highlight w:val="yellow"/>
              </w:rPr>
            </w:pPr>
            <w:r>
              <w:rPr>
                <w:rFonts w:eastAsia="华文细黑" w:cs="Times New Roman"/>
                <w:sz w:val="28"/>
                <w:szCs w:val="28"/>
              </w:rPr>
              <w:t>0.9942</w:t>
            </w:r>
          </w:p>
        </w:tc>
      </w:tr>
    </w:tbl>
    <w:p>
      <w:pPr>
        <w:ind w:firstLine="640"/>
      </w:pPr>
      <w:r>
        <w:rPr>
          <w:rFonts w:hint="eastAsia"/>
        </w:rPr>
        <w:t>根据预测模型，可以得到阳城县规划特征年人口预测值，见</w:t>
      </w:r>
      <w:r>
        <w:fldChar w:fldCharType="begin"/>
      </w:r>
      <w:r>
        <w:instrText xml:space="preserve"> </w:instrText>
      </w:r>
      <w:r>
        <w:rPr>
          <w:rFonts w:hint="eastAsia"/>
        </w:rPr>
        <w:instrText xml:space="preserve">REF _Ref41725707 \h</w:instrText>
      </w:r>
      <w:r>
        <w:instrText xml:space="preserve">  \* MERGEFORMAT </w:instrText>
      </w:r>
      <w:r>
        <w:fldChar w:fldCharType="separate"/>
      </w:r>
      <w:r>
        <w:rPr>
          <w:rFonts w:hint="eastAsia"/>
        </w:rPr>
        <w:t>表</w:t>
      </w:r>
      <w:r>
        <w:t>3-2</w:t>
      </w:r>
      <w:r>
        <w:fldChar w:fldCharType="end"/>
      </w:r>
      <w:r>
        <w:rPr>
          <w:rFonts w:hint="eastAsia"/>
        </w:rPr>
        <w:t>。</w:t>
      </w:r>
    </w:p>
    <w:p>
      <w:pPr>
        <w:adjustRightInd w:val="0"/>
        <w:snapToGrid w:val="0"/>
        <w:spacing w:before="62" w:beforeLines="20" w:after="62" w:afterLines="20"/>
        <w:ind w:firstLine="0" w:firstLineChars="0"/>
        <w:jc w:val="center"/>
        <w:rPr>
          <w:b/>
          <w:bCs/>
          <w:sz w:val="28"/>
          <w:szCs w:val="21"/>
        </w:rPr>
      </w:pPr>
      <w:bookmarkStart w:id="83" w:name="_Ref41725707"/>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2</w:t>
      </w:r>
      <w:r>
        <w:rPr>
          <w:b/>
          <w:bCs/>
          <w:sz w:val="28"/>
          <w:szCs w:val="21"/>
        </w:rPr>
        <w:fldChar w:fldCharType="end"/>
      </w:r>
      <w:bookmarkEnd w:id="83"/>
      <w:r>
        <w:rPr>
          <w:b/>
          <w:bCs/>
          <w:sz w:val="28"/>
          <w:szCs w:val="21"/>
        </w:rPr>
        <w:t xml:space="preserve"> </w:t>
      </w:r>
      <w:r>
        <w:rPr>
          <w:rFonts w:hint="eastAsia"/>
          <w:b/>
          <w:bCs/>
          <w:sz w:val="28"/>
          <w:szCs w:val="21"/>
        </w:rPr>
        <w:t>项目规划区及影响区常住人口预测值</w:t>
      </w:r>
    </w:p>
    <w:tbl>
      <w:tblPr>
        <w:tblStyle w:val="13"/>
        <w:tblW w:w="48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30"/>
        <w:gridCol w:w="3045"/>
        <w:gridCol w:w="2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4" w:type="pct"/>
            <w:shd w:val="clear" w:color="auto" w:fill="auto"/>
            <w:noWrap/>
            <w:vAlign w:val="center"/>
          </w:tcPr>
          <w:p>
            <w:pPr>
              <w:pStyle w:val="28"/>
              <w:rPr>
                <w:sz w:val="28"/>
                <w:szCs w:val="28"/>
              </w:rPr>
            </w:pPr>
            <w:r>
              <w:rPr>
                <w:rFonts w:hint="eastAsia"/>
                <w:sz w:val="28"/>
                <w:szCs w:val="28"/>
              </w:rPr>
              <w:t>人口</w:t>
            </w:r>
          </w:p>
        </w:tc>
        <w:tc>
          <w:tcPr>
            <w:tcW w:w="1719" w:type="pct"/>
            <w:shd w:val="clear" w:color="auto" w:fill="auto"/>
            <w:noWrap/>
            <w:vAlign w:val="center"/>
          </w:tcPr>
          <w:p>
            <w:pPr>
              <w:pStyle w:val="28"/>
              <w:rPr>
                <w:sz w:val="28"/>
                <w:szCs w:val="28"/>
              </w:rPr>
            </w:pPr>
            <w:r>
              <w:rPr>
                <w:sz w:val="28"/>
                <w:szCs w:val="28"/>
              </w:rPr>
              <w:t>2018</w:t>
            </w:r>
          </w:p>
        </w:tc>
        <w:tc>
          <w:tcPr>
            <w:tcW w:w="1627" w:type="pct"/>
            <w:shd w:val="clear" w:color="auto" w:fill="auto"/>
            <w:noWrap/>
            <w:vAlign w:val="center"/>
          </w:tcPr>
          <w:p>
            <w:pPr>
              <w:pStyle w:val="28"/>
              <w:rPr>
                <w:sz w:val="28"/>
                <w:szCs w:val="28"/>
              </w:rPr>
            </w:pPr>
            <w:r>
              <w:rPr>
                <w:rFonts w:hint="eastAsia"/>
                <w:sz w:val="28"/>
                <w:szCs w:val="28"/>
              </w:rPr>
              <w:t>202</w:t>
            </w:r>
            <w:r>
              <w:rPr>
                <w:sz w:val="28"/>
                <w:szCs w:val="2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1654" w:type="pct"/>
            <w:shd w:val="clear" w:color="auto" w:fill="auto"/>
            <w:noWrap/>
            <w:vAlign w:val="center"/>
          </w:tcPr>
          <w:p>
            <w:pPr>
              <w:pStyle w:val="28"/>
              <w:rPr>
                <w:sz w:val="28"/>
                <w:szCs w:val="28"/>
              </w:rPr>
            </w:pPr>
            <w:r>
              <w:rPr>
                <w:rFonts w:hint="eastAsia"/>
                <w:sz w:val="28"/>
                <w:szCs w:val="28"/>
              </w:rPr>
              <w:t>阳城县（万人）</w:t>
            </w:r>
          </w:p>
        </w:tc>
        <w:tc>
          <w:tcPr>
            <w:tcW w:w="1719" w:type="pct"/>
            <w:shd w:val="clear" w:color="auto" w:fill="auto"/>
            <w:noWrap/>
            <w:vAlign w:val="center"/>
          </w:tcPr>
          <w:p>
            <w:pPr>
              <w:pStyle w:val="28"/>
              <w:rPr>
                <w:sz w:val="28"/>
                <w:szCs w:val="28"/>
              </w:rPr>
            </w:pPr>
            <w:r>
              <w:rPr>
                <w:rFonts w:eastAsia="华文细黑" w:cs="Times New Roman"/>
                <w:sz w:val="28"/>
                <w:szCs w:val="28"/>
              </w:rPr>
              <w:t>39.45</w:t>
            </w:r>
          </w:p>
        </w:tc>
        <w:tc>
          <w:tcPr>
            <w:tcW w:w="1627" w:type="pct"/>
            <w:shd w:val="clear" w:color="auto" w:fill="auto"/>
            <w:noWrap/>
            <w:vAlign w:val="center"/>
          </w:tcPr>
          <w:p>
            <w:pPr>
              <w:pStyle w:val="28"/>
              <w:adjustRightInd w:val="0"/>
              <w:snapToGrid w:val="0"/>
              <w:rPr>
                <w:sz w:val="28"/>
                <w:szCs w:val="28"/>
              </w:rPr>
            </w:pPr>
            <w:r>
              <w:rPr>
                <w:sz w:val="28"/>
                <w:szCs w:val="28"/>
              </w:rPr>
              <w:t>41.32</w:t>
            </w:r>
          </w:p>
        </w:tc>
      </w:tr>
    </w:tbl>
    <w:p>
      <w:pPr>
        <w:ind w:firstLine="640"/>
      </w:pPr>
      <w:r>
        <w:rPr>
          <w:rFonts w:hint="eastAsia"/>
        </w:rPr>
        <w:t>2、经济发展预测</w:t>
      </w:r>
    </w:p>
    <w:p>
      <w:pPr>
        <w:ind w:firstLine="640"/>
      </w:pPr>
      <w:r>
        <w:rPr>
          <w:rFonts w:hint="eastAsia"/>
        </w:rPr>
        <w:t>根据GDP历史数据，阳城县GDP预测模型如</w:t>
      </w:r>
      <w:r>
        <w:fldChar w:fldCharType="begin"/>
      </w:r>
      <w:r>
        <w:instrText xml:space="preserve"> </w:instrText>
      </w:r>
      <w:r>
        <w:rPr>
          <w:rFonts w:hint="eastAsia"/>
        </w:rPr>
        <w:instrText xml:space="preserve">REF _Ref41725779 \h</w:instrText>
      </w:r>
      <w:r>
        <w:instrText xml:space="preserve">  \* MERGEFORMAT </w:instrText>
      </w:r>
      <w:r>
        <w:fldChar w:fldCharType="separate"/>
      </w:r>
      <w:r>
        <w:rPr>
          <w:rFonts w:hint="eastAsia"/>
        </w:rPr>
        <w:t>表</w:t>
      </w:r>
      <w:r>
        <w:t>3-3</w:t>
      </w:r>
      <w:r>
        <w:fldChar w:fldCharType="end"/>
      </w:r>
      <w:r>
        <w:rPr>
          <w:rFonts w:hint="eastAsia"/>
        </w:rPr>
        <w:t>所示：</w:t>
      </w:r>
    </w:p>
    <w:p>
      <w:pPr>
        <w:adjustRightInd w:val="0"/>
        <w:snapToGrid w:val="0"/>
        <w:spacing w:before="62" w:beforeLines="20" w:after="62" w:afterLines="20"/>
        <w:ind w:firstLine="0" w:firstLineChars="0"/>
        <w:jc w:val="center"/>
        <w:rPr>
          <w:b/>
          <w:bCs/>
          <w:sz w:val="28"/>
          <w:szCs w:val="21"/>
        </w:rPr>
      </w:pPr>
      <w:bookmarkStart w:id="84" w:name="_Ref41725779"/>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bookmarkEnd w:id="84"/>
      <w:r>
        <w:rPr>
          <w:b/>
          <w:bCs/>
          <w:sz w:val="28"/>
          <w:szCs w:val="21"/>
        </w:rPr>
        <w:t xml:space="preserve"> </w:t>
      </w:r>
      <w:r>
        <w:rPr>
          <w:rFonts w:hint="eastAsia"/>
          <w:b/>
          <w:bCs/>
          <w:sz w:val="28"/>
          <w:szCs w:val="21"/>
        </w:rPr>
        <w:t>项目规划区及影响区GDP预测模型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565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896" w:type="pct"/>
            <w:tcBorders>
              <w:top w:val="single" w:color="auto" w:sz="12" w:space="0"/>
              <w:left w:val="single" w:color="auto" w:sz="12" w:space="0"/>
              <w:bottom w:val="single" w:color="auto" w:sz="6" w:space="0"/>
              <w:right w:val="single" w:color="auto" w:sz="6" w:space="0"/>
            </w:tcBorders>
            <w:vAlign w:val="center"/>
          </w:tcPr>
          <w:p>
            <w:pPr>
              <w:pStyle w:val="28"/>
              <w:rPr>
                <w:sz w:val="28"/>
                <w:szCs w:val="28"/>
              </w:rPr>
            </w:pPr>
            <w:r>
              <w:rPr>
                <w:rFonts w:hint="eastAsia"/>
                <w:sz w:val="28"/>
                <w:szCs w:val="28"/>
              </w:rPr>
              <w:t>预测区域</w:t>
            </w:r>
          </w:p>
        </w:tc>
        <w:tc>
          <w:tcPr>
            <w:tcW w:w="3118" w:type="pct"/>
            <w:tcBorders>
              <w:top w:val="single" w:color="auto" w:sz="12" w:space="0"/>
              <w:left w:val="single" w:color="auto" w:sz="6" w:space="0"/>
              <w:bottom w:val="single" w:color="auto" w:sz="6" w:space="0"/>
              <w:right w:val="single" w:color="auto" w:sz="6" w:space="0"/>
            </w:tcBorders>
            <w:vAlign w:val="center"/>
          </w:tcPr>
          <w:p>
            <w:pPr>
              <w:pStyle w:val="28"/>
              <w:rPr>
                <w:sz w:val="28"/>
                <w:szCs w:val="28"/>
              </w:rPr>
            </w:pPr>
            <w:r>
              <w:rPr>
                <w:rFonts w:hint="eastAsia"/>
                <w:sz w:val="28"/>
                <w:szCs w:val="28"/>
              </w:rPr>
              <w:t>拟合曲线方程</w:t>
            </w:r>
          </w:p>
        </w:tc>
        <w:tc>
          <w:tcPr>
            <w:tcW w:w="986" w:type="pct"/>
            <w:tcBorders>
              <w:top w:val="single" w:color="auto" w:sz="12" w:space="0"/>
              <w:left w:val="single" w:color="auto" w:sz="6" w:space="0"/>
              <w:bottom w:val="single" w:color="auto" w:sz="6" w:space="0"/>
              <w:right w:val="single" w:color="auto" w:sz="12" w:space="0"/>
            </w:tcBorders>
            <w:vAlign w:val="center"/>
          </w:tcPr>
          <w:p>
            <w:pPr>
              <w:pStyle w:val="28"/>
              <w:rPr>
                <w:sz w:val="28"/>
                <w:szCs w:val="28"/>
              </w:rPr>
            </w:pPr>
            <w:r>
              <w:rPr>
                <w:rFonts w:hint="eastAsia"/>
                <w:sz w:val="28"/>
                <w:szCs w:val="28"/>
              </w:rPr>
              <w:t>相关系数R</w:t>
            </w:r>
            <w:r>
              <w:rPr>
                <w:rFonts w:hint="eastAsia"/>
                <w:sz w:val="28"/>
                <w:szCs w:val="2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96" w:type="pct"/>
            <w:tcBorders>
              <w:top w:val="single" w:color="auto" w:sz="6" w:space="0"/>
              <w:left w:val="single" w:color="auto" w:sz="12" w:space="0"/>
              <w:bottom w:val="single" w:color="auto" w:sz="12" w:space="0"/>
              <w:right w:val="single" w:color="auto" w:sz="6" w:space="0"/>
            </w:tcBorders>
            <w:vAlign w:val="center"/>
          </w:tcPr>
          <w:p>
            <w:pPr>
              <w:pStyle w:val="28"/>
              <w:rPr>
                <w:sz w:val="28"/>
                <w:szCs w:val="28"/>
              </w:rPr>
            </w:pPr>
            <w:r>
              <w:rPr>
                <w:rFonts w:hint="eastAsia"/>
                <w:sz w:val="28"/>
                <w:szCs w:val="28"/>
              </w:rPr>
              <w:t>阳城县</w:t>
            </w:r>
          </w:p>
        </w:tc>
        <w:tc>
          <w:tcPr>
            <w:tcW w:w="3118" w:type="pct"/>
            <w:tcBorders>
              <w:top w:val="single" w:color="auto" w:sz="6" w:space="0"/>
              <w:left w:val="single" w:color="auto" w:sz="6" w:space="0"/>
              <w:bottom w:val="single" w:color="auto" w:sz="12" w:space="0"/>
              <w:right w:val="single" w:color="auto" w:sz="6" w:space="0"/>
            </w:tcBorders>
            <w:vAlign w:val="center"/>
          </w:tcPr>
          <w:p>
            <w:pPr>
              <w:pStyle w:val="28"/>
              <w:adjustRightInd w:val="0"/>
              <w:snapToGrid w:val="0"/>
              <w:rPr>
                <w:sz w:val="28"/>
                <w:szCs w:val="28"/>
              </w:rPr>
            </w:pPr>
            <w:r>
              <w:rPr>
                <w:sz w:val="28"/>
                <w:szCs w:val="28"/>
              </w:rPr>
              <w:t>y = 10.8862ln(x) +6.9533</w:t>
            </w:r>
          </w:p>
        </w:tc>
        <w:tc>
          <w:tcPr>
            <w:tcW w:w="986" w:type="pct"/>
            <w:tcBorders>
              <w:top w:val="single" w:color="auto" w:sz="6" w:space="0"/>
              <w:left w:val="single" w:color="auto" w:sz="6" w:space="0"/>
              <w:bottom w:val="single" w:color="auto" w:sz="12" w:space="0"/>
              <w:right w:val="single" w:color="auto" w:sz="12" w:space="0"/>
            </w:tcBorders>
            <w:vAlign w:val="center"/>
          </w:tcPr>
          <w:p>
            <w:pPr>
              <w:pStyle w:val="28"/>
              <w:adjustRightInd w:val="0"/>
              <w:snapToGrid w:val="0"/>
              <w:rPr>
                <w:sz w:val="28"/>
                <w:szCs w:val="28"/>
              </w:rPr>
            </w:pPr>
            <w:r>
              <w:rPr>
                <w:rFonts w:hint="eastAsia"/>
                <w:sz w:val="28"/>
                <w:szCs w:val="28"/>
              </w:rPr>
              <w:t>0.</w:t>
            </w:r>
            <w:r>
              <w:rPr>
                <w:sz w:val="28"/>
                <w:szCs w:val="28"/>
              </w:rPr>
              <w:t>91</w:t>
            </w:r>
          </w:p>
        </w:tc>
      </w:tr>
    </w:tbl>
    <w:p>
      <w:pPr>
        <w:ind w:firstLine="640"/>
      </w:pPr>
      <w:r>
        <w:rPr>
          <w:rFonts w:hint="eastAsia"/>
        </w:rPr>
        <w:t>根据预测模型，可以得到阳城县规划特征年GDP预测值，见</w:t>
      </w:r>
      <w:r>
        <w:fldChar w:fldCharType="begin"/>
      </w:r>
      <w:r>
        <w:instrText xml:space="preserve"> </w:instrText>
      </w:r>
      <w:r>
        <w:rPr>
          <w:rFonts w:hint="eastAsia"/>
        </w:rPr>
        <w:instrText xml:space="preserve">REF _Ref41725822 \h</w:instrText>
      </w:r>
      <w:r>
        <w:instrText xml:space="preserve">  \* MERGEFORMAT </w:instrText>
      </w:r>
      <w:r>
        <w:fldChar w:fldCharType="separate"/>
      </w:r>
      <w:r>
        <w:rPr>
          <w:rFonts w:hint="eastAsia"/>
        </w:rPr>
        <w:t>表</w:t>
      </w:r>
      <w:r>
        <w:t>3-4</w:t>
      </w:r>
      <w:r>
        <w:fldChar w:fldCharType="end"/>
      </w:r>
      <w:r>
        <w:rPr>
          <w:rFonts w:hint="eastAsia"/>
        </w:rPr>
        <w:t>。</w:t>
      </w:r>
    </w:p>
    <w:p>
      <w:pPr>
        <w:adjustRightInd w:val="0"/>
        <w:snapToGrid w:val="0"/>
        <w:spacing w:before="62" w:beforeLines="20" w:after="62" w:afterLines="20"/>
        <w:ind w:firstLine="0" w:firstLineChars="0"/>
        <w:jc w:val="center"/>
        <w:rPr>
          <w:b/>
          <w:bCs/>
          <w:sz w:val="28"/>
          <w:szCs w:val="21"/>
        </w:rPr>
      </w:pPr>
      <w:bookmarkStart w:id="85" w:name="_Ref41725822"/>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3</w:t>
      </w:r>
      <w:r>
        <w:rPr>
          <w:b/>
          <w:bCs/>
          <w:sz w:val="28"/>
          <w:szCs w:val="21"/>
        </w:rPr>
        <w:fldChar w:fldCharType="end"/>
      </w:r>
      <w:r>
        <w:rPr>
          <w:b/>
          <w:bCs/>
          <w:sz w:val="28"/>
          <w:szCs w:val="21"/>
        </w:rPr>
        <w:t>-</w:t>
      </w:r>
      <w:r>
        <w:rPr>
          <w:b/>
          <w:bCs/>
          <w:sz w:val="28"/>
          <w:szCs w:val="21"/>
        </w:rPr>
        <w:fldChar w:fldCharType="begin"/>
      </w:r>
      <w:r>
        <w:rPr>
          <w:b/>
          <w:bCs/>
          <w:sz w:val="28"/>
          <w:szCs w:val="21"/>
        </w:rPr>
        <w:instrText xml:space="preserve"> </w:instrText>
      </w:r>
      <w:r>
        <w:rPr>
          <w:rFonts w:hint="eastAsia"/>
          <w:b/>
          <w:bCs/>
          <w:sz w:val="28"/>
          <w:szCs w:val="21"/>
        </w:rPr>
        <w:instrText xml:space="preserve">SEQ 表 \* ARABIC \s 1</w:instrText>
      </w:r>
      <w:r>
        <w:rPr>
          <w:b/>
          <w:bCs/>
          <w:sz w:val="28"/>
          <w:szCs w:val="21"/>
        </w:rPr>
        <w:instrText xml:space="preserve"> </w:instrText>
      </w:r>
      <w:r>
        <w:rPr>
          <w:b/>
          <w:bCs/>
          <w:sz w:val="28"/>
          <w:szCs w:val="21"/>
        </w:rPr>
        <w:fldChar w:fldCharType="separate"/>
      </w:r>
      <w:r>
        <w:rPr>
          <w:b/>
          <w:bCs/>
          <w:sz w:val="28"/>
          <w:szCs w:val="21"/>
        </w:rPr>
        <w:t>4</w:t>
      </w:r>
      <w:r>
        <w:rPr>
          <w:b/>
          <w:bCs/>
          <w:sz w:val="28"/>
          <w:szCs w:val="21"/>
        </w:rPr>
        <w:fldChar w:fldCharType="end"/>
      </w:r>
      <w:bookmarkEnd w:id="85"/>
      <w:r>
        <w:rPr>
          <w:b/>
          <w:bCs/>
          <w:sz w:val="28"/>
          <w:szCs w:val="21"/>
        </w:rPr>
        <w:t xml:space="preserve"> </w:t>
      </w:r>
      <w:r>
        <w:rPr>
          <w:rFonts w:hint="eastAsia"/>
          <w:b/>
          <w:bCs/>
          <w:sz w:val="28"/>
          <w:szCs w:val="21"/>
        </w:rPr>
        <w:t>项目规划区及影响区GDP预测值</w:t>
      </w:r>
    </w:p>
    <w:tbl>
      <w:tblPr>
        <w:tblStyle w:val="13"/>
        <w:tblW w:w="493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59"/>
        <w:gridCol w:w="3078"/>
        <w:gridCol w:w="2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3" w:type="pct"/>
            <w:shd w:val="clear" w:color="auto" w:fill="auto"/>
            <w:noWrap/>
            <w:vAlign w:val="center"/>
          </w:tcPr>
          <w:p>
            <w:pPr>
              <w:pStyle w:val="28"/>
              <w:adjustRightInd w:val="0"/>
              <w:snapToGrid w:val="0"/>
              <w:rPr>
                <w:sz w:val="28"/>
                <w:szCs w:val="28"/>
              </w:rPr>
            </w:pPr>
            <w:r>
              <w:rPr>
                <w:rFonts w:hint="eastAsia"/>
                <w:sz w:val="28"/>
                <w:szCs w:val="28"/>
              </w:rPr>
              <w:t>GDP</w:t>
            </w:r>
          </w:p>
        </w:tc>
        <w:tc>
          <w:tcPr>
            <w:tcW w:w="1720" w:type="pct"/>
            <w:shd w:val="clear" w:color="auto" w:fill="auto"/>
            <w:noWrap/>
            <w:vAlign w:val="center"/>
          </w:tcPr>
          <w:p>
            <w:pPr>
              <w:pStyle w:val="28"/>
              <w:adjustRightInd w:val="0"/>
              <w:snapToGrid w:val="0"/>
              <w:rPr>
                <w:sz w:val="28"/>
                <w:szCs w:val="28"/>
              </w:rPr>
            </w:pPr>
            <w:r>
              <w:rPr>
                <w:sz w:val="28"/>
                <w:szCs w:val="28"/>
              </w:rPr>
              <w:t>2021</w:t>
            </w:r>
          </w:p>
        </w:tc>
        <w:tc>
          <w:tcPr>
            <w:tcW w:w="1627" w:type="pct"/>
            <w:shd w:val="clear" w:color="auto" w:fill="auto"/>
            <w:noWrap/>
            <w:vAlign w:val="center"/>
          </w:tcPr>
          <w:p>
            <w:pPr>
              <w:pStyle w:val="28"/>
              <w:adjustRightInd w:val="0"/>
              <w:snapToGrid w:val="0"/>
              <w:rPr>
                <w:sz w:val="28"/>
                <w:szCs w:val="28"/>
              </w:rPr>
            </w:pPr>
            <w:r>
              <w:rPr>
                <w:rFonts w:hint="eastAsia"/>
                <w:sz w:val="28"/>
                <w:szCs w:val="28"/>
              </w:rPr>
              <w:t>202</w:t>
            </w:r>
            <w:r>
              <w:rPr>
                <w:sz w:val="28"/>
                <w:szCs w:val="2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653" w:type="pct"/>
            <w:shd w:val="clear" w:color="auto" w:fill="auto"/>
            <w:noWrap/>
            <w:vAlign w:val="center"/>
          </w:tcPr>
          <w:p>
            <w:pPr>
              <w:pStyle w:val="28"/>
              <w:adjustRightInd w:val="0"/>
              <w:snapToGrid w:val="0"/>
              <w:rPr>
                <w:sz w:val="28"/>
                <w:szCs w:val="28"/>
              </w:rPr>
            </w:pPr>
            <w:r>
              <w:rPr>
                <w:rFonts w:hint="eastAsia"/>
                <w:sz w:val="28"/>
                <w:szCs w:val="28"/>
              </w:rPr>
              <w:t>阳城县（亿元）</w:t>
            </w:r>
          </w:p>
        </w:tc>
        <w:tc>
          <w:tcPr>
            <w:tcW w:w="1720" w:type="pct"/>
            <w:shd w:val="clear" w:color="auto" w:fill="auto"/>
            <w:noWrap/>
            <w:vAlign w:val="center"/>
          </w:tcPr>
          <w:p>
            <w:pPr>
              <w:pStyle w:val="28"/>
              <w:adjustRightInd w:val="0"/>
              <w:snapToGrid w:val="0"/>
              <w:rPr>
                <w:sz w:val="28"/>
                <w:szCs w:val="28"/>
              </w:rPr>
            </w:pPr>
            <w:r>
              <w:rPr>
                <w:sz w:val="28"/>
                <w:szCs w:val="28"/>
              </w:rPr>
              <w:t>237.5</w:t>
            </w:r>
          </w:p>
        </w:tc>
        <w:tc>
          <w:tcPr>
            <w:tcW w:w="1627" w:type="pct"/>
            <w:shd w:val="clear" w:color="auto" w:fill="auto"/>
            <w:noWrap/>
            <w:vAlign w:val="center"/>
          </w:tcPr>
          <w:p>
            <w:pPr>
              <w:pStyle w:val="28"/>
              <w:adjustRightInd w:val="0"/>
              <w:snapToGrid w:val="0"/>
              <w:rPr>
                <w:sz w:val="28"/>
                <w:szCs w:val="28"/>
              </w:rPr>
            </w:pPr>
            <w:r>
              <w:rPr>
                <w:sz w:val="28"/>
                <w:szCs w:val="28"/>
              </w:rPr>
              <w:t>359.37</w:t>
            </w:r>
          </w:p>
        </w:tc>
      </w:tr>
    </w:tbl>
    <w:p>
      <w:pPr>
        <w:ind w:firstLine="640"/>
      </w:pPr>
      <w:r>
        <w:rPr>
          <w:rFonts w:hint="eastAsia"/>
        </w:rPr>
        <w:t>农村公路是公路网系统中的一个子系统，是干线公路网的延伸和补充，其整体效益只有放在全路网这个大系统中才能得到充分发挥。因此，在农村公路应该充分考虑干线公路网与农村公路网的配合方式和途径，保证整个路网布局的系统性与连续性。</w:t>
      </w:r>
    </w:p>
    <w:p>
      <w:pPr>
        <w:ind w:firstLine="640"/>
      </w:pPr>
      <w:r>
        <w:rPr>
          <w:rFonts w:hint="eastAsia"/>
        </w:rPr>
        <w:t>1、服从宏观经济发展战略要求。农村公路规划必须适应全市宏观经济发展战略要求，服务和服从于社会主义新农村建设的总体部署，以农村经济社会发展需要为出发点，与当地的产业布局、小城镇建设、资源开发、文化建设等相结合。</w:t>
      </w:r>
    </w:p>
    <w:p>
      <w:pPr>
        <w:ind w:firstLine="640"/>
      </w:pPr>
      <w:r>
        <w:rPr>
          <w:rFonts w:hint="eastAsia"/>
        </w:rPr>
        <w:t>2、服从可持续发展战略要求。农村公路规划要重点考虑一体化建设，考虑城镇总体规划尤其是乡镇整合及行政村撤并趋势、工业园区建设等对农村公路的影响，充分考虑现有公路网布局，避免重复建设，注重保护耕地，节约土地和建设成本，提高资源的综合利用率，保护和改善生态环境。</w:t>
      </w:r>
    </w:p>
    <w:p>
      <w:pPr>
        <w:ind w:firstLine="640"/>
      </w:pPr>
      <w:r>
        <w:rPr>
          <w:rFonts w:hint="eastAsia"/>
        </w:rPr>
        <w:t>3、统一规划，协调发展。在纵向上，要服从城市总体规划、土地利用规划、产业发展规划及国民经济发展规划，避免重复建设和浪费。在横向上，要与高速公路网，普通干线网、城市道路网统筹规划，配套衔接，形成有机的路网体系。同时，要处理好新建与改建、建设与养护的关系，促进路网由粗放型、数量型向规模型、质量型过渡。</w:t>
      </w:r>
    </w:p>
    <w:p>
      <w:pPr>
        <w:ind w:firstLine="640"/>
      </w:pPr>
      <w:r>
        <w:rPr>
          <w:rFonts w:hint="eastAsia"/>
        </w:rPr>
        <w:t>4、需要与可能相结合。坚持农村公路为区域经济和农村居民服务的原则，充分考虑到农村公路发展的实际需要及未来的发展可能，综合考虑建设效益、资金能力，合理控制建设规模和建设标准。同时，要树立合理密度理念，纠正密度越大越好的简单认识，减少不必要的建设资金及养护费用的开支。</w:t>
      </w:r>
    </w:p>
    <w:p>
      <w:pPr>
        <w:ind w:firstLine="640"/>
      </w:pPr>
      <w:r>
        <w:rPr>
          <w:rFonts w:hint="eastAsia"/>
        </w:rPr>
        <w:t>5、突出重点，分步实施。要按照城乡城镇体系发展的梯度和层次，分清轻重缓急，分期安排，逐步实施。要优先抓好重点区域、重点乡镇的公路建设，尽快发挥其示范带动作用。同时，要按照既定的序列，详细制定每个阶段发展目标，遵循可操作性，确保农村公路有序发展。</w:t>
      </w:r>
    </w:p>
    <w:p>
      <w:pPr>
        <w:pStyle w:val="3"/>
        <w:ind w:firstLine="640"/>
        <w:rPr>
          <w:rFonts w:cs="Times New Roman"/>
        </w:rPr>
      </w:pPr>
      <w:bookmarkStart w:id="86" w:name="_Toc49243313"/>
      <w:bookmarkStart w:id="87" w:name="_Toc49243387"/>
      <w:r>
        <w:rPr>
          <w:rFonts w:eastAsia="方正楷体简体" w:cs="Times New Roman"/>
          <w:bCs w:val="0"/>
        </w:rPr>
        <w:t>综合交通运输发展形势</w:t>
      </w:r>
      <w:bookmarkEnd w:id="86"/>
      <w:bookmarkEnd w:id="87"/>
    </w:p>
    <w:p>
      <w:pPr>
        <w:ind w:firstLine="640"/>
        <w:rPr>
          <w:rFonts w:cs="Times New Roman"/>
        </w:rPr>
      </w:pPr>
      <w:r>
        <w:rPr>
          <w:rFonts w:cs="Times New Roman"/>
        </w:rPr>
        <w:t>1、建成小康社会、城镇化建设对交通运输发展的需求</w:t>
      </w:r>
    </w:p>
    <w:p>
      <w:pPr>
        <w:ind w:firstLine="640"/>
        <w:rPr>
          <w:rFonts w:cs="Times New Roman"/>
        </w:rPr>
      </w:pPr>
      <w:r>
        <w:rPr>
          <w:rFonts w:cs="Times New Roman"/>
        </w:rPr>
        <w:t>国家新型城镇化提出加快城镇化发展，打破城乡二元结构要求。以人的城镇化为核心，有序推进农业转移人口市民化。国家新型城镇化规划指出，以人为本，公平共享。以人的城镇化为核心，合理引导人口流动，有序推进农业转移人口市民化，稳步推进城镇基本公共服务常住人口全覆盖，不断提高人口素质，促进人的全面发展和社会公平正义，使全体居民共享现代化建设成果。</w:t>
      </w:r>
    </w:p>
    <w:p>
      <w:pPr>
        <w:ind w:firstLine="640"/>
        <w:rPr>
          <w:rFonts w:cs="Times New Roman"/>
        </w:rPr>
      </w:pPr>
      <w:r>
        <w:rPr>
          <w:rFonts w:cs="Times New Roman"/>
        </w:rPr>
        <w:t>面对城乡二元结构，十八大报告着重指出：推动城乡发展一体化。要加大统筹城乡发展力度，增强农村发展活力，逐步缩小城乡差距，促进城乡共同繁荣。要坚持工业反哺农业，要加快发展现代农业，要完善城乡发展一体化体制机制，从而形成以工促农、以城带乡、工农互惠、城乡一体的新型工农、城乡关系。我国已进入城镇化加速阶段，阳城县也应紧跟社会发展步伐，统筹规划城乡交通基础设施，通过城乡客运一体、村村通等手段加速城乡联系，破解城乡二元僵局。</w:t>
      </w:r>
    </w:p>
    <w:p>
      <w:pPr>
        <w:ind w:firstLine="640"/>
        <w:rPr>
          <w:rFonts w:cs="Times New Roman"/>
        </w:rPr>
      </w:pPr>
      <w:r>
        <w:rPr>
          <w:rFonts w:cs="Times New Roman"/>
        </w:rPr>
        <w:t>推进农村公路转型发展，全面建设“四好农村公路”。农村公路是保障农民群众生产生活的基本条件，是农业和农村发展的先导性、基础性设施，是社会主义新农村建设的重要支撑。党的十八大以来，习近平总书记多次就农村公路发展作出重要指示，在充分肯定农村公路建设成绩的同时，要求农村公路建设要因地制宜、以人为本，与优化村镇布局、农村经济发展和广大农民安全便捷出行相适应，要进一步把农村公路建好、管好、护好、运营好，逐步消除制约农村发展的交通瓶颈，为广大农民脱贫致富奔小康提供更好的保障。</w:t>
      </w:r>
    </w:p>
    <w:p>
      <w:pPr>
        <w:ind w:firstLine="640"/>
        <w:rPr>
          <w:rFonts w:cs="Times New Roman"/>
        </w:rPr>
      </w:pPr>
      <w:r>
        <w:rPr>
          <w:rFonts w:cs="Times New Roman"/>
        </w:rPr>
        <w:t>为深入贯彻落实党中央、国务院对“三农”工作部署和习近平总书记对农村公路的重要指示精神，加快推进农村公路建管养运协调可持续发展，阳城县亟待通过农村公路网规划梳理并解决农村公路基础不牢固、区域发展不平衡、养护任务重且资金不足、危桥险段多、安全设施少、运输服务水平不高等突出问题，也要扭转规划思路和发展方式，着力从“会战式”建设向集中攻坚转变，从注重连通向提升质量安全水平转变，从以建设为主向建管养运协调发展转变，从适应发展向引领发展转变，最终争取建设成为“四好农村公路”全省优质示范区。</w:t>
      </w:r>
    </w:p>
    <w:p>
      <w:pPr>
        <w:ind w:firstLine="640"/>
        <w:rPr>
          <w:rFonts w:cs="Times New Roman"/>
        </w:rPr>
      </w:pPr>
      <w:r>
        <w:rPr>
          <w:rFonts w:cs="Times New Roman"/>
        </w:rPr>
        <w:t>2、产业布局规划对交通运输发展的需求</w:t>
      </w:r>
    </w:p>
    <w:p>
      <w:pPr>
        <w:ind w:firstLine="640"/>
        <w:rPr>
          <w:rFonts w:cs="Times New Roman"/>
        </w:rPr>
      </w:pPr>
      <w:r>
        <w:rPr>
          <w:rFonts w:cs="Times New Roman"/>
        </w:rPr>
        <w:t>2011年初，国家发改委宣布正式批复设立“山西省国家资源型经济转型综合配套改革试验区”。2016 年，山西省出台《山西省国家资源型经济转型综合配套改革试验实施方案（2016-2020 年）》，指出要推进供给侧结构性改革，充分发挥市场在资源配置中的决定性作用，破除企业市场化退出障碍，清理僵尸企业，加大煤炭、钢铁等特困行业过剩产能；推进城乡统筹体制机制改革。争取在产业融合发展、多元化投融资机制、土地要素流动机制、公共服务供给机制、城市管理体制改革等方面形成试点经验；对外开放体制机制改革，实现贸易流通现代化。综改区的设立为阳城县发展提供了新的平台，为阳城县推进经济转型，实现跨越式发展提供指示，也为晋城交通体系建设、明确服务需求提供重要依据。</w:t>
      </w:r>
    </w:p>
    <w:p>
      <w:pPr>
        <w:ind w:firstLine="640"/>
        <w:rPr>
          <w:rFonts w:cs="Times New Roman"/>
        </w:rPr>
      </w:pPr>
      <w:r>
        <w:rPr>
          <w:rFonts w:cs="Times New Roman"/>
        </w:rPr>
        <w:t>3、区域发展对交通运输发展的需求</w:t>
      </w:r>
    </w:p>
    <w:p>
      <w:pPr>
        <w:ind w:firstLine="640"/>
        <w:rPr>
          <w:rFonts w:cs="Times New Roman"/>
        </w:rPr>
      </w:pPr>
      <w:r>
        <w:rPr>
          <w:rFonts w:cs="Times New Roman"/>
        </w:rPr>
        <w:t>（1）紧抓发展机遇，大力促进产业发展。面对传统产业动力下降，新型产业带动不足，税源萎缩与支出刚性的矛盾，阳城县积极寻求转型发展。传统产业方面以提升竞争力，煤炭高效清洁、绿色安全发展为主；壮大发展新型产业。另外阳城县大力扶持现代农业发展，建设产出高效、产品安全、资源节约、环境友好的特色农业。阳城县重要产业发展的强劲动力和良好趋势对交通体系的建设提出更高的要求。</w:t>
      </w:r>
    </w:p>
    <w:p>
      <w:pPr>
        <w:ind w:firstLine="640"/>
        <w:rPr>
          <w:rFonts w:cs="Times New Roman"/>
        </w:rPr>
      </w:pPr>
      <w:r>
        <w:rPr>
          <w:rFonts w:cs="Times New Roman"/>
        </w:rPr>
        <w:t>（2）规划引领协同融合，打造综合运输服务升级。</w:t>
      </w:r>
    </w:p>
    <w:p>
      <w:pPr>
        <w:ind w:firstLine="640"/>
        <w:rPr>
          <w:rFonts w:cs="Times New Roman"/>
        </w:rPr>
      </w:pPr>
      <w:r>
        <w:rPr>
          <w:rFonts w:cs="Times New Roman"/>
        </w:rPr>
        <w:t>应加快形成有利于综合交通运输发展的组织管理体系、工作运行体系，充分发挥规划引领作用，科学确定各种运输方式的基础设施空间布局和建设时序，努力实现交通基础设施规划“一张图”、建设“一盘棋”。抓住旅客联程运输、货物多式联运两个关键环节，提升综合运输服务的可达性、便捷性、经济性、安全性、可靠性。要推动交通运输组织管理创新，觤范引导各种运输方式新业态的发展，以‘互联网+’推动各种运输方式新旧业态加快融合。</w:t>
      </w:r>
    </w:p>
    <w:p>
      <w:pPr>
        <w:ind w:firstLine="640"/>
        <w:rPr>
          <w:rFonts w:cs="Times New Roman"/>
        </w:rPr>
      </w:pPr>
      <w:r>
        <w:rPr>
          <w:rFonts w:cs="Times New Roman"/>
        </w:rPr>
        <w:t>从国内宏观趋势、区域发展联系、区域自身发展需要来看，阳城县经济社会正处于蓄势待发，迈向新台阶的关键阶段。公路网规划特别是农村公路网规划对于推动资源开发、分配及利用，地区经济要素自由的流动、生产、交流与消费，方便客货运输交换，带动经济社会发展起着极其重要的作用。而纵观阳城县农村公路规划与经济社会的发展协动关系已经略显拖滞，而且阳城县现状公路网总体上已呈现出一定的不适应性。</w:t>
      </w:r>
    </w:p>
    <w:p>
      <w:pPr>
        <w:ind w:firstLine="640"/>
        <w:rPr>
          <w:rFonts w:cs="Times New Roman"/>
        </w:rPr>
      </w:pPr>
      <w:r>
        <w:rPr>
          <w:rFonts w:cs="Times New Roman"/>
        </w:rPr>
        <w:t>针对现状公路网存在的问题，结合经济社会的发展形势对交通网络提出的要求，对阳城县交通网络特别是农村公路网进行融合性统筹规划，完善公路网结构规模，提升公路网功能，降低交通运输成本，提高客货流运输效率，对阳城县公路网近期建设任务进行安排、对远期路网进行展望，推进高效、合理、科学、绿色、可持续的发展规划。</w:t>
      </w:r>
    </w:p>
    <w:p>
      <w:pPr>
        <w:ind w:firstLine="640"/>
        <w:rPr>
          <w:rFonts w:cs="Times New Roman"/>
        </w:rPr>
      </w:pPr>
      <w:r>
        <w:rPr>
          <w:rFonts w:cs="Times New Roman"/>
        </w:rPr>
        <w:t>（3）实施</w:t>
      </w:r>
      <w:r>
        <w:rPr>
          <w:rFonts w:hint="eastAsia" w:cs="Times New Roman"/>
        </w:rPr>
        <w:t>节约资源，绿色发展</w:t>
      </w:r>
      <w:r>
        <w:rPr>
          <w:rFonts w:cs="Times New Roman"/>
        </w:rPr>
        <w:t>，要求把</w:t>
      </w:r>
      <w:r>
        <w:rPr>
          <w:rFonts w:hint="eastAsia" w:cs="Times New Roman"/>
        </w:rPr>
        <w:t>绿色交通</w:t>
      </w:r>
      <w:r>
        <w:rPr>
          <w:rFonts w:cs="Times New Roman"/>
        </w:rPr>
        <w:t>作为重中之重。</w:t>
      </w:r>
    </w:p>
    <w:p>
      <w:pPr>
        <w:ind w:firstLine="640"/>
        <w:rPr>
          <w:rFonts w:cs="Times New Roman"/>
        </w:rPr>
      </w:pPr>
      <w:r>
        <w:rPr>
          <w:rFonts w:hint="eastAsia" w:cs="Times New Roman"/>
        </w:rPr>
        <w:t>绿水青山就是金山银山，现状公路网存在的问题中，改善道路现状要牢固树立“不破坏就是最大的保护”和集约节约发展的理念，最大程度减少耕地占用和生态破坏，最大限度利用现有公路资源，降低农村公路发展的资源环境代价，推动农村公路集约节约发展，实现农村公路与生态环境和谐共生，促进农村人居环境改善，带动美丽乡村建设。</w:t>
      </w:r>
    </w:p>
    <w:p>
      <w:pPr>
        <w:ind w:firstLine="640"/>
        <w:rPr>
          <w:rFonts w:cs="Times New Roman"/>
        </w:rPr>
      </w:pPr>
    </w:p>
    <w:p>
      <w:pPr>
        <w:ind w:firstLine="640"/>
        <w:rPr>
          <w:rFonts w:cs="Times New Roman"/>
        </w:rPr>
        <w:sectPr>
          <w:headerReference r:id="rId16" w:type="default"/>
          <w:pgSz w:w="11906" w:h="16838"/>
          <w:pgMar w:top="1701" w:right="1531" w:bottom="1531" w:left="1531" w:header="851" w:footer="992" w:gutter="0"/>
          <w:cols w:space="425" w:num="1"/>
          <w:docGrid w:type="lines" w:linePitch="312" w:charSpace="0"/>
        </w:sectPr>
      </w:pPr>
    </w:p>
    <w:p>
      <w:pPr>
        <w:pStyle w:val="2"/>
        <w:spacing w:before="156" w:after="156"/>
        <w:ind w:left="1134"/>
        <w:rPr>
          <w:rFonts w:cs="Times New Roman"/>
        </w:rPr>
      </w:pPr>
      <w:bookmarkStart w:id="88" w:name="_Toc49243388"/>
      <w:bookmarkStart w:id="89" w:name="_Toc49243314"/>
      <w:r>
        <w:rPr>
          <w:rFonts w:cs="Times New Roman"/>
        </w:rPr>
        <w:t>发展思路与目标</w:t>
      </w:r>
      <w:bookmarkEnd w:id="88"/>
      <w:bookmarkEnd w:id="89"/>
    </w:p>
    <w:p>
      <w:pPr>
        <w:pStyle w:val="3"/>
        <w:ind w:firstLine="640"/>
        <w:rPr>
          <w:rFonts w:eastAsia="方正楷体简体" w:cs="Times New Roman"/>
          <w:bCs w:val="0"/>
        </w:rPr>
      </w:pPr>
      <w:bookmarkStart w:id="90" w:name="_Toc49243315"/>
      <w:bookmarkStart w:id="91" w:name="_Toc49243389"/>
      <w:r>
        <w:rPr>
          <w:rFonts w:eastAsia="方正楷体简体" w:cs="Times New Roman"/>
          <w:bCs w:val="0"/>
        </w:rPr>
        <w:t>指导思想</w:t>
      </w:r>
      <w:bookmarkEnd w:id="90"/>
      <w:bookmarkEnd w:id="91"/>
    </w:p>
    <w:p>
      <w:pPr>
        <w:ind w:firstLine="640"/>
        <w:rPr>
          <w:rFonts w:cs="Times New Roman"/>
        </w:rPr>
      </w:pPr>
      <w:r>
        <w:rPr>
          <w:rFonts w:cs="Times New Roman"/>
        </w:rPr>
        <w:t>以习近平新时代中国特色社会主义思想为指导，深入贯彻党的十九大以及十九届二中、三中、四中全会精神，全面落实习近平总书记“三篇光辉文献”和关于“四好农村路”建设的重要批示指示精神，按照省委“四为四高两同步”总体思路要求，牢固树立“建好是基础，管好是手段，护好是保障，运营好是目的”的发展理念，以推进交通强国建设为总抓手，以深化农村公路管养体制改革为动力，以美丽农村路建设为载体，优布局、调结构、转方式、重衔接，统筹推进农村公路建管养运协调发展，努力实现农村公路发展“五个转变”（从“行业主导”向“政府主导”转变、从“规模速度”向“质量效益”转变、从“粗放管理”向“精细管理”转变、从“会战式发展”向“可持续发展”转变、从“单兵推进”向“融合发展”转变），促进城乡交通运输基本公共服务均等化，为巩固脱贫攻坚成果、实施乡村振兴战略提供坚实的交通运输保障。</w:t>
      </w:r>
    </w:p>
    <w:p>
      <w:pPr>
        <w:ind w:firstLine="640"/>
        <w:rPr>
          <w:rFonts w:cs="Times New Roman"/>
        </w:rPr>
      </w:pPr>
      <w:r>
        <w:rPr>
          <w:rFonts w:hint="eastAsia" w:cs="Times New Roman"/>
        </w:rPr>
        <w:t>全面贯彻党的十八大和</w:t>
      </w:r>
      <w:r>
        <w:rPr>
          <w:rFonts w:hint="eastAsia" w:cs="Times New Roman"/>
          <w:lang w:eastAsia="zh-CN"/>
        </w:rPr>
        <w:t>十九大精神</w:t>
      </w:r>
      <w:r>
        <w:rPr>
          <w:rFonts w:hint="eastAsia" w:cs="Times New Roman"/>
        </w:rPr>
        <w:t>、以习近平总书记系列重要讲话精神和对农村公路工作的重要指示批示精神，认真落实省委、省政府做出的改善农村人居环境决策部署和交通运输部提出的“四好农村路”建设总体要求，坚持改革创新发展理念，进一步把农村公路建好、管好、护好、运营好，在2020年全县“内通外联、班车到村、通村畅乡、安全便捷”的农村公路网体系形成的基础上，进一步建设完善“四好农村路”，确保乡镇和建制村通硬化路比例达到100%，建制村通客车比例达到100%，并进一步提高道路等级及铺装里程。要发挥“四好农村路”的示范引领作用，为农村经济社会发展和同步建成小康社会提供交通运输保障。</w:t>
      </w:r>
    </w:p>
    <w:p>
      <w:pPr>
        <w:ind w:firstLine="640"/>
        <w:rPr>
          <w:rFonts w:cs="Times New Roman"/>
        </w:rPr>
      </w:pPr>
      <w:r>
        <w:rPr>
          <w:rFonts w:cs="Times New Roman"/>
        </w:rPr>
        <w:t>结合晋城市和阳城县的实际情况，</w:t>
      </w:r>
      <w:r>
        <w:rPr>
          <w:rFonts w:hint="eastAsia" w:cs="Times New Roman"/>
        </w:rPr>
        <w:t>阳城县农村公路“十四五”发展规划</w:t>
      </w:r>
      <w:r>
        <w:rPr>
          <w:rFonts w:cs="Times New Roman"/>
        </w:rPr>
        <w:t>在编制过程中坚持贯彻以下指导思想：</w:t>
      </w:r>
    </w:p>
    <w:p>
      <w:pPr>
        <w:ind w:firstLine="640"/>
        <w:rPr>
          <w:rFonts w:cs="Times New Roman"/>
        </w:rPr>
      </w:pPr>
      <w:r>
        <w:rPr>
          <w:rFonts w:cs="Times New Roman"/>
        </w:rPr>
        <w:t>1、以</w:t>
      </w:r>
      <w:r>
        <w:rPr>
          <w:rFonts w:hint="eastAsia" w:cs="Times New Roman"/>
        </w:rPr>
        <w:t>十九大以及十九届二中、三中、四中全会精神</w:t>
      </w:r>
      <w:r>
        <w:rPr>
          <w:rFonts w:cs="Times New Roman"/>
        </w:rPr>
        <w:t>为指导，认真贯彻</w:t>
      </w:r>
      <w:r>
        <w:rPr>
          <w:rFonts w:hint="eastAsia" w:cs="Times New Roman"/>
        </w:rPr>
        <w:t>省</w:t>
      </w:r>
      <w:r>
        <w:rPr>
          <w:rFonts w:cs="Times New Roman"/>
        </w:rPr>
        <w:t>委、</w:t>
      </w:r>
      <w:r>
        <w:rPr>
          <w:rFonts w:hint="eastAsia" w:cs="Times New Roman"/>
        </w:rPr>
        <w:t>省</w:t>
      </w:r>
      <w:r>
        <w:rPr>
          <w:rFonts w:cs="Times New Roman"/>
        </w:rPr>
        <w:t>政府的发展战略，从满足全</w:t>
      </w:r>
      <w:r>
        <w:rPr>
          <w:rFonts w:hint="eastAsia" w:cs="Times New Roman"/>
        </w:rPr>
        <w:t>县</w:t>
      </w:r>
      <w:r>
        <w:rPr>
          <w:rFonts w:cs="Times New Roman"/>
        </w:rPr>
        <w:t>社会经济发展的需要出发，构筑快速便捷的国省道干线公路网络，全面提升路网服务水平，实现公路运输跨越式发展。结合现有公路网布局、城镇人口分布、区域经济状况、自然条件以及周边地区公路网布局规划，提出功能明确、布局合理的公路网络。</w:t>
      </w:r>
    </w:p>
    <w:p>
      <w:pPr>
        <w:ind w:firstLine="640"/>
        <w:rPr>
          <w:rFonts w:cs="Times New Roman"/>
        </w:rPr>
      </w:pPr>
      <w:r>
        <w:rPr>
          <w:rFonts w:cs="Times New Roman"/>
        </w:rPr>
        <w:t>2、树立整体和全局的观念，从建设现代化智能交通的全局出发，按照统筹规划的原则，建成开放式、纵横交错、四通八达的高效公路网络体系。</w:t>
      </w:r>
    </w:p>
    <w:p>
      <w:pPr>
        <w:ind w:firstLine="640"/>
        <w:rPr>
          <w:rFonts w:cs="Times New Roman"/>
        </w:rPr>
      </w:pPr>
      <w:r>
        <w:rPr>
          <w:rFonts w:cs="Times New Roman"/>
        </w:rPr>
        <w:t>3、逐步完善和强化公路网对国民经济和社会的需求服务以及开发促进的双重功能。在全面打通连接相邻县区的同时，注重公路网的覆盖度，提高通达度。积极支持开发、开放公路建设。</w:t>
      </w:r>
    </w:p>
    <w:p>
      <w:pPr>
        <w:ind w:firstLine="640"/>
        <w:rPr>
          <w:rFonts w:cs="Times New Roman"/>
        </w:rPr>
      </w:pPr>
      <w:r>
        <w:rPr>
          <w:rFonts w:cs="Times New Roman"/>
        </w:rPr>
        <w:t>4、坚持遵循需要与可能相结合，远期与近期相结合，经济效益与社会效益相结合，平时建设与战时需要相结合的原则，从自身特点出发，吸取多方的经验，既要整体适度安排，量力而行，又要个别超前安排，着眼未来；既要突出重点，又要全面发展。</w:t>
      </w:r>
    </w:p>
    <w:p>
      <w:pPr>
        <w:ind w:firstLine="640"/>
        <w:rPr>
          <w:rFonts w:cs="Times New Roman"/>
        </w:rPr>
      </w:pPr>
      <w:r>
        <w:rPr>
          <w:rFonts w:cs="Times New Roman"/>
        </w:rPr>
        <w:t>5、正确处理各种运输方式相互间的关系，在公路规划建设上要充分体现 “发展以综合运输体系为主轴的交通业”的发展方针。结合阳城县公路、铁路客货运站场，优化路网布局，发挥路网最大的社会和经济效益。</w:t>
      </w:r>
    </w:p>
    <w:p>
      <w:pPr>
        <w:ind w:firstLine="640"/>
        <w:rPr>
          <w:rFonts w:cs="Times New Roman"/>
        </w:rPr>
      </w:pPr>
      <w:r>
        <w:rPr>
          <w:rFonts w:cs="Times New Roman"/>
        </w:rPr>
        <w:t>另外，在考虑路网规划时，还要贯彻以人为本的理念，贯彻可持续发展的理念，引入需求管理的先进理念。</w:t>
      </w:r>
    </w:p>
    <w:p>
      <w:pPr>
        <w:pStyle w:val="3"/>
        <w:ind w:firstLine="640"/>
        <w:rPr>
          <w:rFonts w:cs="Times New Roman"/>
        </w:rPr>
      </w:pPr>
      <w:bookmarkStart w:id="92" w:name="_Toc49243316"/>
      <w:bookmarkStart w:id="93" w:name="_Toc49243390"/>
      <w:r>
        <w:rPr>
          <w:rFonts w:cs="Times New Roman"/>
        </w:rPr>
        <w:t>基本原则</w:t>
      </w:r>
      <w:bookmarkEnd w:id="92"/>
      <w:bookmarkEnd w:id="93"/>
    </w:p>
    <w:p>
      <w:pPr>
        <w:ind w:firstLine="640"/>
        <w:rPr>
          <w:rFonts w:cs="Times New Roman"/>
        </w:rPr>
      </w:pPr>
      <w:r>
        <w:rPr>
          <w:rFonts w:cs="Times New Roman"/>
        </w:rPr>
        <w:t>1、科学规划，适度超前。统筹脱贫攻坚与乡村振兴战略的衔接，牢牢把握交通运输先行官定位，适度超前规划农村公路网布局；统筹国道、省道与农村公路发展，注重路网衔接，形成区域公路一张网格局；统筹村镇布局、资源禀赋、农村生产力布局与农村公路发展，推进村路融合、产路融合，合理确定建设重点和建设任务，充分发挥农村公路的效益。</w:t>
      </w:r>
    </w:p>
    <w:p>
      <w:pPr>
        <w:ind w:firstLine="640"/>
        <w:rPr>
          <w:rFonts w:cs="Times New Roman"/>
        </w:rPr>
      </w:pPr>
      <w:r>
        <w:rPr>
          <w:rFonts w:cs="Times New Roman"/>
        </w:rPr>
        <w:t>2、四好并重，协调发展。聚焦“重建轻养”、“重建轻管”等突出问题，补短板、强弱项、抓重点，切实把农村公路管理、养护、运营摆到农村公路发展的重要位置，提高农村公路使用寿命和资源利用率，提升农村交通运输服务供给能力。</w:t>
      </w:r>
    </w:p>
    <w:p>
      <w:pPr>
        <w:ind w:firstLine="640"/>
        <w:rPr>
          <w:rFonts w:cs="Times New Roman"/>
        </w:rPr>
      </w:pPr>
      <w:r>
        <w:rPr>
          <w:rFonts w:cs="Times New Roman"/>
        </w:rPr>
        <w:t>3、节约资源，绿色发展。牢固树立“不破坏就是最大的保护”和集约节约发展的理念，最大程度减少耕地占用和生态破坏，最大限度利用现有公路资源，降低农村公路发展的资源环境代价，推动农村公路集约节约发展，实现农村公路与生态环境和谐共生，促进农村人居环境改善，带动美丽乡村建设。</w:t>
      </w:r>
    </w:p>
    <w:p>
      <w:pPr>
        <w:ind w:firstLine="640"/>
        <w:rPr>
          <w:rFonts w:cs="Times New Roman"/>
        </w:rPr>
      </w:pPr>
      <w:r>
        <w:rPr>
          <w:rFonts w:cs="Times New Roman"/>
        </w:rPr>
        <w:t>4、政府主导，强化治理。将农村公路治理体系和治理能力建设作为规划的重要内容，坚持全面深化改革、全面依法治路，强化县级人民政府的主体责任，形成“政府主导、分级负责、交通组织协调、部门齐抓共管”的农村公路发展领导体制和运行机制，建立公共财政主导的资金保障体系、协同高效精干的组织体系和科学完备的制度体系。</w:t>
      </w:r>
    </w:p>
    <w:p>
      <w:pPr>
        <w:pStyle w:val="3"/>
        <w:ind w:firstLine="640"/>
        <w:rPr>
          <w:rFonts w:eastAsia="方正楷体简体" w:cs="Times New Roman"/>
          <w:bCs w:val="0"/>
        </w:rPr>
      </w:pPr>
      <w:bookmarkStart w:id="94" w:name="_Toc49243391"/>
      <w:bookmarkStart w:id="95" w:name="_Toc49243317"/>
      <w:r>
        <w:rPr>
          <w:rFonts w:eastAsia="方正楷体简体" w:cs="Times New Roman"/>
          <w:bCs w:val="0"/>
        </w:rPr>
        <w:t>规划目标</w:t>
      </w:r>
      <w:bookmarkEnd w:id="94"/>
      <w:bookmarkEnd w:id="95"/>
    </w:p>
    <w:p>
      <w:pPr>
        <w:spacing w:line="360" w:lineRule="auto"/>
        <w:ind w:firstLine="640"/>
        <w:rPr>
          <w:rFonts w:cs="Times New Roman"/>
        </w:rPr>
      </w:pPr>
      <w:r>
        <w:rPr>
          <w:rFonts w:cs="Times New Roman"/>
        </w:rPr>
        <w:t>按照《交通强国建设纲要》提出的“到本世纪中叶全面建成交通强国、到2035年基本建成交通强国”的目标要求，立足我省农村经济社会发展的阶段性特征，合理确定本地区农村公路“十四五”发展目标。</w:t>
      </w:r>
    </w:p>
    <w:p>
      <w:pPr>
        <w:spacing w:line="360" w:lineRule="auto"/>
        <w:ind w:firstLine="640"/>
        <w:rPr>
          <w:rFonts w:cs="Times New Roman"/>
        </w:rPr>
      </w:pPr>
      <w:r>
        <w:rPr>
          <w:rFonts w:cs="Times New Roman"/>
        </w:rPr>
        <w:t>到2025年，全省农村交通条件和出行环境得到根本改善，基本建成“布局合理、结构优化、干支相连、畅乡通村、景景畅通、安全便捷、绿色经济”的农村公路网络；农村公路治理体系基本健全，治理能力明显提升，可持续发展长效机制基本建立；城乡客运一体化深入发展，农村客运与物流网络化服务体系基本建立，服务品质显著提升；农村公路与旅游等产业发展深度融合，促进农民增产增收、支撑农业现代化、服务区域经济社会发展的作用明显增强。</w:t>
      </w:r>
    </w:p>
    <w:p>
      <w:pPr>
        <w:spacing w:line="360" w:lineRule="auto"/>
        <w:ind w:firstLine="640"/>
        <w:rPr>
          <w:rFonts w:cs="Times New Roman"/>
        </w:rPr>
      </w:pPr>
      <w:r>
        <w:rPr>
          <w:rFonts w:hint="eastAsia" w:cs="Times New Roman"/>
        </w:rPr>
        <w:t>深入推动农村基础设施建设，完善县、乡、村三级“路长制”，建立健全农村公路管理养护体制机制，加快规划南部重要林区和自然保护地的防火通道、林区步道，构建既满足森林防火需求，又可沟通景区、村庄的交通路网。</w:t>
      </w:r>
    </w:p>
    <w:p>
      <w:pPr>
        <w:pStyle w:val="4"/>
        <w:ind w:firstLine="602"/>
        <w:rPr>
          <w:rFonts w:cs="Times New Roman"/>
        </w:rPr>
      </w:pPr>
      <w:bookmarkStart w:id="96" w:name="_Toc49243392"/>
      <w:bookmarkStart w:id="97" w:name="_Toc488330152"/>
      <w:bookmarkStart w:id="98" w:name="_Toc49243318"/>
      <w:bookmarkStart w:id="99" w:name="_Toc488330239"/>
      <w:r>
        <w:rPr>
          <w:rFonts w:cs="Times New Roman"/>
        </w:rPr>
        <w:t>目标任务</w:t>
      </w:r>
      <w:bookmarkEnd w:id="96"/>
      <w:bookmarkEnd w:id="97"/>
      <w:bookmarkEnd w:id="98"/>
      <w:bookmarkEnd w:id="99"/>
    </w:p>
    <w:p>
      <w:pPr>
        <w:snapToGrid w:val="0"/>
        <w:spacing w:line="360" w:lineRule="auto"/>
        <w:ind w:firstLine="640"/>
        <w:rPr>
          <w:rFonts w:cs="Times New Roman"/>
        </w:rPr>
      </w:pPr>
      <w:r>
        <w:rPr>
          <w:rFonts w:hint="eastAsia" w:cs="Times New Roman"/>
        </w:rPr>
        <w:t>为深入贯彻落实党中央、国务院对“三农”工作部署和习近平总书记对农村公路的重要指示精神，加快推进农村公路建管养运协调可持续发展，必须进一步积极推进“四好农村路”建设。故首先就是要解决农村公路的规划问题，灵活掌握原则，统筹制定公路建设目标。</w:t>
      </w:r>
    </w:p>
    <w:p>
      <w:pPr>
        <w:snapToGrid w:val="0"/>
        <w:spacing w:line="360" w:lineRule="auto"/>
        <w:ind w:firstLine="640"/>
        <w:rPr>
          <w:rFonts w:cs="Times New Roman"/>
        </w:rPr>
      </w:pPr>
      <w:r>
        <w:rPr>
          <w:rFonts w:hint="eastAsia" w:cs="Times New Roman"/>
        </w:rPr>
        <w:t>“十四五”期间</w:t>
      </w:r>
      <w:r>
        <w:rPr>
          <w:rFonts w:cs="Times New Roman"/>
        </w:rPr>
        <w:t>，阳城县农村公路重点实施</w:t>
      </w:r>
      <w:r>
        <w:rPr>
          <w:rFonts w:hint="eastAsia" w:cs="Times New Roman"/>
        </w:rPr>
        <w:t>较大人口规模自然村通硬化路</w:t>
      </w:r>
      <w:r>
        <w:rPr>
          <w:rFonts w:cs="Times New Roman"/>
        </w:rPr>
        <w:t>、</w:t>
      </w:r>
      <w:r>
        <w:rPr>
          <w:rFonts w:hint="eastAsia" w:cs="Times New Roman"/>
        </w:rPr>
        <w:t>建制村通双车道公路改造建设</w:t>
      </w:r>
      <w:r>
        <w:rPr>
          <w:rFonts w:cs="Times New Roman"/>
        </w:rPr>
        <w:t>、</w:t>
      </w:r>
      <w:r>
        <w:rPr>
          <w:rFonts w:hint="eastAsia" w:cs="Times New Roman"/>
        </w:rPr>
        <w:t>乡镇通三级及以上公路建设</w:t>
      </w:r>
      <w:r>
        <w:rPr>
          <w:rFonts w:cs="Times New Roman"/>
        </w:rPr>
        <w:t>、</w:t>
      </w:r>
      <w:r>
        <w:rPr>
          <w:rFonts w:hint="eastAsia" w:cs="Times New Roman"/>
        </w:rPr>
        <w:t>公路提质改造</w:t>
      </w:r>
      <w:r>
        <w:rPr>
          <w:rFonts w:cs="Times New Roman"/>
        </w:rPr>
        <w:t>等工程，有序推进农村公路改造、延伸和联网工程建设，加大交通</w:t>
      </w:r>
      <w:r>
        <w:rPr>
          <w:rFonts w:hint="eastAsia" w:cs="Times New Roman"/>
          <w:lang w:eastAsia="zh-CN"/>
        </w:rPr>
        <w:t>脱贫攻坚</w:t>
      </w:r>
      <w:r>
        <w:rPr>
          <w:rFonts w:cs="Times New Roman"/>
        </w:rPr>
        <w:t>力度，全面推进</w:t>
      </w:r>
      <w:r>
        <w:rPr>
          <w:rFonts w:hint="eastAsia" w:cs="Times New Roman"/>
        </w:rPr>
        <w:t>农村公路</w:t>
      </w:r>
      <w:r>
        <w:rPr>
          <w:rFonts w:cs="Times New Roman"/>
        </w:rPr>
        <w:t>建设，为发展农村客运和农村物流创造交通运输基础条件。</w:t>
      </w:r>
    </w:p>
    <w:p>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4</w:t>
      </w:r>
      <w:r>
        <w:rPr>
          <w:rFonts w:hint="eastAsia" w:cs="Times New Roman"/>
          <w:b/>
          <w:sz w:val="28"/>
          <w:szCs w:val="28"/>
        </w:rPr>
        <w:t>-1</w:t>
      </w:r>
      <w:r>
        <w:rPr>
          <w:rFonts w:cs="Times New Roman"/>
          <w:b/>
          <w:sz w:val="28"/>
          <w:szCs w:val="28"/>
        </w:rPr>
        <w:t xml:space="preserve">  </w:t>
      </w:r>
      <w:r>
        <w:rPr>
          <w:rFonts w:hint="eastAsia" w:cs="Times New Roman"/>
          <w:b/>
          <w:sz w:val="28"/>
          <w:szCs w:val="28"/>
        </w:rPr>
        <w:t>202</w:t>
      </w:r>
      <w:r>
        <w:rPr>
          <w:rFonts w:cs="Times New Roman"/>
          <w:b/>
          <w:sz w:val="28"/>
          <w:szCs w:val="28"/>
        </w:rPr>
        <w:t>5</w:t>
      </w:r>
      <w:r>
        <w:rPr>
          <w:rFonts w:hint="eastAsia" w:cs="Times New Roman"/>
          <w:b/>
          <w:sz w:val="28"/>
          <w:szCs w:val="28"/>
        </w:rPr>
        <w:t>年阳城县农村公路网构成表</w:t>
      </w:r>
    </w:p>
    <w:tbl>
      <w:tblPr>
        <w:tblStyle w:val="13"/>
        <w:tblW w:w="4873" w:type="pct"/>
        <w:jc w:val="center"/>
        <w:tblLayout w:type="autofit"/>
        <w:tblCellMar>
          <w:top w:w="0" w:type="dxa"/>
          <w:left w:w="108" w:type="dxa"/>
          <w:bottom w:w="0" w:type="dxa"/>
          <w:right w:w="108" w:type="dxa"/>
        </w:tblCellMar>
      </w:tblPr>
      <w:tblGrid>
        <w:gridCol w:w="1655"/>
        <w:gridCol w:w="901"/>
        <w:gridCol w:w="1024"/>
        <w:gridCol w:w="1024"/>
        <w:gridCol w:w="1148"/>
        <w:gridCol w:w="828"/>
        <w:gridCol w:w="1148"/>
        <w:gridCol w:w="1102"/>
      </w:tblGrid>
      <w:tr>
        <w:tblPrEx>
          <w:tblCellMar>
            <w:top w:w="0" w:type="dxa"/>
            <w:left w:w="108" w:type="dxa"/>
            <w:bottom w:w="0" w:type="dxa"/>
            <w:right w:w="108" w:type="dxa"/>
          </w:tblCellMar>
        </w:tblPrEx>
        <w:trPr>
          <w:trHeight w:val="601" w:hRule="atLeast"/>
          <w:jc w:val="center"/>
        </w:trPr>
        <w:tc>
          <w:tcPr>
            <w:tcW w:w="937" w:type="pct"/>
            <w:tcBorders>
              <w:top w:val="single" w:color="auto" w:sz="12" w:space="0"/>
              <w:left w:val="single" w:color="auto" w:sz="12" w:space="0"/>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等级</w:t>
            </w:r>
          </w:p>
        </w:tc>
        <w:tc>
          <w:tcPr>
            <w:tcW w:w="510"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一级</w:t>
            </w:r>
          </w:p>
        </w:tc>
        <w:tc>
          <w:tcPr>
            <w:tcW w:w="580"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二级</w:t>
            </w:r>
          </w:p>
        </w:tc>
        <w:tc>
          <w:tcPr>
            <w:tcW w:w="580"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三级</w:t>
            </w:r>
          </w:p>
        </w:tc>
        <w:tc>
          <w:tcPr>
            <w:tcW w:w="650"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四级</w:t>
            </w:r>
          </w:p>
        </w:tc>
        <w:tc>
          <w:tcPr>
            <w:tcW w:w="469"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等外</w:t>
            </w:r>
          </w:p>
        </w:tc>
        <w:tc>
          <w:tcPr>
            <w:tcW w:w="650" w:type="pct"/>
            <w:tcBorders>
              <w:top w:val="single" w:color="auto" w:sz="12" w:space="0"/>
              <w:left w:val="nil"/>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合计</w:t>
            </w:r>
          </w:p>
        </w:tc>
        <w:tc>
          <w:tcPr>
            <w:tcW w:w="626" w:type="pct"/>
            <w:tcBorders>
              <w:top w:val="single" w:color="auto" w:sz="12" w:space="0"/>
              <w:left w:val="nil"/>
              <w:bottom w:val="single" w:color="auto" w:sz="8" w:space="0"/>
              <w:right w:val="single" w:color="auto" w:sz="12"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比例</w:t>
            </w:r>
          </w:p>
        </w:tc>
      </w:tr>
      <w:tr>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县道</w:t>
            </w:r>
          </w:p>
        </w:tc>
        <w:tc>
          <w:tcPr>
            <w:tcW w:w="51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78.128</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169.77</w:t>
            </w: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83.003</w:t>
            </w:r>
          </w:p>
        </w:tc>
        <w:tc>
          <w:tcPr>
            <w:tcW w:w="469"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330.901</w:t>
            </w:r>
          </w:p>
        </w:tc>
        <w:tc>
          <w:tcPr>
            <w:tcW w:w="626" w:type="pct"/>
            <w:tcBorders>
              <w:top w:val="nil"/>
              <w:left w:val="nil"/>
              <w:bottom w:val="single" w:color="auto" w:sz="8" w:space="0"/>
              <w:right w:val="single" w:color="auto" w:sz="12" w:space="0"/>
            </w:tcBorders>
            <w:shd w:val="clear" w:color="auto" w:fill="auto"/>
            <w:vAlign w:val="center"/>
          </w:tcPr>
          <w:p>
            <w:pPr>
              <w:ind w:firstLine="0" w:firstLineChars="0"/>
              <w:jc w:val="center"/>
              <w:rPr>
                <w:sz w:val="24"/>
                <w:szCs w:val="24"/>
              </w:rPr>
            </w:pPr>
            <w:r>
              <w:rPr>
                <w:sz w:val="24"/>
                <w:szCs w:val="24"/>
              </w:rPr>
              <w:t>14.09%</w:t>
            </w:r>
          </w:p>
        </w:tc>
      </w:tr>
      <w:tr>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乡道</w:t>
            </w:r>
          </w:p>
        </w:tc>
        <w:tc>
          <w:tcPr>
            <w:tcW w:w="51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12.59</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32.233</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72.902</w:t>
            </w: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797.068</w:t>
            </w:r>
          </w:p>
        </w:tc>
        <w:tc>
          <w:tcPr>
            <w:tcW w:w="469"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914.793</w:t>
            </w:r>
          </w:p>
        </w:tc>
        <w:tc>
          <w:tcPr>
            <w:tcW w:w="626" w:type="pct"/>
            <w:tcBorders>
              <w:top w:val="nil"/>
              <w:left w:val="nil"/>
              <w:bottom w:val="single" w:color="auto" w:sz="8" w:space="0"/>
              <w:right w:val="single" w:color="auto" w:sz="12" w:space="0"/>
            </w:tcBorders>
            <w:shd w:val="clear" w:color="auto" w:fill="auto"/>
            <w:vAlign w:val="center"/>
          </w:tcPr>
          <w:p>
            <w:pPr>
              <w:ind w:firstLine="0" w:firstLineChars="0"/>
              <w:jc w:val="center"/>
              <w:rPr>
                <w:sz w:val="24"/>
                <w:szCs w:val="24"/>
              </w:rPr>
            </w:pPr>
            <w:r>
              <w:rPr>
                <w:sz w:val="24"/>
                <w:szCs w:val="24"/>
              </w:rPr>
              <w:t>38.95%</w:t>
            </w:r>
          </w:p>
        </w:tc>
      </w:tr>
      <w:tr>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村道</w:t>
            </w:r>
          </w:p>
        </w:tc>
        <w:tc>
          <w:tcPr>
            <w:tcW w:w="51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2.184</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24.175</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48.416</w:t>
            </w: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957.917</w:t>
            </w:r>
          </w:p>
        </w:tc>
        <w:tc>
          <w:tcPr>
            <w:tcW w:w="469"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1103.02</w:t>
            </w:r>
          </w:p>
        </w:tc>
        <w:tc>
          <w:tcPr>
            <w:tcW w:w="626" w:type="pct"/>
            <w:tcBorders>
              <w:top w:val="nil"/>
              <w:left w:val="nil"/>
              <w:bottom w:val="single" w:color="auto" w:sz="8" w:space="0"/>
              <w:right w:val="single" w:color="auto" w:sz="12" w:space="0"/>
            </w:tcBorders>
            <w:shd w:val="clear" w:color="auto" w:fill="auto"/>
            <w:vAlign w:val="center"/>
          </w:tcPr>
          <w:p>
            <w:pPr>
              <w:ind w:firstLine="0" w:firstLineChars="0"/>
              <w:jc w:val="center"/>
              <w:rPr>
                <w:sz w:val="24"/>
                <w:szCs w:val="24"/>
              </w:rPr>
            </w:pPr>
            <w:r>
              <w:rPr>
                <w:sz w:val="24"/>
                <w:szCs w:val="24"/>
              </w:rPr>
              <w:t>46.96%</w:t>
            </w:r>
          </w:p>
        </w:tc>
      </w:tr>
      <w:tr>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8"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合计</w:t>
            </w:r>
          </w:p>
        </w:tc>
        <w:tc>
          <w:tcPr>
            <w:tcW w:w="51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14.774</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134.536</w:t>
            </w:r>
          </w:p>
        </w:tc>
        <w:tc>
          <w:tcPr>
            <w:tcW w:w="58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291.088</w:t>
            </w: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1837.988</w:t>
            </w:r>
          </w:p>
        </w:tc>
        <w:tc>
          <w:tcPr>
            <w:tcW w:w="469"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p>
        </w:tc>
        <w:tc>
          <w:tcPr>
            <w:tcW w:w="650" w:type="pct"/>
            <w:tcBorders>
              <w:top w:val="nil"/>
              <w:left w:val="nil"/>
              <w:bottom w:val="single" w:color="auto" w:sz="8" w:space="0"/>
              <w:right w:val="single" w:color="auto" w:sz="8" w:space="0"/>
            </w:tcBorders>
            <w:shd w:val="clear" w:color="auto" w:fill="auto"/>
            <w:vAlign w:val="center"/>
          </w:tcPr>
          <w:p>
            <w:pPr>
              <w:ind w:firstLine="0" w:firstLineChars="0"/>
              <w:jc w:val="center"/>
              <w:rPr>
                <w:sz w:val="24"/>
                <w:szCs w:val="24"/>
              </w:rPr>
            </w:pPr>
            <w:r>
              <w:rPr>
                <w:sz w:val="24"/>
                <w:szCs w:val="24"/>
              </w:rPr>
              <w:t>2348.714</w:t>
            </w:r>
          </w:p>
        </w:tc>
        <w:tc>
          <w:tcPr>
            <w:tcW w:w="626" w:type="pct"/>
            <w:tcBorders>
              <w:top w:val="nil"/>
              <w:left w:val="nil"/>
              <w:bottom w:val="single" w:color="auto" w:sz="8" w:space="0"/>
              <w:right w:val="single" w:color="auto" w:sz="12" w:space="0"/>
            </w:tcBorders>
            <w:shd w:val="clear" w:color="auto" w:fill="auto"/>
            <w:vAlign w:val="center"/>
          </w:tcPr>
          <w:p>
            <w:pPr>
              <w:ind w:firstLine="0" w:firstLineChars="0"/>
              <w:jc w:val="center"/>
              <w:rPr>
                <w:sz w:val="24"/>
                <w:szCs w:val="24"/>
              </w:rPr>
            </w:pPr>
            <w:r>
              <w:rPr>
                <w:sz w:val="24"/>
                <w:szCs w:val="24"/>
              </w:rPr>
              <w:t>100.00%</w:t>
            </w:r>
          </w:p>
        </w:tc>
      </w:tr>
      <w:tr>
        <w:tblPrEx>
          <w:tblCellMar>
            <w:top w:w="0" w:type="dxa"/>
            <w:left w:w="108" w:type="dxa"/>
            <w:bottom w:w="0" w:type="dxa"/>
            <w:right w:w="108" w:type="dxa"/>
          </w:tblCellMar>
        </w:tblPrEx>
        <w:trPr>
          <w:trHeight w:val="454" w:hRule="atLeast"/>
          <w:jc w:val="center"/>
        </w:trPr>
        <w:tc>
          <w:tcPr>
            <w:tcW w:w="937" w:type="pct"/>
            <w:tcBorders>
              <w:top w:val="nil"/>
              <w:left w:val="single" w:color="auto" w:sz="12" w:space="0"/>
              <w:bottom w:val="single" w:color="auto" w:sz="12" w:space="0"/>
              <w:right w:val="single" w:color="auto" w:sz="8" w:space="0"/>
            </w:tcBorders>
            <w:shd w:val="clear" w:color="auto" w:fill="auto"/>
            <w:vAlign w:val="center"/>
          </w:tcPr>
          <w:p>
            <w:pPr>
              <w:widowControl/>
              <w:ind w:firstLine="0" w:firstLineChars="0"/>
              <w:jc w:val="center"/>
              <w:rPr>
                <w:rFonts w:ascii="仿宋_GB2312" w:hAnsi="宋体" w:cs="宋体"/>
                <w:kern w:val="0"/>
                <w:sz w:val="24"/>
                <w:szCs w:val="24"/>
              </w:rPr>
            </w:pPr>
            <w:r>
              <w:rPr>
                <w:rFonts w:hint="eastAsia" w:ascii="仿宋_GB2312" w:hAnsi="宋体" w:cs="宋体"/>
                <w:kern w:val="0"/>
                <w:sz w:val="24"/>
                <w:szCs w:val="24"/>
              </w:rPr>
              <w:t>比例</w:t>
            </w:r>
          </w:p>
        </w:tc>
        <w:tc>
          <w:tcPr>
            <w:tcW w:w="510"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r>
              <w:rPr>
                <w:sz w:val="24"/>
                <w:szCs w:val="24"/>
              </w:rPr>
              <w:t>0.63%</w:t>
            </w:r>
          </w:p>
        </w:tc>
        <w:tc>
          <w:tcPr>
            <w:tcW w:w="580"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r>
              <w:rPr>
                <w:sz w:val="24"/>
                <w:szCs w:val="24"/>
              </w:rPr>
              <w:t>5.73%</w:t>
            </w:r>
          </w:p>
        </w:tc>
        <w:tc>
          <w:tcPr>
            <w:tcW w:w="580"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r>
              <w:rPr>
                <w:sz w:val="24"/>
                <w:szCs w:val="24"/>
              </w:rPr>
              <w:t>12.40%</w:t>
            </w:r>
          </w:p>
        </w:tc>
        <w:tc>
          <w:tcPr>
            <w:tcW w:w="650"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r>
              <w:rPr>
                <w:sz w:val="24"/>
                <w:szCs w:val="24"/>
              </w:rPr>
              <w:t>78.27%</w:t>
            </w:r>
          </w:p>
        </w:tc>
        <w:tc>
          <w:tcPr>
            <w:tcW w:w="469"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p>
        </w:tc>
        <w:tc>
          <w:tcPr>
            <w:tcW w:w="650" w:type="pct"/>
            <w:tcBorders>
              <w:top w:val="nil"/>
              <w:left w:val="nil"/>
              <w:bottom w:val="single" w:color="auto" w:sz="12" w:space="0"/>
              <w:right w:val="single" w:color="auto" w:sz="8" w:space="0"/>
            </w:tcBorders>
            <w:shd w:val="clear" w:color="auto" w:fill="auto"/>
            <w:vAlign w:val="center"/>
          </w:tcPr>
          <w:p>
            <w:pPr>
              <w:ind w:firstLine="0" w:firstLineChars="0"/>
              <w:jc w:val="center"/>
              <w:rPr>
                <w:sz w:val="24"/>
                <w:szCs w:val="24"/>
              </w:rPr>
            </w:pPr>
            <w:r>
              <w:rPr>
                <w:sz w:val="24"/>
                <w:szCs w:val="24"/>
              </w:rPr>
              <w:t>100.00%</w:t>
            </w:r>
          </w:p>
        </w:tc>
        <w:tc>
          <w:tcPr>
            <w:tcW w:w="626" w:type="pct"/>
            <w:tcBorders>
              <w:top w:val="nil"/>
              <w:left w:val="nil"/>
              <w:bottom w:val="single" w:color="auto" w:sz="12" w:space="0"/>
              <w:right w:val="single" w:color="auto" w:sz="12" w:space="0"/>
            </w:tcBorders>
            <w:shd w:val="clear" w:color="auto" w:fill="auto"/>
            <w:vAlign w:val="center"/>
          </w:tcPr>
          <w:p>
            <w:pPr>
              <w:ind w:firstLine="0" w:firstLineChars="0"/>
              <w:jc w:val="center"/>
              <w:rPr>
                <w:sz w:val="24"/>
                <w:szCs w:val="24"/>
              </w:rPr>
            </w:pPr>
            <w:r>
              <w:rPr>
                <w:sz w:val="24"/>
                <w:szCs w:val="24"/>
              </w:rPr>
              <w:t>-</w:t>
            </w:r>
          </w:p>
        </w:tc>
      </w:tr>
    </w:tbl>
    <w:p>
      <w:pPr>
        <w:ind w:firstLine="640"/>
      </w:pPr>
      <w:r>
        <w:rPr>
          <w:rFonts w:hint="eastAsia" w:cs="Times New Roman"/>
        </w:rPr>
        <w:t>到20</w:t>
      </w:r>
      <w:r>
        <w:rPr>
          <w:rFonts w:cs="Times New Roman"/>
        </w:rPr>
        <w:t>25</w:t>
      </w:r>
      <w:r>
        <w:rPr>
          <w:rFonts w:hint="eastAsia" w:cs="Times New Roman"/>
        </w:rPr>
        <w:t>年，县道里程</w:t>
      </w:r>
      <w:r>
        <w:rPr>
          <w:rFonts w:cs="Times New Roman"/>
        </w:rPr>
        <w:t>达到</w:t>
      </w:r>
      <w:r>
        <w:rPr>
          <w:rFonts w:hint="eastAsia"/>
        </w:rPr>
        <w:t>330.901</w:t>
      </w:r>
      <w:r>
        <w:rPr>
          <w:rFonts w:hint="eastAsia" w:cs="Times New Roman"/>
        </w:rPr>
        <w:t>公里</w:t>
      </w:r>
      <w:r>
        <w:rPr>
          <w:rFonts w:cs="Times New Roman"/>
        </w:rPr>
        <w:t>，</w:t>
      </w:r>
      <w:r>
        <w:rPr>
          <w:rFonts w:hint="eastAsia" w:cs="Times New Roman"/>
        </w:rPr>
        <w:t>乡道</w:t>
      </w:r>
      <w:r>
        <w:rPr>
          <w:rFonts w:cs="Times New Roman"/>
        </w:rPr>
        <w:t>里程达到</w:t>
      </w:r>
      <w:r>
        <w:rPr>
          <w:rFonts w:hint="eastAsia"/>
        </w:rPr>
        <w:t>914.793</w:t>
      </w:r>
      <w:r>
        <w:rPr>
          <w:rFonts w:hint="eastAsia" w:cs="Times New Roman"/>
        </w:rPr>
        <w:t>公里</w:t>
      </w:r>
      <w:r>
        <w:rPr>
          <w:rFonts w:cs="Times New Roman"/>
        </w:rPr>
        <w:t>，</w:t>
      </w:r>
      <w:r>
        <w:rPr>
          <w:rFonts w:hint="eastAsia" w:cs="Times New Roman"/>
        </w:rPr>
        <w:t>村道</w:t>
      </w:r>
      <w:r>
        <w:rPr>
          <w:rFonts w:cs="Times New Roman"/>
        </w:rPr>
        <w:t>里程达到</w:t>
      </w:r>
      <w:r>
        <w:rPr>
          <w:rFonts w:hint="eastAsia"/>
        </w:rPr>
        <w:t>1103.02</w:t>
      </w:r>
      <w:r>
        <w:rPr>
          <w:rFonts w:hint="eastAsia" w:cs="Times New Roman"/>
        </w:rPr>
        <w:t>公里，实现通建制村四级及以上公路占比达到</w:t>
      </w:r>
      <w:r>
        <w:rPr>
          <w:rFonts w:cs="Times New Roman"/>
        </w:rPr>
        <w:t>100</w:t>
      </w:r>
      <w:r>
        <w:rPr>
          <w:rFonts w:hint="eastAsia" w:cs="Times New Roman"/>
        </w:rPr>
        <w:t>%；到20</w:t>
      </w:r>
      <w:r>
        <w:rPr>
          <w:rFonts w:cs="Times New Roman"/>
        </w:rPr>
        <w:t>25</w:t>
      </w:r>
      <w:r>
        <w:rPr>
          <w:rFonts w:hint="eastAsia" w:cs="Times New Roman"/>
        </w:rPr>
        <w:t>年，农村公路网里程共达到</w:t>
      </w:r>
      <w:r>
        <w:rPr>
          <w:rFonts w:cs="Times New Roman"/>
        </w:rPr>
        <w:t>2348.714</w:t>
      </w:r>
      <w:r>
        <w:rPr>
          <w:rFonts w:hint="eastAsia" w:cs="Times New Roman"/>
        </w:rPr>
        <w:t>公里，农村公路网人口</w:t>
      </w:r>
      <w:r>
        <w:rPr>
          <w:rFonts w:cs="Times New Roman"/>
        </w:rPr>
        <w:t>密度达到56.84</w:t>
      </w:r>
      <w:r>
        <w:rPr>
          <w:rFonts w:hint="eastAsia" w:cs="Times New Roman"/>
        </w:rPr>
        <w:t>公里</w:t>
      </w:r>
      <w:r>
        <w:rPr>
          <w:rFonts w:cs="Times New Roman"/>
        </w:rPr>
        <w:t>/</w:t>
      </w:r>
      <w:r>
        <w:rPr>
          <w:rFonts w:hint="eastAsia" w:cs="Times New Roman"/>
        </w:rPr>
        <w:t>万人，农村公</w:t>
      </w:r>
      <w:r>
        <w:rPr>
          <w:rFonts w:cs="Times New Roman"/>
        </w:rPr>
        <w:t>路网面积密度</w:t>
      </w:r>
      <w:r>
        <w:rPr>
          <w:rFonts w:hint="eastAsia" w:cs="Times New Roman"/>
        </w:rPr>
        <w:t>达到</w:t>
      </w:r>
      <w:r>
        <w:rPr>
          <w:rFonts w:cs="Times New Roman"/>
        </w:rPr>
        <w:t>119.35</w:t>
      </w:r>
      <w:r>
        <w:rPr>
          <w:rFonts w:hint="eastAsia" w:cs="Times New Roman"/>
        </w:rPr>
        <w:t>公里</w:t>
      </w:r>
      <w:r>
        <w:rPr>
          <w:rFonts w:cs="Times New Roman"/>
        </w:rPr>
        <w:t>/</w:t>
      </w:r>
      <w:r>
        <w:rPr>
          <w:rFonts w:hint="eastAsia" w:cs="Times New Roman"/>
        </w:rPr>
        <w:t>百平方</w:t>
      </w:r>
      <w:r>
        <w:rPr>
          <w:rFonts w:cs="Times New Roman"/>
        </w:rPr>
        <w:t>公里</w:t>
      </w:r>
      <w:r>
        <w:rPr>
          <w:rFonts w:hint="eastAsia"/>
        </w:rPr>
        <w:t>，具备</w:t>
      </w:r>
      <w:r>
        <w:t>条件的建制村通畅率达到</w:t>
      </w:r>
      <w:r>
        <w:rPr>
          <w:rFonts w:hint="eastAsia"/>
        </w:rPr>
        <w:t>100</w:t>
      </w:r>
      <w:r>
        <w:t>%。</w:t>
      </w:r>
      <w:r>
        <w:rPr>
          <w:rFonts w:hint="eastAsia"/>
        </w:rPr>
        <w:t>具体指标</w:t>
      </w:r>
      <w:r>
        <w:t>见</w:t>
      </w:r>
      <w:r>
        <w:rPr>
          <w:rFonts w:hint="eastAsia"/>
        </w:rPr>
        <w:t>表4</w:t>
      </w:r>
      <w:r>
        <w:t>-2。</w:t>
      </w:r>
    </w:p>
    <w:p>
      <w:pPr>
        <w:ind w:firstLine="640"/>
      </w:pPr>
    </w:p>
    <w:p>
      <w:pPr>
        <w:ind w:firstLine="640"/>
      </w:pPr>
    </w:p>
    <w:p>
      <w:pPr>
        <w:pStyle w:val="27"/>
        <w:ind w:firstLine="360"/>
      </w:pPr>
      <w:bookmarkStart w:id="100" w:name="_Ref42154351"/>
      <w:r>
        <w:br w:type="page"/>
      </w:r>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t>-</w:t>
      </w:r>
      <w:bookmarkEnd w:id="100"/>
      <w:r>
        <w:t xml:space="preserve">2 </w:t>
      </w:r>
      <w:r>
        <w:rPr>
          <w:rFonts w:hint="eastAsia"/>
        </w:rPr>
        <w:t>建设</w:t>
      </w:r>
      <w:r>
        <w:t>目标指标</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125"/>
        <w:gridCol w:w="4514"/>
        <w:gridCol w:w="1196"/>
        <w:gridCol w:w="1056"/>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blHeader/>
          <w:jc w:val="center"/>
        </w:trPr>
        <w:tc>
          <w:tcPr>
            <w:tcW w:w="3505" w:type="pct"/>
            <w:gridSpan w:val="3"/>
            <w:tcBorders>
              <w:top w:val="single" w:color="auto" w:sz="4" w:space="0"/>
            </w:tcBorders>
            <w:vAlign w:val="center"/>
          </w:tcPr>
          <w:p>
            <w:pPr>
              <w:widowControl/>
              <w:ind w:firstLine="0" w:firstLineChars="0"/>
              <w:jc w:val="center"/>
              <w:rPr>
                <w:rFonts w:ascii="宋体" w:hAnsi="宋体" w:eastAsia="宋体" w:cs="黑体"/>
                <w:bCs/>
                <w:kern w:val="0"/>
                <w:sz w:val="24"/>
                <w:szCs w:val="24"/>
              </w:rPr>
            </w:pPr>
            <w:r>
              <w:rPr>
                <w:rFonts w:hint="eastAsia" w:ascii="宋体" w:hAnsi="宋体" w:eastAsia="宋体" w:cs="黑体"/>
                <w:bCs/>
                <w:kern w:val="0"/>
                <w:sz w:val="24"/>
                <w:szCs w:val="24"/>
              </w:rPr>
              <w:t>指标名称</w:t>
            </w:r>
          </w:p>
        </w:tc>
        <w:tc>
          <w:tcPr>
            <w:tcW w:w="664" w:type="pct"/>
            <w:vMerge w:val="restart"/>
            <w:tcBorders>
              <w:top w:val="single" w:color="auto" w:sz="4" w:space="0"/>
            </w:tcBorders>
            <w:vAlign w:val="center"/>
          </w:tcPr>
          <w:p>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2022年</w:t>
            </w:r>
          </w:p>
        </w:tc>
        <w:tc>
          <w:tcPr>
            <w:tcW w:w="563" w:type="pct"/>
            <w:vMerge w:val="restart"/>
            <w:tcBorders>
              <w:top w:val="single" w:color="auto" w:sz="4" w:space="0"/>
            </w:tcBorders>
            <w:vAlign w:val="center"/>
          </w:tcPr>
          <w:p>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2025年</w:t>
            </w:r>
          </w:p>
        </w:tc>
        <w:tc>
          <w:tcPr>
            <w:tcW w:w="268" w:type="pct"/>
            <w:vMerge w:val="restart"/>
            <w:tcBorders>
              <w:top w:val="single" w:color="auto" w:sz="4" w:space="0"/>
            </w:tcBorders>
            <w:vAlign w:val="center"/>
          </w:tcPr>
          <w:p>
            <w:pPr>
              <w:widowControl/>
              <w:ind w:firstLine="0" w:firstLineChars="0"/>
              <w:jc w:val="center"/>
              <w:rPr>
                <w:rFonts w:ascii="宋体" w:hAnsi="宋体" w:eastAsia="宋体" w:cs="黑体"/>
                <w:bCs/>
                <w:kern w:val="0"/>
                <w:sz w:val="24"/>
              </w:rPr>
            </w:pPr>
            <w:r>
              <w:rPr>
                <w:rFonts w:hint="eastAsia" w:ascii="宋体" w:hAnsi="宋体" w:eastAsia="宋体" w:cs="黑体"/>
                <w:bCs/>
                <w:kern w:val="0"/>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blHeader/>
          <w:jc w:val="center"/>
        </w:trPr>
        <w:tc>
          <w:tcPr>
            <w:tcW w:w="385" w:type="pct"/>
            <w:vAlign w:val="center"/>
          </w:tcPr>
          <w:p>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一级指标</w:t>
            </w:r>
          </w:p>
        </w:tc>
        <w:tc>
          <w:tcPr>
            <w:tcW w:w="625" w:type="pct"/>
            <w:vAlign w:val="center"/>
          </w:tcPr>
          <w:p>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二级指标</w:t>
            </w:r>
          </w:p>
        </w:tc>
        <w:tc>
          <w:tcPr>
            <w:tcW w:w="2495" w:type="pct"/>
            <w:vAlign w:val="center"/>
          </w:tcPr>
          <w:p>
            <w:pPr>
              <w:widowControl/>
              <w:ind w:firstLine="0" w:firstLineChars="0"/>
              <w:jc w:val="center"/>
              <w:rPr>
                <w:rFonts w:ascii="宋体" w:hAnsi="宋体" w:eastAsia="宋体" w:cs="黑体"/>
                <w:bCs/>
                <w:kern w:val="0"/>
                <w:sz w:val="22"/>
                <w:szCs w:val="24"/>
              </w:rPr>
            </w:pPr>
            <w:r>
              <w:rPr>
                <w:rFonts w:hint="eastAsia" w:ascii="宋体" w:hAnsi="宋体" w:eastAsia="宋体" w:cs="黑体"/>
                <w:bCs/>
                <w:kern w:val="0"/>
                <w:sz w:val="22"/>
                <w:szCs w:val="24"/>
              </w:rPr>
              <w:t>三级指标</w:t>
            </w:r>
          </w:p>
        </w:tc>
        <w:tc>
          <w:tcPr>
            <w:tcW w:w="664" w:type="pct"/>
            <w:vMerge w:val="continue"/>
            <w:vAlign w:val="center"/>
          </w:tcPr>
          <w:p>
            <w:pPr>
              <w:widowControl/>
              <w:ind w:firstLine="0" w:firstLineChars="0"/>
              <w:jc w:val="center"/>
              <w:rPr>
                <w:rFonts w:ascii="宋体" w:hAnsi="宋体" w:eastAsia="宋体" w:cs="黑体"/>
                <w:bCs/>
                <w:kern w:val="0"/>
                <w:sz w:val="24"/>
                <w:szCs w:val="24"/>
              </w:rPr>
            </w:pPr>
          </w:p>
        </w:tc>
        <w:tc>
          <w:tcPr>
            <w:tcW w:w="563" w:type="pct"/>
            <w:vMerge w:val="continue"/>
            <w:vAlign w:val="center"/>
          </w:tcPr>
          <w:p>
            <w:pPr>
              <w:widowControl/>
              <w:ind w:firstLine="0" w:firstLineChars="0"/>
              <w:jc w:val="center"/>
              <w:rPr>
                <w:rFonts w:ascii="宋体" w:hAnsi="宋体" w:eastAsia="宋体" w:cs="黑体"/>
                <w:bCs/>
                <w:kern w:val="0"/>
                <w:sz w:val="24"/>
                <w:szCs w:val="24"/>
              </w:rPr>
            </w:pPr>
          </w:p>
        </w:tc>
        <w:tc>
          <w:tcPr>
            <w:tcW w:w="268" w:type="pct"/>
            <w:vMerge w:val="continue"/>
            <w:vAlign w:val="center"/>
          </w:tcPr>
          <w:p>
            <w:pPr>
              <w:widowControl/>
              <w:ind w:firstLine="0" w:firstLineChars="0"/>
              <w:jc w:val="center"/>
              <w:rPr>
                <w:rFonts w:ascii="宋体" w:hAnsi="宋体" w:eastAsia="宋体" w:cs="黑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建设目标</w:t>
            </w:r>
          </w:p>
        </w:tc>
        <w:tc>
          <w:tcPr>
            <w:tcW w:w="625" w:type="pct"/>
            <w:vMerge w:val="restar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总量</w:t>
            </w: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县道里程（公里）</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330.901</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乡道里程（公里）</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914.793</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村道里程（公里）</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1103.02</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通建制村四级及以上公路占比</w:t>
            </w:r>
            <w:r>
              <w:rPr>
                <w:rFonts w:hint="eastAsia" w:ascii="仿宋_GB2312" w:hAnsi="仿宋_GB2312" w:cs="仿宋_GB2312"/>
                <w:sz w:val="24"/>
                <w:szCs w:val="24"/>
              </w:rPr>
              <w:t>（%）</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restar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密度及覆盖</w:t>
            </w: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路网密度（公里/万人）</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56.84</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路网密度（公里/百平方公里）</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ascii="仿宋_GB2312" w:hAnsi="仿宋_GB2312" w:cs="仿宋_GB2312"/>
                <w:kern w:val="0"/>
                <w:sz w:val="24"/>
                <w:szCs w:val="24"/>
              </w:rPr>
              <w:t>119.35</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sz w:val="24"/>
                <w:szCs w:val="24"/>
              </w:rPr>
              <w:t>具备条件的</w:t>
            </w:r>
            <w:r>
              <w:rPr>
                <w:rFonts w:hint="eastAsia" w:ascii="仿宋_GB2312" w:hAnsi="仿宋_GB2312" w:cs="仿宋_GB2312"/>
                <w:kern w:val="0"/>
                <w:sz w:val="24"/>
                <w:szCs w:val="24"/>
              </w:rPr>
              <w:t>建制村通畅率</w:t>
            </w:r>
            <w:r>
              <w:rPr>
                <w:rFonts w:hint="eastAsia" w:ascii="仿宋_GB2312" w:hAnsi="仿宋_GB2312" w:cs="仿宋_GB2312"/>
                <w:sz w:val="24"/>
                <w:szCs w:val="24"/>
              </w:rPr>
              <w:t>（%）</w:t>
            </w:r>
          </w:p>
        </w:tc>
        <w:tc>
          <w:tcPr>
            <w:tcW w:w="664" w:type="pct"/>
            <w:vAlign w:val="center"/>
          </w:tcPr>
          <w:p>
            <w:pPr>
              <w:widowControl/>
              <w:ind w:firstLine="0" w:firstLineChars="0"/>
              <w:jc w:val="center"/>
              <w:rPr>
                <w:rFonts w:ascii="仿宋_GB2312" w:hAnsi="仿宋_GB2312" w:cs="仿宋_GB2312"/>
                <w:kern w:val="0"/>
                <w:sz w:val="24"/>
                <w:szCs w:val="24"/>
              </w:rPr>
            </w:pP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管理目标</w:t>
            </w:r>
          </w:p>
        </w:tc>
        <w:tc>
          <w:tcPr>
            <w:tcW w:w="625" w:type="pct"/>
            <w:vMerge w:val="restar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体制机制</w:t>
            </w:r>
          </w:p>
        </w:tc>
        <w:tc>
          <w:tcPr>
            <w:tcW w:w="2495" w:type="pct"/>
            <w:vAlign w:val="center"/>
          </w:tcPr>
          <w:p>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农村公路管理机构设置率（%）</w:t>
            </w:r>
          </w:p>
        </w:tc>
        <w:tc>
          <w:tcPr>
            <w:tcW w:w="664"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“路长制”覆盖率（%）</w:t>
            </w:r>
          </w:p>
        </w:tc>
        <w:tc>
          <w:tcPr>
            <w:tcW w:w="664"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Merge w:val="continue"/>
            <w:vAlign w:val="center"/>
          </w:tcPr>
          <w:p>
            <w:pPr>
              <w:widowControl/>
              <w:ind w:firstLine="0" w:firstLineChars="0"/>
              <w:jc w:val="center"/>
              <w:rPr>
                <w:rFonts w:ascii="仿宋_GB2312" w:hAnsi="仿宋_GB2312" w:cs="仿宋_GB2312"/>
                <w:kern w:val="0"/>
                <w:sz w:val="24"/>
                <w:szCs w:val="24"/>
              </w:rPr>
            </w:pPr>
          </w:p>
        </w:tc>
        <w:tc>
          <w:tcPr>
            <w:tcW w:w="2495" w:type="pct"/>
            <w:vAlign w:val="center"/>
          </w:tcPr>
          <w:p>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爱路护路的乡规民约、村规民约制定率（%）</w:t>
            </w:r>
          </w:p>
        </w:tc>
        <w:tc>
          <w:tcPr>
            <w:tcW w:w="664"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经费管理</w:t>
            </w:r>
          </w:p>
        </w:tc>
        <w:tc>
          <w:tcPr>
            <w:tcW w:w="2495" w:type="pct"/>
            <w:vAlign w:val="center"/>
          </w:tcPr>
          <w:p>
            <w:pPr>
              <w:widowControl/>
              <w:ind w:firstLine="0" w:firstLineChars="0"/>
              <w:jc w:val="center"/>
              <w:rPr>
                <w:rFonts w:ascii="仿宋_GB2312" w:hAnsi="仿宋_GB2312" w:cs="仿宋_GB2312"/>
                <w:sz w:val="24"/>
                <w:szCs w:val="24"/>
              </w:rPr>
            </w:pPr>
            <w:r>
              <w:rPr>
                <w:rFonts w:hint="eastAsia" w:ascii="仿宋_GB2312" w:hAnsi="仿宋_GB2312" w:cs="仿宋_GB2312"/>
                <w:sz w:val="24"/>
                <w:szCs w:val="24"/>
              </w:rPr>
              <w:t>县、乡级农村公路管理机构经费及人员支出纳入政府预算比例（%）</w:t>
            </w:r>
          </w:p>
        </w:tc>
        <w:tc>
          <w:tcPr>
            <w:tcW w:w="664"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563" w:type="pct"/>
            <w:vAlign w:val="center"/>
          </w:tcPr>
          <w:p>
            <w:pPr>
              <w:widowControl/>
              <w:ind w:firstLine="0" w:firstLineChars="0"/>
              <w:jc w:val="center"/>
              <w:rPr>
                <w:rFonts w:ascii="仿宋_GB2312" w:hAnsi="仿宋_GB2312" w:cs="仿宋_GB2312"/>
                <w:kern w:val="0"/>
                <w:sz w:val="24"/>
                <w:szCs w:val="24"/>
              </w:rPr>
            </w:pPr>
            <w:r>
              <w:rPr>
                <w:rFonts w:hint="eastAsia" w:ascii="仿宋_GB2312" w:hAnsi="仿宋_GB2312" w:cs="仿宋_GB2312"/>
                <w:kern w:val="0"/>
                <w:sz w:val="24"/>
                <w:szCs w:val="24"/>
              </w:rPr>
              <w:t>100</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0" w:firstLineChars="0"/>
              <w:jc w:val="center"/>
              <w:rPr>
                <w:rFonts w:ascii="仿宋_GB2312" w:hAnsi="仿宋_GB2312" w:cs="仿宋_GB2312"/>
                <w:kern w:val="0"/>
                <w:sz w:val="24"/>
                <w:szCs w:val="24"/>
              </w:rPr>
            </w:pPr>
          </w:p>
        </w:tc>
        <w:tc>
          <w:tcPr>
            <w:tcW w:w="625" w:type="pct"/>
            <w:vAlign w:val="center"/>
          </w:tcPr>
          <w:p>
            <w:pPr>
              <w:widowControl/>
              <w:ind w:firstLine="0" w:firstLineChars="0"/>
              <w:jc w:val="center"/>
              <w:rPr>
                <w:kern w:val="0"/>
                <w:sz w:val="24"/>
              </w:rPr>
            </w:pPr>
            <w:r>
              <w:rPr>
                <w:rFonts w:hint="eastAsia"/>
                <w:kern w:val="0"/>
                <w:sz w:val="24"/>
              </w:rPr>
              <w:t>示范创建</w:t>
            </w:r>
          </w:p>
        </w:tc>
        <w:tc>
          <w:tcPr>
            <w:tcW w:w="2495" w:type="pct"/>
            <w:vAlign w:val="center"/>
          </w:tcPr>
          <w:p>
            <w:pPr>
              <w:widowControl/>
              <w:ind w:firstLine="0" w:firstLineChars="0"/>
              <w:jc w:val="center"/>
              <w:rPr>
                <w:sz w:val="24"/>
              </w:rPr>
            </w:pPr>
            <w:r>
              <w:rPr>
                <w:rFonts w:hint="eastAsia"/>
                <w:sz w:val="24"/>
              </w:rPr>
              <w:t>四好农村路绩效管理考评水平</w:t>
            </w:r>
          </w:p>
        </w:tc>
        <w:tc>
          <w:tcPr>
            <w:tcW w:w="664" w:type="pct"/>
            <w:vAlign w:val="center"/>
          </w:tcPr>
          <w:p>
            <w:pPr>
              <w:widowControl/>
              <w:ind w:firstLine="0" w:firstLineChars="0"/>
              <w:jc w:val="center"/>
              <w:rPr>
                <w:kern w:val="0"/>
                <w:sz w:val="24"/>
              </w:rPr>
            </w:pPr>
            <w:r>
              <w:rPr>
                <w:rFonts w:hint="eastAsia"/>
                <w:kern w:val="0"/>
                <w:sz w:val="24"/>
              </w:rPr>
              <w:t>优秀</w:t>
            </w:r>
          </w:p>
        </w:tc>
        <w:tc>
          <w:tcPr>
            <w:tcW w:w="563" w:type="pct"/>
            <w:vAlign w:val="center"/>
          </w:tcPr>
          <w:p>
            <w:pPr>
              <w:widowControl/>
              <w:ind w:firstLine="0" w:firstLineChars="0"/>
              <w:jc w:val="center"/>
              <w:rPr>
                <w:kern w:val="0"/>
                <w:sz w:val="24"/>
              </w:rPr>
            </w:pPr>
            <w:r>
              <w:rPr>
                <w:rFonts w:hint="eastAsia"/>
                <w:kern w:val="0"/>
                <w:sz w:val="24"/>
              </w:rPr>
              <w:t>优秀</w:t>
            </w:r>
          </w:p>
        </w:tc>
        <w:tc>
          <w:tcPr>
            <w:tcW w:w="268" w:type="pct"/>
            <w:vAlign w:val="center"/>
          </w:tcPr>
          <w:p>
            <w:pPr>
              <w:widowControl/>
              <w:ind w:firstLine="0" w:firstLineChars="0"/>
              <w:jc w:val="center"/>
              <w:rPr>
                <w:rFonts w:ascii="仿宋_GB2312" w:hAnsi="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pPr>
              <w:widowControl/>
              <w:ind w:firstLine="0" w:firstLineChars="0"/>
              <w:jc w:val="center"/>
              <w:rPr>
                <w:kern w:val="0"/>
                <w:sz w:val="24"/>
              </w:rPr>
            </w:pPr>
            <w:r>
              <w:rPr>
                <w:rFonts w:hint="eastAsia"/>
                <w:kern w:val="0"/>
                <w:sz w:val="24"/>
              </w:rPr>
              <w:t>养护目标</w:t>
            </w:r>
          </w:p>
        </w:tc>
        <w:tc>
          <w:tcPr>
            <w:tcW w:w="625" w:type="pct"/>
            <w:vMerge w:val="restart"/>
            <w:vAlign w:val="center"/>
          </w:tcPr>
          <w:p>
            <w:pPr>
              <w:widowControl/>
              <w:ind w:firstLine="0" w:firstLineChars="0"/>
              <w:jc w:val="center"/>
              <w:rPr>
                <w:kern w:val="0"/>
                <w:sz w:val="24"/>
              </w:rPr>
            </w:pPr>
            <w:r>
              <w:rPr>
                <w:rFonts w:hint="eastAsia"/>
                <w:kern w:val="0"/>
                <w:sz w:val="24"/>
              </w:rPr>
              <w:t>养护水平</w:t>
            </w:r>
          </w:p>
        </w:tc>
        <w:tc>
          <w:tcPr>
            <w:tcW w:w="2495" w:type="pct"/>
            <w:vAlign w:val="center"/>
          </w:tcPr>
          <w:p>
            <w:pPr>
              <w:widowControl/>
              <w:ind w:firstLine="0" w:firstLineChars="0"/>
              <w:jc w:val="center"/>
              <w:rPr>
                <w:kern w:val="0"/>
                <w:sz w:val="24"/>
              </w:rPr>
            </w:pPr>
            <w:r>
              <w:rPr>
                <w:rFonts w:hint="eastAsia"/>
                <w:kern w:val="0"/>
                <w:sz w:val="24"/>
              </w:rPr>
              <w:t>优、良、中等路率（%）</w:t>
            </w:r>
          </w:p>
        </w:tc>
        <w:tc>
          <w:tcPr>
            <w:tcW w:w="664" w:type="pct"/>
            <w:vAlign w:val="center"/>
          </w:tcPr>
          <w:p>
            <w:pPr>
              <w:widowControl/>
              <w:ind w:firstLine="0" w:firstLineChars="0"/>
              <w:jc w:val="center"/>
              <w:rPr>
                <w:kern w:val="0"/>
                <w:sz w:val="24"/>
              </w:rPr>
            </w:pPr>
            <w:r>
              <w:rPr>
                <w:rFonts w:hint="eastAsia"/>
                <w:kern w:val="0"/>
                <w:sz w:val="24"/>
              </w:rPr>
              <w:t>90</w:t>
            </w:r>
          </w:p>
        </w:tc>
        <w:tc>
          <w:tcPr>
            <w:tcW w:w="563" w:type="pct"/>
            <w:vAlign w:val="center"/>
          </w:tcPr>
          <w:p>
            <w:pPr>
              <w:widowControl/>
              <w:ind w:firstLine="0" w:firstLineChars="0"/>
              <w:jc w:val="center"/>
              <w:rPr>
                <w:kern w:val="0"/>
                <w:sz w:val="24"/>
              </w:rPr>
            </w:pPr>
            <w:r>
              <w:rPr>
                <w:rFonts w:hint="eastAsia"/>
                <w:kern w:val="0"/>
                <w:sz w:val="24"/>
              </w:rPr>
              <w:t>90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continue"/>
            <w:vAlign w:val="center"/>
          </w:tcPr>
          <w:p>
            <w:pPr>
              <w:widowControl/>
              <w:ind w:firstLine="480"/>
              <w:jc w:val="center"/>
              <w:rPr>
                <w:kern w:val="0"/>
                <w:sz w:val="24"/>
              </w:rPr>
            </w:pPr>
          </w:p>
        </w:tc>
        <w:tc>
          <w:tcPr>
            <w:tcW w:w="2495" w:type="pct"/>
            <w:vAlign w:val="center"/>
          </w:tcPr>
          <w:p>
            <w:pPr>
              <w:widowControl/>
              <w:ind w:firstLine="0" w:firstLineChars="0"/>
              <w:jc w:val="center"/>
              <w:rPr>
                <w:kern w:val="0"/>
                <w:sz w:val="24"/>
              </w:rPr>
            </w:pPr>
            <w:r>
              <w:rPr>
                <w:rFonts w:hint="eastAsia"/>
                <w:kern w:val="0"/>
                <w:sz w:val="24"/>
              </w:rPr>
              <w:t>农村公路列养率</w:t>
            </w:r>
            <w:r>
              <w:rPr>
                <w:rFonts w:hint="eastAsia"/>
                <w:sz w:val="24"/>
              </w:rPr>
              <w:t>（%）</w:t>
            </w:r>
          </w:p>
        </w:tc>
        <w:tc>
          <w:tcPr>
            <w:tcW w:w="664" w:type="pct"/>
            <w:vAlign w:val="center"/>
          </w:tcPr>
          <w:p>
            <w:pPr>
              <w:widowControl/>
              <w:ind w:firstLine="0" w:firstLineChars="0"/>
              <w:jc w:val="center"/>
              <w:rPr>
                <w:kern w:val="0"/>
                <w:sz w:val="24"/>
              </w:rPr>
            </w:pPr>
            <w:r>
              <w:rPr>
                <w:rFonts w:hint="eastAsia"/>
                <w:kern w:val="0"/>
                <w:sz w:val="24"/>
              </w:rPr>
              <w:t>100</w:t>
            </w:r>
          </w:p>
        </w:tc>
        <w:tc>
          <w:tcPr>
            <w:tcW w:w="563" w:type="pct"/>
            <w:vAlign w:val="center"/>
          </w:tcPr>
          <w:p>
            <w:pPr>
              <w:widowControl/>
              <w:ind w:firstLine="0" w:firstLineChars="0"/>
              <w:jc w:val="center"/>
              <w:rPr>
                <w:kern w:val="0"/>
                <w:sz w:val="24"/>
              </w:rPr>
            </w:pPr>
            <w:r>
              <w:rPr>
                <w:rFonts w:hint="eastAsia"/>
                <w:kern w:val="0"/>
                <w:sz w:val="24"/>
              </w:rPr>
              <w:t>100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restart"/>
            <w:vAlign w:val="center"/>
          </w:tcPr>
          <w:p>
            <w:pPr>
              <w:widowControl/>
              <w:ind w:firstLine="0" w:firstLineChars="0"/>
              <w:jc w:val="center"/>
              <w:rPr>
                <w:kern w:val="0"/>
                <w:sz w:val="24"/>
              </w:rPr>
            </w:pPr>
            <w:r>
              <w:rPr>
                <w:rFonts w:hint="eastAsia"/>
                <w:kern w:val="0"/>
                <w:sz w:val="24"/>
              </w:rPr>
              <w:t>养护投入</w:t>
            </w:r>
          </w:p>
        </w:tc>
        <w:tc>
          <w:tcPr>
            <w:tcW w:w="2495" w:type="pct"/>
            <w:vAlign w:val="center"/>
          </w:tcPr>
          <w:p>
            <w:pPr>
              <w:widowControl/>
              <w:ind w:firstLine="0" w:firstLineChars="0"/>
              <w:jc w:val="center"/>
              <w:rPr>
                <w:kern w:val="0"/>
                <w:sz w:val="24"/>
              </w:rPr>
            </w:pPr>
            <w:r>
              <w:rPr>
                <w:rFonts w:hint="eastAsia"/>
                <w:sz w:val="24"/>
              </w:rPr>
              <w:t>年均养护工程实施比例（%）</w:t>
            </w:r>
          </w:p>
        </w:tc>
        <w:tc>
          <w:tcPr>
            <w:tcW w:w="664" w:type="pct"/>
            <w:vAlign w:val="center"/>
          </w:tcPr>
          <w:p>
            <w:pPr>
              <w:widowControl/>
              <w:ind w:firstLine="0" w:firstLineChars="0"/>
              <w:jc w:val="center"/>
              <w:rPr>
                <w:kern w:val="0"/>
                <w:sz w:val="24"/>
              </w:rPr>
            </w:pPr>
            <w:r>
              <w:rPr>
                <w:rFonts w:hint="eastAsia"/>
                <w:kern w:val="0"/>
                <w:sz w:val="24"/>
              </w:rPr>
              <w:t>5</w:t>
            </w:r>
          </w:p>
        </w:tc>
        <w:tc>
          <w:tcPr>
            <w:tcW w:w="563" w:type="pct"/>
            <w:vAlign w:val="center"/>
          </w:tcPr>
          <w:p>
            <w:pPr>
              <w:widowControl/>
              <w:ind w:firstLine="0" w:firstLineChars="0"/>
              <w:jc w:val="center"/>
              <w:rPr>
                <w:kern w:val="0"/>
                <w:sz w:val="24"/>
              </w:rPr>
            </w:pPr>
            <w:r>
              <w:rPr>
                <w:rFonts w:hint="eastAsia"/>
                <w:kern w:val="0"/>
                <w:sz w:val="24"/>
              </w:rPr>
              <w:t>5</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continue"/>
            <w:vAlign w:val="center"/>
          </w:tcPr>
          <w:p>
            <w:pPr>
              <w:widowControl/>
              <w:ind w:firstLine="480"/>
              <w:jc w:val="center"/>
              <w:rPr>
                <w:kern w:val="0"/>
                <w:sz w:val="24"/>
              </w:rPr>
            </w:pPr>
          </w:p>
        </w:tc>
        <w:tc>
          <w:tcPr>
            <w:tcW w:w="2495" w:type="pct"/>
            <w:vAlign w:val="center"/>
          </w:tcPr>
          <w:p>
            <w:pPr>
              <w:widowControl/>
              <w:ind w:firstLine="0" w:firstLineChars="0"/>
              <w:jc w:val="center"/>
              <w:rPr>
                <w:kern w:val="0"/>
                <w:sz w:val="24"/>
              </w:rPr>
            </w:pPr>
            <w:r>
              <w:rPr>
                <w:rFonts w:hint="eastAsia"/>
                <w:sz w:val="24"/>
              </w:rPr>
              <w:t>围绕“油返砂”项目，完成计划（%）</w:t>
            </w:r>
          </w:p>
        </w:tc>
        <w:tc>
          <w:tcPr>
            <w:tcW w:w="664" w:type="pct"/>
            <w:vAlign w:val="center"/>
          </w:tcPr>
          <w:p>
            <w:pPr>
              <w:widowControl/>
              <w:ind w:firstLine="0" w:firstLineChars="0"/>
              <w:jc w:val="center"/>
              <w:rPr>
                <w:kern w:val="0"/>
                <w:sz w:val="24"/>
              </w:rPr>
            </w:pPr>
            <w:r>
              <w:rPr>
                <w:rFonts w:hint="eastAsia"/>
                <w:kern w:val="0"/>
                <w:sz w:val="24"/>
              </w:rPr>
              <w:t>40</w:t>
            </w:r>
          </w:p>
        </w:tc>
        <w:tc>
          <w:tcPr>
            <w:tcW w:w="563" w:type="pct"/>
            <w:vAlign w:val="center"/>
          </w:tcPr>
          <w:p>
            <w:pPr>
              <w:widowControl/>
              <w:ind w:firstLine="0" w:firstLineChars="0"/>
              <w:jc w:val="center"/>
              <w:rPr>
                <w:kern w:val="0"/>
                <w:sz w:val="24"/>
              </w:rPr>
            </w:pPr>
            <w:r>
              <w:rPr>
                <w:rFonts w:hint="eastAsia"/>
                <w:kern w:val="0"/>
                <w:sz w:val="24"/>
              </w:rPr>
              <w:t>100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restart"/>
            <w:vAlign w:val="center"/>
          </w:tcPr>
          <w:p>
            <w:pPr>
              <w:widowControl/>
              <w:ind w:firstLine="0" w:firstLineChars="0"/>
              <w:jc w:val="center"/>
              <w:rPr>
                <w:kern w:val="0"/>
                <w:sz w:val="24"/>
              </w:rPr>
            </w:pPr>
            <w:r>
              <w:rPr>
                <w:rFonts w:hint="eastAsia"/>
                <w:kern w:val="0"/>
                <w:sz w:val="24"/>
              </w:rPr>
              <w:t>运营目标</w:t>
            </w:r>
          </w:p>
        </w:tc>
        <w:tc>
          <w:tcPr>
            <w:tcW w:w="625" w:type="pct"/>
            <w:vMerge w:val="restart"/>
            <w:vAlign w:val="center"/>
          </w:tcPr>
          <w:p>
            <w:pPr>
              <w:widowControl/>
              <w:ind w:firstLine="0" w:firstLineChars="0"/>
              <w:jc w:val="center"/>
              <w:rPr>
                <w:kern w:val="0"/>
                <w:sz w:val="24"/>
              </w:rPr>
            </w:pPr>
            <w:r>
              <w:rPr>
                <w:rFonts w:hint="eastAsia"/>
                <w:kern w:val="0"/>
                <w:sz w:val="24"/>
              </w:rPr>
              <w:t>服务能力</w:t>
            </w:r>
          </w:p>
        </w:tc>
        <w:tc>
          <w:tcPr>
            <w:tcW w:w="2495" w:type="pct"/>
            <w:vAlign w:val="center"/>
          </w:tcPr>
          <w:p>
            <w:pPr>
              <w:widowControl/>
              <w:ind w:firstLine="0" w:firstLineChars="0"/>
              <w:jc w:val="center"/>
              <w:rPr>
                <w:sz w:val="24"/>
              </w:rPr>
            </w:pPr>
            <w:r>
              <w:rPr>
                <w:rFonts w:hint="eastAsia"/>
                <w:sz w:val="24"/>
              </w:rPr>
              <w:t>建制村通客车率（%）</w:t>
            </w:r>
          </w:p>
        </w:tc>
        <w:tc>
          <w:tcPr>
            <w:tcW w:w="664" w:type="pct"/>
            <w:vAlign w:val="center"/>
          </w:tcPr>
          <w:p>
            <w:pPr>
              <w:widowControl/>
              <w:ind w:firstLine="0" w:firstLineChars="0"/>
              <w:jc w:val="center"/>
              <w:rPr>
                <w:kern w:val="0"/>
                <w:sz w:val="24"/>
              </w:rPr>
            </w:pPr>
          </w:p>
        </w:tc>
        <w:tc>
          <w:tcPr>
            <w:tcW w:w="563" w:type="pct"/>
            <w:vAlign w:val="center"/>
          </w:tcPr>
          <w:p>
            <w:pPr>
              <w:widowControl/>
              <w:ind w:firstLine="0" w:firstLineChars="0"/>
              <w:jc w:val="center"/>
              <w:rPr>
                <w:kern w:val="0"/>
                <w:sz w:val="24"/>
              </w:rPr>
            </w:pPr>
            <w:r>
              <w:rPr>
                <w:rFonts w:hint="eastAsia"/>
                <w:kern w:val="0"/>
                <w:sz w:val="24"/>
              </w:rPr>
              <w:t>100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continue"/>
            <w:vAlign w:val="center"/>
          </w:tcPr>
          <w:p>
            <w:pPr>
              <w:widowControl/>
              <w:ind w:firstLine="480"/>
              <w:jc w:val="center"/>
              <w:rPr>
                <w:kern w:val="0"/>
                <w:sz w:val="24"/>
              </w:rPr>
            </w:pPr>
          </w:p>
        </w:tc>
        <w:tc>
          <w:tcPr>
            <w:tcW w:w="2495" w:type="pct"/>
            <w:vAlign w:val="center"/>
          </w:tcPr>
          <w:p>
            <w:pPr>
              <w:widowControl/>
              <w:ind w:firstLine="0" w:firstLineChars="0"/>
              <w:jc w:val="center"/>
              <w:rPr>
                <w:sz w:val="24"/>
              </w:rPr>
            </w:pPr>
            <w:r>
              <w:rPr>
                <w:rFonts w:hint="eastAsia"/>
                <w:sz w:val="24"/>
              </w:rPr>
              <w:t>城乡公交线路建制村覆盖率（%）</w:t>
            </w:r>
          </w:p>
        </w:tc>
        <w:tc>
          <w:tcPr>
            <w:tcW w:w="664" w:type="pct"/>
            <w:vAlign w:val="center"/>
          </w:tcPr>
          <w:p>
            <w:pPr>
              <w:widowControl/>
              <w:ind w:firstLine="0" w:firstLineChars="0"/>
              <w:jc w:val="center"/>
              <w:rPr>
                <w:kern w:val="0"/>
                <w:sz w:val="24"/>
              </w:rPr>
            </w:pPr>
          </w:p>
        </w:tc>
        <w:tc>
          <w:tcPr>
            <w:tcW w:w="563" w:type="pct"/>
            <w:vAlign w:val="center"/>
          </w:tcPr>
          <w:p>
            <w:pPr>
              <w:widowControl/>
              <w:ind w:firstLine="0" w:firstLineChars="0"/>
              <w:jc w:val="center"/>
              <w:rPr>
                <w:kern w:val="0"/>
                <w:sz w:val="24"/>
              </w:rPr>
            </w:pPr>
            <w:r>
              <w:rPr>
                <w:rFonts w:hint="eastAsia"/>
                <w:kern w:val="0"/>
                <w:sz w:val="24"/>
              </w:rPr>
              <w:t>100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restart"/>
            <w:vAlign w:val="center"/>
          </w:tcPr>
          <w:p>
            <w:pPr>
              <w:widowControl/>
              <w:ind w:firstLine="0" w:firstLineChars="0"/>
              <w:jc w:val="center"/>
              <w:rPr>
                <w:kern w:val="0"/>
                <w:sz w:val="24"/>
              </w:rPr>
            </w:pPr>
            <w:r>
              <w:rPr>
                <w:rFonts w:hint="eastAsia"/>
                <w:kern w:val="0"/>
                <w:sz w:val="24"/>
              </w:rPr>
              <w:t>服务水平</w:t>
            </w:r>
          </w:p>
        </w:tc>
        <w:tc>
          <w:tcPr>
            <w:tcW w:w="2495" w:type="pct"/>
            <w:vAlign w:val="center"/>
          </w:tcPr>
          <w:p>
            <w:pPr>
              <w:widowControl/>
              <w:ind w:firstLine="0" w:firstLineChars="0"/>
              <w:jc w:val="center"/>
              <w:rPr>
                <w:sz w:val="24"/>
              </w:rPr>
            </w:pPr>
            <w:r>
              <w:rPr>
                <w:rFonts w:hint="eastAsia"/>
                <w:sz w:val="24"/>
              </w:rPr>
              <w:t>城乡一体化水平AAA及以上县比例（%）</w:t>
            </w:r>
          </w:p>
        </w:tc>
        <w:tc>
          <w:tcPr>
            <w:tcW w:w="664" w:type="pct"/>
            <w:vAlign w:val="center"/>
          </w:tcPr>
          <w:p>
            <w:pPr>
              <w:widowControl/>
              <w:ind w:firstLine="0" w:firstLineChars="0"/>
              <w:jc w:val="center"/>
              <w:rPr>
                <w:kern w:val="0"/>
                <w:sz w:val="24"/>
              </w:rPr>
            </w:pPr>
          </w:p>
        </w:tc>
        <w:tc>
          <w:tcPr>
            <w:tcW w:w="563" w:type="pct"/>
            <w:vAlign w:val="center"/>
          </w:tcPr>
          <w:p>
            <w:pPr>
              <w:widowControl/>
              <w:ind w:firstLine="0" w:firstLineChars="0"/>
              <w:jc w:val="center"/>
              <w:rPr>
                <w:kern w:val="0"/>
                <w:sz w:val="24"/>
              </w:rPr>
            </w:pPr>
            <w:r>
              <w:rPr>
                <w:rFonts w:hint="eastAsia"/>
                <w:kern w:val="0"/>
                <w:sz w:val="24"/>
              </w:rPr>
              <w:t>100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continue"/>
            <w:vAlign w:val="center"/>
          </w:tcPr>
          <w:p>
            <w:pPr>
              <w:widowControl/>
              <w:ind w:firstLine="480"/>
              <w:jc w:val="center"/>
              <w:rPr>
                <w:kern w:val="0"/>
                <w:sz w:val="24"/>
              </w:rPr>
            </w:pPr>
          </w:p>
        </w:tc>
        <w:tc>
          <w:tcPr>
            <w:tcW w:w="2495" w:type="pct"/>
            <w:vAlign w:val="center"/>
          </w:tcPr>
          <w:p>
            <w:pPr>
              <w:widowControl/>
              <w:ind w:firstLine="0" w:firstLineChars="0"/>
              <w:jc w:val="center"/>
              <w:rPr>
                <w:sz w:val="24"/>
              </w:rPr>
            </w:pPr>
            <w:r>
              <w:rPr>
                <w:rFonts w:hint="eastAsia"/>
                <w:sz w:val="24"/>
              </w:rPr>
              <w:t>城乡一体化水平AAAA及以上县比例（%）</w:t>
            </w:r>
          </w:p>
        </w:tc>
        <w:tc>
          <w:tcPr>
            <w:tcW w:w="664" w:type="pct"/>
            <w:vAlign w:val="center"/>
          </w:tcPr>
          <w:p>
            <w:pPr>
              <w:widowControl/>
              <w:ind w:firstLine="0" w:firstLineChars="0"/>
              <w:jc w:val="center"/>
              <w:rPr>
                <w:sz w:val="24"/>
              </w:rPr>
            </w:pPr>
          </w:p>
        </w:tc>
        <w:tc>
          <w:tcPr>
            <w:tcW w:w="563" w:type="pct"/>
            <w:vAlign w:val="center"/>
          </w:tcPr>
          <w:p>
            <w:pPr>
              <w:widowControl/>
              <w:ind w:firstLine="0" w:firstLineChars="0"/>
              <w:jc w:val="center"/>
              <w:rPr>
                <w:kern w:val="0"/>
                <w:sz w:val="24"/>
              </w:rPr>
            </w:pPr>
            <w:r>
              <w:rPr>
                <w:rFonts w:hint="eastAsia"/>
                <w:sz w:val="24"/>
              </w:rPr>
              <w:t>80</w:t>
            </w:r>
          </w:p>
        </w:tc>
        <w:tc>
          <w:tcPr>
            <w:tcW w:w="268" w:type="pct"/>
            <w:vAlign w:val="center"/>
          </w:tcPr>
          <w:p>
            <w:pPr>
              <w:widowControl/>
              <w:ind w:firstLine="48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385" w:type="pct"/>
            <w:vMerge w:val="continue"/>
            <w:vAlign w:val="center"/>
          </w:tcPr>
          <w:p>
            <w:pPr>
              <w:widowControl/>
              <w:ind w:firstLine="480"/>
              <w:jc w:val="center"/>
              <w:rPr>
                <w:kern w:val="0"/>
                <w:sz w:val="24"/>
              </w:rPr>
            </w:pPr>
          </w:p>
        </w:tc>
        <w:tc>
          <w:tcPr>
            <w:tcW w:w="625" w:type="pct"/>
            <w:vMerge w:val="continue"/>
            <w:vAlign w:val="center"/>
          </w:tcPr>
          <w:p>
            <w:pPr>
              <w:widowControl/>
              <w:ind w:firstLine="480"/>
              <w:jc w:val="center"/>
              <w:rPr>
                <w:kern w:val="0"/>
                <w:sz w:val="24"/>
              </w:rPr>
            </w:pPr>
          </w:p>
        </w:tc>
        <w:tc>
          <w:tcPr>
            <w:tcW w:w="2495" w:type="pct"/>
            <w:vAlign w:val="center"/>
          </w:tcPr>
          <w:p>
            <w:pPr>
              <w:widowControl/>
              <w:ind w:firstLine="0" w:firstLineChars="0"/>
              <w:jc w:val="center"/>
              <w:rPr>
                <w:sz w:val="24"/>
              </w:rPr>
            </w:pPr>
            <w:r>
              <w:rPr>
                <w:rFonts w:hint="eastAsia"/>
                <w:sz w:val="24"/>
              </w:rPr>
              <w:t>省级四好农村路示范县比例（%）</w:t>
            </w:r>
          </w:p>
        </w:tc>
        <w:tc>
          <w:tcPr>
            <w:tcW w:w="664" w:type="pct"/>
            <w:vAlign w:val="center"/>
          </w:tcPr>
          <w:p>
            <w:pPr>
              <w:widowControl/>
              <w:ind w:firstLine="0" w:firstLineChars="0"/>
              <w:jc w:val="center"/>
              <w:rPr>
                <w:kern w:val="0"/>
                <w:sz w:val="24"/>
              </w:rPr>
            </w:pPr>
          </w:p>
        </w:tc>
        <w:tc>
          <w:tcPr>
            <w:tcW w:w="563" w:type="pct"/>
            <w:vAlign w:val="center"/>
          </w:tcPr>
          <w:p>
            <w:pPr>
              <w:widowControl/>
              <w:ind w:firstLine="0" w:firstLineChars="0"/>
              <w:jc w:val="center"/>
              <w:rPr>
                <w:kern w:val="0"/>
                <w:sz w:val="24"/>
              </w:rPr>
            </w:pPr>
            <w:r>
              <w:rPr>
                <w:rFonts w:hint="eastAsia"/>
                <w:kern w:val="0"/>
                <w:sz w:val="24"/>
              </w:rPr>
              <w:t>40</w:t>
            </w:r>
          </w:p>
        </w:tc>
        <w:tc>
          <w:tcPr>
            <w:tcW w:w="268" w:type="pct"/>
            <w:vAlign w:val="center"/>
          </w:tcPr>
          <w:p>
            <w:pPr>
              <w:widowControl/>
              <w:ind w:firstLine="480"/>
              <w:jc w:val="center"/>
              <w:rPr>
                <w:kern w:val="0"/>
                <w:sz w:val="24"/>
              </w:rPr>
            </w:pPr>
          </w:p>
        </w:tc>
      </w:tr>
    </w:tbl>
    <w:p>
      <w:pPr>
        <w:pStyle w:val="4"/>
        <w:ind w:firstLine="602"/>
        <w:rPr>
          <w:rFonts w:cs="Times New Roman"/>
        </w:rPr>
      </w:pPr>
      <w:bookmarkStart w:id="101" w:name="_Toc488330155"/>
      <w:bookmarkStart w:id="102" w:name="_Toc488330242"/>
      <w:bookmarkStart w:id="103" w:name="_Toc49243319"/>
      <w:bookmarkStart w:id="104" w:name="_Toc49243393"/>
      <w:r>
        <w:rPr>
          <w:rFonts w:cs="Times New Roman"/>
        </w:rPr>
        <w:t>建设目标</w:t>
      </w:r>
      <w:bookmarkEnd w:id="101"/>
      <w:bookmarkEnd w:id="102"/>
      <w:bookmarkEnd w:id="103"/>
      <w:bookmarkEnd w:id="104"/>
    </w:p>
    <w:p>
      <w:pPr>
        <w:adjustRightInd w:val="0"/>
        <w:snapToGrid w:val="0"/>
        <w:spacing w:line="360" w:lineRule="auto"/>
        <w:ind w:firstLine="640"/>
        <w:rPr>
          <w:rFonts w:cs="Times New Roman"/>
        </w:rPr>
      </w:pPr>
      <w:r>
        <w:rPr>
          <w:rFonts w:hint="eastAsia" w:cs="Times New Roman"/>
        </w:rPr>
        <w:t>到2025年，县道里程达</w:t>
      </w:r>
      <w:r>
        <w:rPr>
          <w:rFonts w:cs="Times New Roman"/>
        </w:rPr>
        <w:t>330.901</w:t>
      </w:r>
      <w:r>
        <w:rPr>
          <w:rFonts w:hint="eastAsia" w:cs="Times New Roman"/>
        </w:rPr>
        <w:t>公里，乡道里程达</w:t>
      </w:r>
      <w:r>
        <w:rPr>
          <w:rFonts w:cs="Times New Roman"/>
        </w:rPr>
        <w:t>914.793</w:t>
      </w:r>
      <w:r>
        <w:rPr>
          <w:rFonts w:hint="eastAsia" w:cs="Times New Roman"/>
        </w:rPr>
        <w:t>公里，村道里程达</w:t>
      </w:r>
      <w:r>
        <w:rPr>
          <w:rFonts w:cs="Times New Roman"/>
        </w:rPr>
        <w:t>1103.02</w:t>
      </w:r>
      <w:r>
        <w:rPr>
          <w:rFonts w:hint="eastAsia" w:cs="Times New Roman"/>
        </w:rPr>
        <w:t>公里；实现通建制村四级及以上公路占比达到</w:t>
      </w:r>
      <w:r>
        <w:rPr>
          <w:rFonts w:cs="Times New Roman"/>
        </w:rPr>
        <w:t>100</w:t>
      </w:r>
      <w:r>
        <w:rPr>
          <w:rFonts w:hint="eastAsia" w:cs="Times New Roman"/>
        </w:rPr>
        <w:t>%；规划路网密度达到</w:t>
      </w:r>
      <w:r>
        <w:rPr>
          <w:rFonts w:cs="Times New Roman"/>
        </w:rPr>
        <w:t>56.84</w:t>
      </w:r>
      <w:r>
        <w:rPr>
          <w:rFonts w:hint="eastAsia" w:cs="Times New Roman"/>
        </w:rPr>
        <w:t>公里/万人以上、</w:t>
      </w:r>
      <w:r>
        <w:rPr>
          <w:rFonts w:cs="Times New Roman"/>
        </w:rPr>
        <w:t>119.35</w:t>
      </w:r>
      <w:r>
        <w:rPr>
          <w:rFonts w:hint="eastAsia" w:cs="Times New Roman"/>
        </w:rPr>
        <w:t>公里/百平方公里以上；具备条件的建制村通畅率为100%。</w:t>
      </w:r>
      <w:r>
        <w:rPr>
          <w:rFonts w:cs="Times New Roman"/>
        </w:rPr>
        <w:t>具体建设项目情况见附表。</w:t>
      </w:r>
    </w:p>
    <w:p>
      <w:pPr>
        <w:pStyle w:val="4"/>
        <w:ind w:firstLine="602"/>
        <w:rPr>
          <w:rFonts w:cs="Times New Roman"/>
        </w:rPr>
      </w:pPr>
      <w:bookmarkStart w:id="105" w:name="_Toc49243320"/>
      <w:bookmarkStart w:id="106" w:name="_Toc49243394"/>
      <w:r>
        <w:rPr>
          <w:rFonts w:cs="Times New Roman"/>
        </w:rPr>
        <w:t>管理目标</w:t>
      </w:r>
      <w:bookmarkEnd w:id="105"/>
      <w:bookmarkEnd w:id="106"/>
    </w:p>
    <w:p>
      <w:pPr>
        <w:spacing w:line="360" w:lineRule="auto"/>
        <w:ind w:firstLine="640"/>
        <w:rPr>
          <w:rFonts w:cs="Times New Roman"/>
          <w:szCs w:val="32"/>
        </w:rPr>
      </w:pPr>
      <w:r>
        <w:rPr>
          <w:rFonts w:hint="eastAsia" w:cs="Times New Roman"/>
          <w:szCs w:val="32"/>
        </w:rPr>
        <w:t>全面落实国务院《深化农村公路管理养护体制改革的意见》，从主体责任、管理机构、配套政策、制度体系等方面提出“十四五”发展目标任务，健全治理体系，提升治理能力。一是要落实县级人民政府的主体责任。按照“县道县管、乡村道乡村管”的原则，细化县、乡、村三级农村公路管理责任，明确具体任务，加强过程监管，严格考核评价，形成“政府主导、部门负责、权责清晰、齐抓共管”的治理机制。</w:t>
      </w:r>
    </w:p>
    <w:p>
      <w:pPr>
        <w:spacing w:line="360" w:lineRule="auto"/>
        <w:ind w:firstLine="640"/>
        <w:rPr>
          <w:rFonts w:cs="Times New Roman"/>
          <w:szCs w:val="32"/>
        </w:rPr>
      </w:pPr>
      <w:r>
        <w:rPr>
          <w:rFonts w:hint="eastAsia" w:cs="Times New Roman"/>
          <w:szCs w:val="32"/>
        </w:rPr>
        <w:t>到2022年，县、乡、村三级农村公路管理责任落实率达到100%。二是要理顺管理机构和人员经费支出渠道。建立以各级政府一般公共预算投入为主的管理机构运行和人员经费保障机制。从2022年起，农村公路管理机构经费100%纳入财政预算，成品油税费改革转移支付不再列支管理机构运行经费和人员等其他支出。三是要全面推行农村公路“路长制”。县（市、区）主要负责人任本行政区域农村公路总路长，负责组织研究支持农村公路发展的重要政策，督促落实重要工作，协调解决重大问题；县（市、区）政府分管交通运输负责人任县级路长，负责所属区域内县级公路建设、管理、养护、运营及路域环境整治和应急管理工作，完成总路长安排的各项工作；乡（镇）政府和村民委员会主要负责人分别担任本区域乡级路长、村级路长，负责组织领导辖区内乡、村道管理、养护、运营及路域环境整治和应急管理工作，协调解决突出问题。全面实行农村公路三级路长制，形成“政府主导，分级负责，部门联动、运转高效”的工作格局。</w:t>
      </w:r>
    </w:p>
    <w:p>
      <w:pPr>
        <w:spacing w:line="360" w:lineRule="auto"/>
        <w:ind w:firstLine="640"/>
        <w:rPr>
          <w:rFonts w:cs="Times New Roman"/>
          <w:szCs w:val="32"/>
        </w:rPr>
      </w:pPr>
      <w:r>
        <w:rPr>
          <w:rFonts w:cs="Times New Roman"/>
          <w:szCs w:val="32"/>
        </w:rPr>
        <w:t>利用现有农村公路管理数据，实现路网规划、建设、管理、运营、评价、养护的计算机辅助决策，推进农村公路信息化、智能化发展。对重要路段设置流量监测器，逐步建设流量监控系统，为未来交通管理和规划提供基础数据。在重要节点逐步实施监控系统，集成农村公路网运行状态监测、应急指挥调度、行业监督管理、客货运输服务等功能，</w:t>
      </w:r>
    </w:p>
    <w:p>
      <w:pPr>
        <w:spacing w:line="360" w:lineRule="auto"/>
        <w:ind w:firstLine="640"/>
        <w:rPr>
          <w:rFonts w:cs="Times New Roman"/>
          <w:szCs w:val="32"/>
        </w:rPr>
      </w:pPr>
      <w:r>
        <w:rPr>
          <w:rFonts w:cs="Times New Roman"/>
          <w:szCs w:val="32"/>
        </w:rPr>
        <w:t>有效解决农村公路线长、点多、面广、路政执法力量分散薄弱等难题，实现“依法出行、文明出行、平安出行”，提升农村公路管理水平。</w:t>
      </w:r>
    </w:p>
    <w:p>
      <w:pPr>
        <w:pStyle w:val="4"/>
        <w:ind w:firstLine="602"/>
        <w:rPr>
          <w:rFonts w:cs="Times New Roman"/>
        </w:rPr>
      </w:pPr>
      <w:bookmarkStart w:id="107" w:name="_Toc488330157"/>
      <w:bookmarkStart w:id="108" w:name="_Toc488330244"/>
      <w:bookmarkStart w:id="109" w:name="_Toc49243321"/>
      <w:bookmarkStart w:id="110" w:name="_Toc49243395"/>
      <w:r>
        <w:rPr>
          <w:rFonts w:cs="Times New Roman"/>
        </w:rPr>
        <w:t>养护目标</w:t>
      </w:r>
      <w:bookmarkEnd w:id="107"/>
      <w:bookmarkEnd w:id="108"/>
      <w:bookmarkEnd w:id="109"/>
      <w:bookmarkEnd w:id="110"/>
    </w:p>
    <w:p>
      <w:pPr>
        <w:snapToGrid w:val="0"/>
        <w:spacing w:line="360" w:lineRule="auto"/>
        <w:ind w:right="20" w:firstLine="640"/>
        <w:rPr>
          <w:rFonts w:cs="Times New Roman"/>
          <w:szCs w:val="32"/>
        </w:rPr>
      </w:pPr>
      <w:r>
        <w:rPr>
          <w:rFonts w:cs="Times New Roman"/>
          <w:szCs w:val="32"/>
        </w:rPr>
        <w:t>建立健全“县为主体、行业指导、部门协作、社会参与”的养护工作机制，全面建立以公共财政为主的农村公路养护资金保障机制，并建立稳定的增长机制。将日常养护经费落实作为政府考核指标，真正实现“有路必养”，以因地制宜、经济实用、绿色环保、安全耐久为原则，建立健全适应本地特点的农村公路养护技术规范体系。加大预防性养护和大中修工程实施力度。提高养护技术，推广新技术、新工艺、新材料，科学制定养护实施计划。</w:t>
      </w:r>
    </w:p>
    <w:p>
      <w:pPr>
        <w:snapToGrid w:val="0"/>
        <w:spacing w:line="360" w:lineRule="auto"/>
        <w:ind w:right="20" w:firstLine="640"/>
        <w:rPr>
          <w:rFonts w:cs="Times New Roman"/>
          <w:szCs w:val="32"/>
        </w:rPr>
      </w:pPr>
      <w:r>
        <w:rPr>
          <w:rFonts w:hint="eastAsia" w:cs="Times New Roman"/>
          <w:szCs w:val="32"/>
        </w:rPr>
        <w:t>到2022年，优、良、中等路的比例达到90%以上；农村公路列养率达到100%；年均养护工程实施比例达到5%；围绕“油返砂”项目完成计划40%；路面技术状况指数（PQI）逐年上升；到2025年，优、良、中等路的比例达到90%以上；农村公路列养率达到100%；年均养护工程实施比例达到5%；围绕“油返砂”项目完成计划100%，路面技术状况指数（PQI）逐年上升。</w:t>
      </w:r>
    </w:p>
    <w:p>
      <w:pPr>
        <w:snapToGrid w:val="0"/>
        <w:spacing w:line="360" w:lineRule="auto"/>
        <w:ind w:right="20" w:firstLine="640"/>
        <w:rPr>
          <w:rFonts w:cs="Times New Roman"/>
          <w:szCs w:val="32"/>
        </w:rPr>
      </w:pPr>
      <w:r>
        <w:rPr>
          <w:rFonts w:cs="Times New Roman"/>
          <w:szCs w:val="32"/>
        </w:rPr>
        <w:t>道路养护未来应重点开展制度建设、道路养护、路政管理三个方面的内容，具体内容如下：</w:t>
      </w:r>
    </w:p>
    <w:p>
      <w:pPr>
        <w:snapToGrid w:val="0"/>
        <w:spacing w:line="360" w:lineRule="auto"/>
        <w:ind w:right="20" w:firstLine="640"/>
        <w:rPr>
          <w:rFonts w:cs="Times New Roman"/>
          <w:szCs w:val="32"/>
        </w:rPr>
      </w:pPr>
      <w:r>
        <w:rPr>
          <w:rFonts w:cs="Times New Roman"/>
          <w:szCs w:val="32"/>
        </w:rPr>
        <w:t>1、制度建设</w:t>
      </w:r>
    </w:p>
    <w:p>
      <w:pPr>
        <w:snapToGrid w:val="0"/>
        <w:spacing w:line="360" w:lineRule="auto"/>
        <w:ind w:right="20" w:firstLine="640"/>
        <w:rPr>
          <w:rFonts w:cs="Times New Roman"/>
          <w:szCs w:val="32"/>
        </w:rPr>
      </w:pPr>
      <w:r>
        <w:rPr>
          <w:rFonts w:cs="Times New Roman"/>
          <w:szCs w:val="32"/>
        </w:rPr>
        <w:t>（1）农村公路管理养护坚持政府领导、行业管理、分级负责的原则。地方各级人民政府必须采取有力措施，加强农村公路管理养护工作，并将农村公路管理养护工作纳入年度工作考核目标；</w:t>
      </w:r>
    </w:p>
    <w:p>
      <w:pPr>
        <w:snapToGrid w:val="0"/>
        <w:spacing w:line="360" w:lineRule="auto"/>
        <w:ind w:right="20" w:firstLine="640"/>
        <w:rPr>
          <w:rFonts w:cs="Times New Roman"/>
          <w:szCs w:val="32"/>
        </w:rPr>
      </w:pPr>
      <w:r>
        <w:rPr>
          <w:rFonts w:cs="Times New Roman"/>
          <w:szCs w:val="32"/>
        </w:rPr>
        <w:t>（2）农村公路养护遵循预防为主、防治结合、有路必养、确保安全畅通的工作方针；</w:t>
      </w:r>
    </w:p>
    <w:p>
      <w:pPr>
        <w:snapToGrid w:val="0"/>
        <w:spacing w:line="360" w:lineRule="auto"/>
        <w:ind w:right="20" w:firstLine="640"/>
        <w:rPr>
          <w:rFonts w:cs="Times New Roman"/>
          <w:szCs w:val="32"/>
        </w:rPr>
      </w:pPr>
      <w:r>
        <w:rPr>
          <w:rFonts w:cs="Times New Roman"/>
          <w:szCs w:val="32"/>
        </w:rPr>
        <w:t>（3）农村公路的管理养护由县级人民政府负总责，建立政府负责、行业指导；分段承包、责任到人；按期考核、奖罚兑现的管理养护机制。</w:t>
      </w:r>
    </w:p>
    <w:p>
      <w:pPr>
        <w:snapToGrid w:val="0"/>
        <w:spacing w:line="360" w:lineRule="auto"/>
        <w:ind w:right="20" w:firstLine="640"/>
        <w:rPr>
          <w:rFonts w:cs="Times New Roman"/>
          <w:szCs w:val="32"/>
        </w:rPr>
      </w:pPr>
      <w:r>
        <w:rPr>
          <w:rFonts w:cs="Times New Roman"/>
          <w:szCs w:val="32"/>
        </w:rPr>
        <w:t>2、道路养护</w:t>
      </w:r>
    </w:p>
    <w:p>
      <w:pPr>
        <w:snapToGrid w:val="0"/>
        <w:spacing w:line="360" w:lineRule="auto"/>
        <w:ind w:right="20" w:firstLine="640"/>
        <w:rPr>
          <w:rFonts w:cs="Times New Roman"/>
          <w:szCs w:val="32"/>
        </w:rPr>
      </w:pPr>
      <w:r>
        <w:rPr>
          <w:rFonts w:cs="Times New Roman"/>
          <w:szCs w:val="32"/>
        </w:rPr>
        <w:t>养护质量总体要求：坚持“以养好路面为中心，加强全面养护”的方针，完成小修保养、大中修工程、水毁抢修、危桥加固的养护任务，做到路面平整，路肩整洁，边坡稳定，排水畅通，构造物完好，沿线设施完善，绿化协调美观。</w:t>
      </w:r>
    </w:p>
    <w:p>
      <w:pPr>
        <w:snapToGrid w:val="0"/>
        <w:spacing w:line="360" w:lineRule="auto"/>
        <w:ind w:right="20" w:firstLine="640"/>
        <w:rPr>
          <w:rFonts w:cs="Times New Roman"/>
          <w:szCs w:val="32"/>
        </w:rPr>
      </w:pPr>
      <w:r>
        <w:rPr>
          <w:rFonts w:cs="Times New Roman"/>
          <w:szCs w:val="32"/>
        </w:rPr>
        <w:t>农村公路养护管理工作应积极推广、应用新技术、新材料、新工艺、新设备，不断提高农村公路养护管理水平。</w:t>
      </w:r>
    </w:p>
    <w:p>
      <w:pPr>
        <w:snapToGrid w:val="0"/>
        <w:spacing w:line="360" w:lineRule="auto"/>
        <w:ind w:right="20" w:firstLine="640"/>
        <w:rPr>
          <w:rFonts w:cs="Times New Roman"/>
          <w:szCs w:val="32"/>
        </w:rPr>
      </w:pPr>
      <w:r>
        <w:rPr>
          <w:rFonts w:cs="Times New Roman"/>
          <w:szCs w:val="32"/>
        </w:rPr>
        <w:t>养护作业单位要定期进行路况巡查，对发生的道路事故、路产损害案件应按有关规定及时上报处理。对发生的水毁灾害或影响行车安全的路段，要及时组织抢修。不能及时抢修应尽快在路段两端设立警告标志或禁行标志，并及时向上一级主管部门报告。因不可抗力因素致使农村公路交通中断或严重损坏时县、乡政府和村民委员会应启动应急预案，及时组织人员进行抢修，确保安全通行。</w:t>
      </w:r>
    </w:p>
    <w:p>
      <w:pPr>
        <w:spacing w:line="360" w:lineRule="auto"/>
        <w:ind w:firstLine="560"/>
        <w:jc w:val="center"/>
        <w:rPr>
          <w:rFonts w:cs="Times New Roman"/>
          <w:sz w:val="28"/>
          <w:szCs w:val="28"/>
        </w:rPr>
      </w:pPr>
      <w:r>
        <w:rPr>
          <w:rFonts w:cs="Times New Roman"/>
          <w:sz w:val="28"/>
          <w:szCs w:val="28"/>
        </w:rPr>
        <w:drawing>
          <wp:inline distT="0" distB="0" distL="0" distR="0">
            <wp:extent cx="4166235" cy="3140710"/>
            <wp:effectExtent l="19050" t="19050" r="24765" b="21590"/>
            <wp:docPr id="21" name="图片 21" descr="养护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养护道路"/>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166235" cy="3140710"/>
                    </a:xfrm>
                    <a:prstGeom prst="rect">
                      <a:avLst/>
                    </a:prstGeom>
                    <a:noFill/>
                    <a:ln w="6350" cmpd="sng">
                      <a:solidFill>
                        <a:srgbClr val="000000"/>
                      </a:solidFill>
                      <a:miter lim="800000"/>
                      <a:headEnd/>
                      <a:tailEnd/>
                    </a:ln>
                    <a:effectLst/>
                  </pic:spPr>
                </pic:pic>
              </a:graphicData>
            </a:graphic>
          </wp:inline>
        </w:drawing>
      </w:r>
    </w:p>
    <w:p>
      <w:pPr>
        <w:spacing w:line="360" w:lineRule="auto"/>
        <w:ind w:firstLine="562"/>
        <w:jc w:val="center"/>
        <w:rPr>
          <w:rFonts w:cs="Times New Roman"/>
          <w:sz w:val="28"/>
          <w:szCs w:val="28"/>
        </w:rPr>
      </w:pPr>
      <w:r>
        <w:rPr>
          <w:rFonts w:cs="Times New Roman"/>
          <w:b/>
          <w:color w:val="000000"/>
          <w:sz w:val="28"/>
          <w:szCs w:val="28"/>
        </w:rPr>
        <w:t>图4-1   道路养护</w:t>
      </w:r>
    </w:p>
    <w:p>
      <w:pPr>
        <w:snapToGrid w:val="0"/>
        <w:spacing w:line="360" w:lineRule="auto"/>
        <w:ind w:right="20" w:firstLine="640"/>
        <w:rPr>
          <w:rFonts w:cs="Times New Roman"/>
          <w:szCs w:val="32"/>
        </w:rPr>
      </w:pPr>
      <w:r>
        <w:rPr>
          <w:rFonts w:cs="Times New Roman"/>
          <w:szCs w:val="32"/>
        </w:rPr>
        <w:t>3、路政管理</w:t>
      </w:r>
    </w:p>
    <w:p>
      <w:pPr>
        <w:snapToGrid w:val="0"/>
        <w:spacing w:line="360" w:lineRule="auto"/>
        <w:ind w:right="20" w:firstLine="640"/>
        <w:rPr>
          <w:rFonts w:cs="Times New Roman"/>
          <w:szCs w:val="32"/>
        </w:rPr>
      </w:pPr>
      <w:r>
        <w:rPr>
          <w:rFonts w:cs="Times New Roman"/>
          <w:szCs w:val="32"/>
        </w:rPr>
        <w:t>（1）县交通局要结合当地实际，建立健全各项制度，加强路政管理队伍建设，提高路政管理人员执法水平，维护好路产路权，保障农村公路畅通。</w:t>
      </w:r>
    </w:p>
    <w:p>
      <w:pPr>
        <w:snapToGrid w:val="0"/>
        <w:spacing w:line="360" w:lineRule="auto"/>
        <w:ind w:right="20" w:firstLine="640"/>
        <w:rPr>
          <w:rFonts w:cs="Times New Roman"/>
          <w:szCs w:val="32"/>
        </w:rPr>
      </w:pPr>
      <w:r>
        <w:rPr>
          <w:rFonts w:cs="Times New Roman"/>
          <w:szCs w:val="32"/>
        </w:rPr>
        <w:t>（2）要充分引导和发挥乡镇人民政府、村委会的作用，调动村民的积极性，共同做好农村公路保护工作。</w:t>
      </w:r>
    </w:p>
    <w:p>
      <w:pPr>
        <w:snapToGrid w:val="0"/>
        <w:spacing w:line="360" w:lineRule="auto"/>
        <w:ind w:right="20" w:firstLine="640"/>
        <w:rPr>
          <w:rFonts w:cs="Times New Roman"/>
          <w:szCs w:val="32"/>
        </w:rPr>
      </w:pPr>
      <w:r>
        <w:rPr>
          <w:rFonts w:cs="Times New Roman"/>
          <w:szCs w:val="32"/>
        </w:rPr>
        <w:t>（3）地方各级交通主管部门要会同有关部门加强对路上超限超载车辆的治理。可根据农村公路技术等级设置相关限制超过限载、限高、限宽、限长标准的车辆在农村公路上行驶。</w:t>
      </w:r>
    </w:p>
    <w:p>
      <w:pPr>
        <w:snapToGrid w:val="0"/>
        <w:spacing w:line="360" w:lineRule="auto"/>
        <w:ind w:right="20" w:firstLine="640"/>
        <w:rPr>
          <w:rFonts w:cs="Times New Roman"/>
          <w:szCs w:val="32"/>
        </w:rPr>
      </w:pPr>
      <w:r>
        <w:rPr>
          <w:rFonts w:cs="Times New Roman"/>
          <w:szCs w:val="32"/>
        </w:rPr>
        <w:t>（4）任何单位和个人不得在农村公路及公路用地范围摆摊设点、堆放物品、倾倒垃圾、设置障碍、挖沟引水或者进行其他损坏、污染公路和影响公路畅通的行为。任何单位和个人不得损坏、擅自移动、涂改农村公路附属设施。</w:t>
      </w:r>
    </w:p>
    <w:p>
      <w:pPr>
        <w:snapToGrid w:val="0"/>
        <w:spacing w:line="360" w:lineRule="auto"/>
        <w:ind w:right="20" w:firstLine="640"/>
        <w:rPr>
          <w:rFonts w:cs="Times New Roman"/>
          <w:szCs w:val="32"/>
        </w:rPr>
      </w:pPr>
      <w:r>
        <w:rPr>
          <w:rFonts w:cs="Times New Roman"/>
          <w:szCs w:val="32"/>
        </w:rPr>
        <w:t>（5）地方各级交通主管部门依法负有管理和保护公路的权利和义务。有权检查、制止各种侵占、损坏公路、公路用地、公路附属等其他违法行为。</w:t>
      </w:r>
    </w:p>
    <w:p>
      <w:pPr>
        <w:pStyle w:val="4"/>
        <w:ind w:firstLine="602"/>
        <w:rPr>
          <w:rFonts w:cs="Times New Roman"/>
        </w:rPr>
      </w:pPr>
      <w:bookmarkStart w:id="111" w:name="_Toc49243322"/>
      <w:bookmarkStart w:id="112" w:name="_Toc49243396"/>
      <w:bookmarkStart w:id="113" w:name="_Toc488330245"/>
      <w:bookmarkStart w:id="114" w:name="_Toc488330158"/>
      <w:r>
        <w:rPr>
          <w:rFonts w:cs="Times New Roman"/>
        </w:rPr>
        <w:t>运营目标</w:t>
      </w:r>
      <w:bookmarkEnd w:id="111"/>
      <w:bookmarkEnd w:id="112"/>
      <w:bookmarkEnd w:id="113"/>
      <w:bookmarkEnd w:id="114"/>
    </w:p>
    <w:p>
      <w:pPr>
        <w:snapToGrid w:val="0"/>
        <w:spacing w:line="360" w:lineRule="auto"/>
        <w:ind w:right="20" w:firstLine="640"/>
        <w:rPr>
          <w:rFonts w:cs="Times New Roman"/>
          <w:szCs w:val="32"/>
        </w:rPr>
      </w:pPr>
      <w:r>
        <w:rPr>
          <w:rFonts w:cs="Times New Roman"/>
          <w:szCs w:val="32"/>
        </w:rPr>
        <w:t>坚持“城乡统筹、以城带乡、城乡一体、客货并举、运邮结合”总体思路，加快完善农村公路运输服务网络。建立农村客运班线通行条件联合审核机制。</w:t>
      </w:r>
    </w:p>
    <w:p>
      <w:pPr>
        <w:snapToGrid w:val="0"/>
        <w:spacing w:line="360" w:lineRule="auto"/>
        <w:ind w:right="20" w:firstLine="640"/>
        <w:rPr>
          <w:rFonts w:cs="Times New Roman"/>
          <w:szCs w:val="32"/>
        </w:rPr>
      </w:pPr>
      <w:r>
        <w:rPr>
          <w:rFonts w:cs="Times New Roman"/>
          <w:szCs w:val="32"/>
        </w:rPr>
        <w:t>推进县、乡、村三级物流站场设施和信息系统建设，推广货运班线、客运班车代运邮件等农村物流组织模式，坚持部门协同和资源整合，建立农村物流网络，基本建成覆盖县、乡、村三级的农村物流网络体系。</w:t>
      </w:r>
    </w:p>
    <w:p>
      <w:pPr>
        <w:snapToGrid w:val="0"/>
        <w:spacing w:line="360" w:lineRule="auto"/>
        <w:ind w:right="20" w:firstLine="640"/>
        <w:rPr>
          <w:rFonts w:cs="Times New Roman"/>
          <w:szCs w:val="32"/>
        </w:rPr>
      </w:pPr>
      <w:r>
        <w:rPr>
          <w:rFonts w:hint="eastAsia" w:cs="Times New Roman"/>
          <w:szCs w:val="32"/>
        </w:rPr>
        <w:t>到2025年，具备条件的建制村通客车率达到100%；城乡公交线路建制村覆盖率100%；乡镇物流覆盖率达到100%、具备条件的建制村快递比例达到100%。</w:t>
      </w:r>
    </w:p>
    <w:p>
      <w:pPr>
        <w:snapToGrid w:val="0"/>
        <w:spacing w:line="360" w:lineRule="auto"/>
        <w:ind w:right="20" w:firstLine="640"/>
        <w:rPr>
          <w:rFonts w:cs="Times New Roman"/>
          <w:szCs w:val="32"/>
        </w:rPr>
      </w:pPr>
      <w:r>
        <w:rPr>
          <w:rFonts w:cs="Times New Roman"/>
          <w:szCs w:val="32"/>
        </w:rPr>
        <w:t>阳城县未来的客运交通发展以“四好农村路”为依托，以政府投入为支撑，以实现城乡客运一体化工作方便为民为动力。未来阳城县将紧紧围绕实现城乡交通运输一体化建设目标，积极推动城乡客运一体化工作。将城区内公共交通与各个乡镇道路客运融为一体，打破市内公共交通与乡镇道路二元分割局面，缩小城乡差别，通过公共交通的资源整合，合理布局，使城区内公共交通与乡镇道路客运相互衔接贯通，达到资源共享，方便快捷、畅通有序，最终发挥阳城县公共交通资源效益的最大化，方便广大老百姓出行，使整个客运市场呈现出规范、有序、安全、和谐的景象。</w:t>
      </w:r>
    </w:p>
    <w:p>
      <w:pPr>
        <w:snapToGrid w:val="0"/>
        <w:spacing w:line="360" w:lineRule="auto"/>
        <w:ind w:right="20" w:firstLine="640"/>
        <w:rPr>
          <w:rFonts w:cs="Times New Roman"/>
          <w:szCs w:val="32"/>
        </w:rPr>
      </w:pPr>
      <w:r>
        <w:rPr>
          <w:rFonts w:cs="Times New Roman"/>
          <w:szCs w:val="32"/>
        </w:rPr>
        <w:t>发展低碳公交是阳城县公共交通未来发展的方向和趋势，是一种以高能效、低能耗、低污染、低排放为特征的交通运输发展方式，其核心在于提高交通运输的能源效率，改善交通运输的运能结构，优化交通运输的发展方式。</w:t>
      </w:r>
    </w:p>
    <w:p>
      <w:pPr>
        <w:ind w:firstLine="640"/>
        <w:rPr>
          <w:rFonts w:cs="Times New Roman"/>
        </w:rPr>
      </w:pPr>
    </w:p>
    <w:p>
      <w:pPr>
        <w:ind w:firstLine="640"/>
        <w:rPr>
          <w:rFonts w:cs="Times New Roman"/>
        </w:rPr>
      </w:pPr>
    </w:p>
    <w:p>
      <w:pPr>
        <w:ind w:firstLine="640"/>
        <w:rPr>
          <w:rFonts w:cs="Times New Roman"/>
        </w:rPr>
      </w:pPr>
    </w:p>
    <w:p>
      <w:pPr>
        <w:ind w:firstLine="640"/>
        <w:rPr>
          <w:rFonts w:cs="Times New Roman"/>
        </w:rPr>
        <w:sectPr>
          <w:headerReference r:id="rId17" w:type="default"/>
          <w:pgSz w:w="11906" w:h="16838"/>
          <w:pgMar w:top="1701" w:right="1531" w:bottom="1531" w:left="1531" w:header="851" w:footer="992" w:gutter="0"/>
          <w:cols w:space="425" w:num="1"/>
          <w:docGrid w:type="lines" w:linePitch="312" w:charSpace="0"/>
        </w:sectPr>
      </w:pPr>
    </w:p>
    <w:p>
      <w:pPr>
        <w:pStyle w:val="2"/>
        <w:spacing w:before="156" w:after="156"/>
        <w:ind w:left="1276"/>
        <w:rPr>
          <w:rFonts w:cs="Times New Roman"/>
        </w:rPr>
      </w:pPr>
      <w:bookmarkStart w:id="115" w:name="_Toc49243397"/>
      <w:bookmarkStart w:id="116" w:name="_Toc49243323"/>
      <w:r>
        <w:rPr>
          <w:rFonts w:cs="Times New Roman"/>
        </w:rPr>
        <w:t>路网布局与建设方案</w:t>
      </w:r>
      <w:bookmarkEnd w:id="115"/>
      <w:bookmarkEnd w:id="116"/>
    </w:p>
    <w:p>
      <w:pPr>
        <w:pStyle w:val="3"/>
        <w:ind w:firstLine="640"/>
        <w:rPr>
          <w:rFonts w:eastAsia="方正楷体简体" w:cs="Times New Roman"/>
          <w:bCs w:val="0"/>
        </w:rPr>
      </w:pPr>
      <w:bookmarkStart w:id="117" w:name="_Toc49243398"/>
      <w:bookmarkStart w:id="118" w:name="_Toc49243324"/>
      <w:r>
        <w:rPr>
          <w:rFonts w:eastAsia="方正楷体简体" w:cs="Times New Roman"/>
          <w:bCs w:val="0"/>
        </w:rPr>
        <w:t>规划节点分析</w:t>
      </w:r>
      <w:bookmarkEnd w:id="117"/>
      <w:bookmarkEnd w:id="118"/>
    </w:p>
    <w:p>
      <w:pPr>
        <w:ind w:firstLine="640"/>
      </w:pPr>
      <w:r>
        <w:rPr>
          <w:rFonts w:hint="eastAsia"/>
        </w:rPr>
        <w:t>阳城县位于山西省东南端，地处太岳山脉东支，中条山东北，太行山以西，沁河中游的西岸，东与晋城市泽州县为界，北与沁水县为邻，西南与垣曲县接壤，南与河南省济源市相连。</w:t>
      </w:r>
    </w:p>
    <w:p>
      <w:pPr>
        <w:ind w:firstLine="640"/>
      </w:pPr>
      <w:r>
        <w:rPr>
          <w:rFonts w:hint="eastAsia"/>
        </w:rPr>
        <w:t>未来，随着产业转移，阳城县与周边市县之间功能扩散和承接将逐渐频繁、日常生活互动日益密切、空间增长日趋紧密，市县之间道路交通联系将愈显薄弱。从区域内部道路交通分析，现状区域道路系统不完善，尤其是东西交通联系较弱。现状道路等级还需提高，目前区域旅游专用道路建设滞后，同时应加强旅游专用道路的建设。</w:t>
      </w:r>
    </w:p>
    <w:p>
      <w:pPr>
        <w:ind w:firstLine="640"/>
      </w:pPr>
      <w:r>
        <w:rPr>
          <w:rFonts w:hint="eastAsia"/>
        </w:rPr>
        <w:t>农村道路系统共由四个等级的道路构成，即县道、乡道、村道、等外路，本规划将农村公路划分为内部道路系统和对外道路系统两大性质的道路。</w:t>
      </w:r>
    </w:p>
    <w:p>
      <w:pPr>
        <w:ind w:firstLine="640"/>
      </w:pPr>
      <w:r>
        <w:rPr>
          <w:rFonts w:hint="eastAsia"/>
        </w:rPr>
        <w:t>对外道路规划包括农村与农村之间、农村与城市、城镇的连 接，对内规划完成农村交通性道路和生活性道路，每条道路的性质与其两侧用地性质相匹配，交通性道路尽量位于农村边缘，要求道路的速度相对较快、畅通、安全，避免村民过街的干扰，交通以机动车为主，农用车及自行车为辅；生活性道路则要求通而不畅，车速相对较低，少受或不受交通性车辆的干扰，要求村民出入方便。规划建设要远、近期相结合，服从城市总体规划的用地性质，具有前瞻性，便于实现远景城乡一体化的需求。</w:t>
      </w:r>
    </w:p>
    <w:p>
      <w:pPr>
        <w:ind w:firstLine="640"/>
      </w:pPr>
      <w:r>
        <w:rPr>
          <w:rFonts w:hint="eastAsia"/>
        </w:rPr>
        <w:t>阳城县人口布局集中于县城中心在凤城镇，其人口占全县总人口的</w:t>
      </w:r>
      <w:r>
        <w:t>3</w:t>
      </w:r>
      <w:r>
        <w:rPr>
          <w:rFonts w:hint="eastAsia"/>
        </w:rPr>
        <w:t>0%左右，为实现交通对社会经济发展的积极作用，本次农村公路规划将规划节点以凤城镇为中心节点，北留镇、润城镇、町店镇、芹池镇、次营镇、横河镇、河北镇、蟒河镇、东冶镇、白桑乡、寺头乡、西河乡、演礼乡、固隆乡、董封乡、驾岭乡为分节点。</w:t>
      </w:r>
    </w:p>
    <w:p>
      <w:pPr>
        <w:snapToGrid w:val="0"/>
        <w:ind w:firstLine="0" w:firstLineChars="0"/>
        <w:jc w:val="center"/>
        <w:rPr>
          <w:sz w:val="28"/>
        </w:rPr>
      </w:pPr>
      <w:r>
        <w:rPr>
          <w:rFonts w:hint="eastAsia"/>
          <w:sz w:val="28"/>
        </w:rPr>
        <w:t>表5</w:t>
      </w:r>
      <w:r>
        <w:rPr>
          <w:sz w:val="28"/>
        </w:rPr>
        <w:t xml:space="preserve">-1  </w:t>
      </w:r>
      <w:r>
        <w:rPr>
          <w:rFonts w:hint="eastAsia"/>
          <w:sz w:val="28"/>
        </w:rPr>
        <w:t>阳城县行政区划表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3204"/>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26" w:type="pct"/>
            <w:tcBorders>
              <w:top w:val="single" w:color="auto" w:sz="8" w:space="0"/>
              <w:bottom w:val="single" w:color="auto" w:sz="4" w:space="0"/>
            </w:tcBorders>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序号</w:t>
            </w:r>
          </w:p>
        </w:tc>
        <w:tc>
          <w:tcPr>
            <w:tcW w:w="1768" w:type="pct"/>
            <w:tcBorders>
              <w:top w:val="single" w:color="auto" w:sz="8" w:space="0"/>
              <w:bottom w:val="single" w:color="auto" w:sz="4" w:space="0"/>
            </w:tcBorders>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乡镇名称</w:t>
            </w:r>
          </w:p>
        </w:tc>
        <w:tc>
          <w:tcPr>
            <w:tcW w:w="2406" w:type="pct"/>
            <w:tcBorders>
              <w:top w:val="single" w:color="auto" w:sz="8" w:space="0"/>
              <w:bottom w:val="single" w:color="auto" w:sz="4" w:space="0"/>
            </w:tcBorders>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行政村数量（个）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tcBorders>
              <w:top w:val="single" w:color="auto" w:sz="4" w:space="0"/>
            </w:tcBorders>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w:t>
            </w:r>
          </w:p>
        </w:tc>
        <w:tc>
          <w:tcPr>
            <w:tcW w:w="1768" w:type="pct"/>
            <w:tcBorders>
              <w:top w:val="single" w:color="auto" w:sz="4" w:space="0"/>
            </w:tcBorders>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凤城镇</w:t>
            </w:r>
          </w:p>
        </w:tc>
        <w:tc>
          <w:tcPr>
            <w:tcW w:w="2406" w:type="pct"/>
            <w:tcBorders>
              <w:top w:val="single" w:color="auto" w:sz="4" w:space="0"/>
            </w:tcBorders>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2</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北留镇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3</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润城镇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4</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町店镇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5</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芹池镇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6</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次营镇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7</w:t>
            </w:r>
          </w:p>
        </w:tc>
        <w:tc>
          <w:tcPr>
            <w:tcW w:w="1768" w:type="pct"/>
            <w:vAlign w:val="center"/>
          </w:tcPr>
          <w:p>
            <w:pPr>
              <w:ind w:firstLine="0" w:firstLineChars="0"/>
              <w:jc w:val="center"/>
              <w:rPr>
                <w:rFonts w:ascii="仿宋" w:hAnsi="仿宋" w:eastAsia="仿宋" w:cs="Times New Roman"/>
                <w:color w:val="FF0000"/>
                <w:kern w:val="0"/>
                <w:sz w:val="24"/>
                <w:szCs w:val="24"/>
              </w:rPr>
            </w:pPr>
            <w:r>
              <w:fldChar w:fldCharType="begin"/>
            </w:r>
            <w:r>
              <w:instrText xml:space="preserve"> HYPERLINK "https://baike.so.com/doc/5851516-6064356.html" \t "_blank" </w:instrText>
            </w:r>
            <w:r>
              <w:fldChar w:fldCharType="separate"/>
            </w:r>
            <w:r>
              <w:rPr>
                <w:rFonts w:hint="eastAsia" w:ascii="仿宋" w:hAnsi="仿宋" w:eastAsia="仿宋" w:cs="宋体"/>
                <w:snapToGrid w:val="0"/>
                <w:kern w:val="0"/>
                <w:sz w:val="24"/>
                <w:szCs w:val="24"/>
              </w:rPr>
              <w:t>横河镇</w:t>
            </w:r>
            <w:r>
              <w:rPr>
                <w:rFonts w:hint="eastAsia" w:ascii="仿宋" w:hAnsi="仿宋" w:eastAsia="仿宋" w:cs="宋体"/>
                <w:snapToGrid w:val="0"/>
                <w:kern w:val="0"/>
                <w:sz w:val="24"/>
                <w:szCs w:val="24"/>
              </w:rPr>
              <w:fldChar w:fldCharType="end"/>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8</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河北镇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9</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蟒河镇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10</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东冶镇</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11</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白桑乡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12</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寺头乡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13</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西河乡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14</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演礼乡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15</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固隆乡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16</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董封乡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17</w:t>
            </w:r>
          </w:p>
        </w:tc>
        <w:tc>
          <w:tcPr>
            <w:tcW w:w="1768" w:type="pct"/>
            <w:vAlign w:val="center"/>
          </w:tcPr>
          <w:p>
            <w:pPr>
              <w:ind w:firstLine="0" w:firstLineChars="0"/>
              <w:jc w:val="center"/>
              <w:rPr>
                <w:rFonts w:ascii="仿宋" w:hAnsi="仿宋" w:eastAsia="仿宋" w:cs="Times New Roman"/>
                <w:color w:val="FF0000"/>
                <w:kern w:val="0"/>
                <w:sz w:val="24"/>
                <w:szCs w:val="24"/>
              </w:rPr>
            </w:pPr>
            <w:r>
              <w:rPr>
                <w:rFonts w:hint="eastAsia" w:ascii="仿宋" w:hAnsi="仿宋" w:eastAsia="仿宋" w:cs="宋体"/>
                <w:snapToGrid w:val="0"/>
                <w:kern w:val="0"/>
                <w:sz w:val="24"/>
                <w:szCs w:val="24"/>
              </w:rPr>
              <w:t>驾岭乡</w:t>
            </w: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6" w:type="pct"/>
            <w:vAlign w:val="center"/>
          </w:tcPr>
          <w:p>
            <w:pPr>
              <w:ind w:firstLine="0" w:firstLineChars="0"/>
              <w:jc w:val="center"/>
              <w:rPr>
                <w:rFonts w:ascii="仿宋" w:hAnsi="仿宋" w:eastAsia="仿宋" w:cs="Times New Roman"/>
                <w:kern w:val="0"/>
                <w:sz w:val="24"/>
                <w:szCs w:val="24"/>
              </w:rPr>
            </w:pPr>
            <w:r>
              <w:rPr>
                <w:rFonts w:hint="eastAsia" w:ascii="仿宋" w:hAnsi="仿宋" w:eastAsia="仿宋" w:cs="Times New Roman"/>
                <w:kern w:val="0"/>
                <w:sz w:val="24"/>
                <w:szCs w:val="24"/>
              </w:rPr>
              <w:t>合计</w:t>
            </w:r>
          </w:p>
        </w:tc>
        <w:tc>
          <w:tcPr>
            <w:tcW w:w="1768" w:type="pct"/>
            <w:vAlign w:val="center"/>
          </w:tcPr>
          <w:p>
            <w:pPr>
              <w:ind w:firstLine="0" w:firstLineChars="0"/>
              <w:jc w:val="center"/>
              <w:rPr>
                <w:rFonts w:ascii="仿宋" w:hAnsi="仿宋" w:eastAsia="仿宋" w:cs="Times New Roman"/>
                <w:color w:val="FF0000"/>
                <w:kern w:val="0"/>
                <w:sz w:val="24"/>
                <w:szCs w:val="24"/>
              </w:rPr>
            </w:pPr>
          </w:p>
        </w:tc>
        <w:tc>
          <w:tcPr>
            <w:tcW w:w="2406" w:type="pct"/>
            <w:vAlign w:val="center"/>
          </w:tcPr>
          <w:p>
            <w:pPr>
              <w:ind w:firstLine="0" w:firstLineChars="0"/>
              <w:jc w:val="center"/>
              <w:rPr>
                <w:rFonts w:ascii="楷体_GB2312" w:eastAsia="楷体_GB2312" w:cs="Times New Roman"/>
                <w:kern w:val="0"/>
                <w:sz w:val="24"/>
                <w:szCs w:val="24"/>
              </w:rPr>
            </w:pPr>
            <w:r>
              <w:rPr>
                <w:rFonts w:hint="eastAsia" w:ascii="楷体_GB2312" w:eastAsia="楷体_GB2312" w:cs="Times New Roman"/>
                <w:kern w:val="0"/>
                <w:sz w:val="24"/>
                <w:szCs w:val="24"/>
              </w:rPr>
              <w:t>426</w:t>
            </w:r>
          </w:p>
        </w:tc>
      </w:tr>
    </w:tbl>
    <w:p>
      <w:pPr>
        <w:pStyle w:val="3"/>
        <w:ind w:firstLine="640"/>
        <w:rPr>
          <w:rFonts w:cs="Times New Roman"/>
        </w:rPr>
      </w:pPr>
      <w:bookmarkStart w:id="119" w:name="_Toc49243325"/>
      <w:bookmarkStart w:id="120" w:name="_Toc49243399"/>
      <w:r>
        <w:rPr>
          <w:rFonts w:cs="Times New Roman"/>
        </w:rPr>
        <w:t>路网规模分析</w:t>
      </w:r>
      <w:bookmarkEnd w:id="119"/>
      <w:bookmarkEnd w:id="120"/>
    </w:p>
    <w:p>
      <w:pPr>
        <w:ind w:firstLine="640"/>
      </w:pPr>
      <w:r>
        <w:rPr>
          <w:rFonts w:hint="eastAsia"/>
        </w:rPr>
        <w:t>在情景分析框架体系下，遵循农村道路布局规划的目标，充分考虑各种运输方式的技术经济特征和资源约束，综合考虑影响交通设施基础规模扩张的需求和供给两方面因素，采用定性和定量相结合的方式，提出适用于阳城县农村道路发展规模与结构测定</w:t>
      </w:r>
      <w:r>
        <w:t>的方法</w:t>
      </w:r>
      <w:r>
        <w:rPr>
          <w:rFonts w:hint="eastAsia"/>
        </w:rPr>
        <w:t>。</w:t>
      </w:r>
    </w:p>
    <w:p>
      <w:pPr>
        <w:ind w:firstLine="640"/>
      </w:pPr>
      <w:r>
        <w:rPr>
          <w:rFonts w:hint="eastAsia"/>
        </w:rPr>
        <w:t>（1）弹性系数法</w:t>
      </w:r>
    </w:p>
    <w:p>
      <w:pPr>
        <w:ind w:firstLine="640"/>
      </w:pPr>
      <w:r>
        <w:rPr>
          <w:rFonts w:hint="eastAsia"/>
        </w:rPr>
        <w:t>弹性系数法是基于预测对象与参照对象间的相对结构变化而进行预测的方法。弹性系数是两个关联事物间增长速度之比率，该变量的变化幅度相对原有变量而言大大降低，变化的规律更加明显，相对基于自身发展趋势外推的预测方法具有更佳的可靠性。</w:t>
      </w:r>
    </w:p>
    <w:p>
      <w:pPr>
        <w:ind w:firstLine="640"/>
      </w:pPr>
      <w:r>
        <w:rPr>
          <w:rFonts w:hint="eastAsia"/>
        </w:rPr>
        <w:t>弹性系数模型基本表达式为：</w:t>
      </w:r>
    </w:p>
    <w:p>
      <w:pPr>
        <w:ind w:firstLine="0" w:firstLineChars="0"/>
        <w:jc w:val="center"/>
      </w:pPr>
      <m:oMathPara>
        <m:oMath>
          <m:r>
            <m:rPr/>
            <w:rPr>
              <w:rFonts w:ascii="Cambria Math" w:hAnsi="Cambria Math"/>
            </w:rPr>
            <m:t>e=</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m:t>
              </m:r>
              <m:ctrlPr>
                <w:rPr>
                  <w:rFonts w:ascii="Cambria Math" w:hAnsi="Cambria Math"/>
                  <w:i/>
                </w:rPr>
              </m:ctrlPr>
            </m:sub>
          </m:sSub>
        </m:oMath>
      </m:oMathPara>
    </w:p>
    <w:p>
      <w:pPr>
        <w:ind w:firstLine="640"/>
      </w:pPr>
      <w:r>
        <w:rPr>
          <w:rFonts w:hint="eastAsia"/>
        </w:rPr>
        <w:t>式中：</w:t>
      </w:r>
      <m:oMath>
        <m:r>
          <m:rPr/>
          <w:rPr>
            <w:rFonts w:ascii="Cambria Math" w:hAnsi="Cambria Math"/>
          </w:rPr>
          <m:t>e</m:t>
        </m:r>
      </m:oMath>
      <w:r>
        <w:rPr>
          <w:rFonts w:hint="eastAsia"/>
        </w:rPr>
        <w:t>--公里总里程弹性系数；</w:t>
      </w:r>
    </w:p>
    <w:p>
      <w:pPr>
        <w:ind w:firstLine="0" w:firstLineChars="0"/>
      </w:pPr>
      <m:oMath>
        <m:sSub>
          <m:sSubPr>
            <m:ctrlPr>
              <w:rPr>
                <w:rFonts w:ascii="Cambria Math" w:hAnsi="Cambria Math"/>
                <w:i/>
              </w:rPr>
            </m:ctrlPr>
          </m:sSubPr>
          <m:e>
            <m:r>
              <m:rPr/>
              <w:rPr>
                <w:rFonts w:ascii="Cambria Math" w:hAnsi="Cambria Math"/>
              </w:rPr>
              <m:t xml:space="preserve">          L</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rPr>
        <w:t>--公路总里程发展速度；</w:t>
      </w:r>
    </w:p>
    <w:p>
      <w:pPr>
        <w:ind w:firstLine="0" w:firstLineChars="0"/>
      </w:pPr>
      <m:oMath>
        <m:sSub>
          <m:sSubPr>
            <m:ctrlPr>
              <w:rPr>
                <w:rFonts w:ascii="Cambria Math" w:hAnsi="Cambria Math"/>
                <w:i/>
              </w:rPr>
            </m:ctrlPr>
          </m:sSubPr>
          <m:e>
            <m:r>
              <m:rPr/>
              <w:rPr>
                <w:rFonts w:ascii="Cambria Math" w:hAnsi="Cambria Math"/>
              </w:rPr>
              <m:t xml:space="preserve">          L</m:t>
            </m:r>
            <m:ctrlPr>
              <w:rPr>
                <w:rFonts w:ascii="Cambria Math" w:hAnsi="Cambria Math"/>
                <w:i/>
              </w:rPr>
            </m:ctrlPr>
          </m:e>
          <m:sub>
            <m:r>
              <m:rPr/>
              <w:rPr>
                <w:rFonts w:ascii="Cambria Math" w:hAnsi="Cambria Math"/>
              </w:rPr>
              <m:t>E</m:t>
            </m:r>
            <m:ctrlPr>
              <w:rPr>
                <w:rFonts w:ascii="Cambria Math" w:hAnsi="Cambria Math"/>
                <w:i/>
              </w:rPr>
            </m:ctrlPr>
          </m:sub>
        </m:sSub>
      </m:oMath>
      <w:r>
        <w:rPr>
          <w:rFonts w:hint="eastAsia"/>
        </w:rPr>
        <w:t>--国民经济发展速度。</w:t>
      </w:r>
    </w:p>
    <w:p>
      <w:pPr>
        <w:ind w:firstLine="640"/>
      </w:pPr>
      <w:r>
        <w:rPr>
          <w:rFonts w:hint="eastAsia"/>
        </w:rPr>
        <w:t>山西省公路总里程弹性系数大部分位于 0.1~0.3 的水平，而且各年间都有变化，呈现周期性的起伏现象，基本与山西省各个社会经济发展阶段想吻合。根据分析，广泛征求专家意见，并结合阳城县经济社会发展规律，阳城县在未来五年之内公路总规模发展速度将保持相对较快的发展速度，202</w:t>
      </w:r>
      <w:r>
        <w:t>1</w:t>
      </w:r>
      <w:r>
        <w:rPr>
          <w:rFonts w:hint="eastAsia"/>
        </w:rPr>
        <w:t>年至2025年的弹性系数取 0.1</w:t>
      </w:r>
      <w:r>
        <w:t>2</w:t>
      </w:r>
      <w:r>
        <w:rPr>
          <w:rFonts w:hint="eastAsia"/>
        </w:rPr>
        <w:t>。根据特征年的国内生产总值预测结果，可算出特征年国内生产总值相对于基年的增长率值。由弹性系数模型公式，可求出公路总里程发展速度，进而可得到各特征年公路网总里程，计算得到至2</w:t>
      </w:r>
      <w:r>
        <w:t>025</w:t>
      </w:r>
      <w:r>
        <w:rPr>
          <w:rFonts w:hint="eastAsia"/>
        </w:rPr>
        <w:t>年农村公路总规模为</w:t>
      </w:r>
      <w:r>
        <w:t>2127.83</w:t>
      </w:r>
      <w:r>
        <w:rPr>
          <w:rFonts w:hint="eastAsia"/>
        </w:rPr>
        <w:t>公里</w:t>
      </w:r>
    </w:p>
    <w:p>
      <w:pPr>
        <w:ind w:firstLine="640"/>
      </w:pPr>
      <w:r>
        <w:rPr>
          <w:rFonts w:hint="eastAsia"/>
        </w:rPr>
        <w:t>（2）国土系数法</w:t>
      </w:r>
    </w:p>
    <w:p>
      <w:pPr>
        <w:ind w:firstLine="640"/>
      </w:pPr>
      <w:r>
        <w:rPr>
          <w:rFonts w:hint="eastAsia"/>
        </w:rPr>
        <w:t>国土系数法是从区域面积、人口、经济发展水平等社会经济指标来预测区域内公路网规模，计算公式可用下式表示：</w:t>
      </w:r>
    </w:p>
    <w:p>
      <w:pPr>
        <w:ind w:firstLine="198" w:firstLineChars="62"/>
        <w:jc w:val="center"/>
      </w:pPr>
      <m:oMathPara>
        <m:oMath>
          <m:r>
            <m:rPr/>
            <w:rPr>
              <w:rFonts w:ascii="Cambria Math" w:hAnsi="Cambria Math"/>
            </w:rPr>
            <m:t>L=K×</m:t>
          </m:r>
          <m:rad>
            <m:radPr>
              <m:degHide m:val="1"/>
              <m:ctrlPr>
                <w:rPr>
                  <w:rFonts w:ascii="Cambria Math" w:hAnsi="Cambria Math"/>
                  <w:i/>
                </w:rPr>
              </m:ctrlPr>
            </m:radPr>
            <m:deg>
              <m:ctrlPr>
                <w:rPr>
                  <w:rFonts w:ascii="Cambria Math" w:hAnsi="Cambria Math"/>
                  <w:i/>
                </w:rPr>
              </m:ctrlPr>
            </m:deg>
            <m:e>
              <m:r>
                <m:rPr/>
                <w:rPr>
                  <w:rFonts w:ascii="Cambria Math" w:hAnsi="Cambria Math"/>
                </w:rPr>
                <m:t>P×A</m:t>
              </m:r>
              <m:ctrlPr>
                <w:rPr>
                  <w:rFonts w:ascii="Cambria Math" w:hAnsi="Cambria Math"/>
                  <w:i/>
                </w:rPr>
              </m:ctrlPr>
            </m:e>
          </m:rad>
        </m:oMath>
      </m:oMathPara>
    </w:p>
    <w:p>
      <w:pPr>
        <w:ind w:firstLine="640"/>
      </w:pPr>
      <w:r>
        <w:rPr>
          <w:rFonts w:hint="eastAsia"/>
        </w:rPr>
        <w:t>式中：</w:t>
      </w:r>
      <m:oMath>
        <m:r>
          <m:rPr/>
          <w:rPr>
            <w:rFonts w:ascii="Cambria Math" w:hAnsi="Cambria Math"/>
          </w:rPr>
          <m:t>L</m:t>
        </m:r>
      </m:oMath>
      <w:r>
        <w:rPr>
          <w:rFonts w:hint="eastAsia"/>
        </w:rPr>
        <w:t>--公路总里程(万km)；</w:t>
      </w:r>
    </w:p>
    <w:p>
      <w:pPr>
        <w:ind w:firstLine="0" w:firstLineChars="0"/>
        <w:jc w:val="left"/>
      </w:pPr>
      <m:oMath>
        <m:r>
          <m:rPr/>
          <w:rPr>
            <w:rFonts w:ascii="Cambria Math" w:hAnsi="Cambria Math"/>
          </w:rPr>
          <m:t xml:space="preserve">          P</m:t>
        </m:r>
      </m:oMath>
      <w:r>
        <w:rPr>
          <w:rFonts w:hint="eastAsia"/>
        </w:rPr>
        <w:t>--区域面积</w:t>
      </w:r>
      <w:r>
        <w:tab/>
      </w:r>
      <w:r>
        <w:rPr>
          <w:rFonts w:hint="eastAsia"/>
        </w:rPr>
        <w:t>(1</w:t>
      </w:r>
      <w:r>
        <w:t>000</w:t>
      </w:r>
      <w:r>
        <w:rPr>
          <w:rFonts w:hint="eastAsia"/>
        </w:rPr>
        <w:t>km</w:t>
      </w:r>
      <w:r>
        <w:rPr>
          <w:vertAlign w:val="superscript"/>
        </w:rPr>
        <w:t>2</w:t>
      </w:r>
      <w:r>
        <w:rPr>
          <w:rFonts w:hint="eastAsia"/>
        </w:rPr>
        <w:t>)；</w:t>
      </w:r>
    </w:p>
    <w:p>
      <w:pPr>
        <w:ind w:firstLine="198" w:firstLineChars="62"/>
      </w:pPr>
      <m:oMath>
        <m:r>
          <m:rPr/>
          <w:rPr>
            <w:rFonts w:ascii="Cambria Math" w:hAnsi="Cambria Math"/>
          </w:rPr>
          <m:t xml:space="preserve">         A</m:t>
        </m:r>
      </m:oMath>
      <w:r>
        <w:rPr>
          <w:rFonts w:hint="eastAsia"/>
        </w:rPr>
        <w:t>--区域内总人口(千人)；</w:t>
      </w:r>
    </w:p>
    <w:p>
      <w:pPr>
        <w:ind w:firstLine="0" w:firstLineChars="0"/>
      </w:pPr>
      <m:oMath>
        <m:r>
          <m:rPr/>
          <w:rPr>
            <w:rFonts w:ascii="Cambria Math" w:hAnsi="Cambria Math"/>
          </w:rPr>
          <m:t xml:space="preserve">          K</m:t>
        </m:r>
      </m:oMath>
      <w:r>
        <w:rPr>
          <w:rFonts w:hint="eastAsia"/>
        </w:rPr>
        <w:t>--公路网系数。</w:t>
      </w:r>
    </w:p>
    <w:p>
      <w:pPr>
        <w:ind w:firstLine="640"/>
      </w:pPr>
      <w:r>
        <w:rPr>
          <w:rFonts w:hint="eastAsia"/>
        </w:rPr>
        <w:t>通过分析阳城县历年公路网系数发展情况，确定阳城县未来公路发展的公路网系数。分析发现，从2008年以来，公路网系数不断加大，年均增长率在 0.1%左右。由此，可以得出未来阳城县2</w:t>
      </w:r>
      <w:r>
        <w:t>025</w:t>
      </w:r>
      <w:r>
        <w:rPr>
          <w:rFonts w:hint="eastAsia"/>
        </w:rPr>
        <w:t>年的公路网系数为</w:t>
      </w:r>
      <w:r>
        <w:t>65.1</w:t>
      </w:r>
      <w:r>
        <w:rPr>
          <w:rFonts w:hint="eastAsia"/>
        </w:rPr>
        <w:t>。根据以上公式，计算得到2</w:t>
      </w:r>
      <w:r>
        <w:t>025</w:t>
      </w:r>
      <w:r>
        <w:rPr>
          <w:rFonts w:hint="eastAsia"/>
        </w:rPr>
        <w:t>年公路总规模为</w:t>
      </w:r>
      <w:r>
        <w:t>2214.22</w:t>
      </w:r>
      <w:r>
        <w:rPr>
          <w:rFonts w:hint="eastAsia"/>
        </w:rPr>
        <w:t>公里。</w:t>
      </w:r>
    </w:p>
    <w:p>
      <w:pPr>
        <w:ind w:firstLine="640"/>
      </w:pPr>
      <w:r>
        <w:rPr>
          <w:rFonts w:hint="eastAsia"/>
        </w:rPr>
        <w:t>（3）回归分析法</w:t>
      </w:r>
    </w:p>
    <w:p>
      <w:pPr>
        <w:ind w:firstLine="640"/>
      </w:pPr>
      <w:r>
        <w:rPr>
          <w:rFonts w:hint="eastAsia"/>
        </w:rPr>
        <w:t>回归分析法是研究阳城县公路网自身的发展规律，在对本县公路建设历史统计数据分析的基础上，采用增长速度趋势分析方法，对未来公路网规模进行分析预测。回归公式如下：</w:t>
      </w:r>
    </w:p>
    <w:p>
      <w:pPr>
        <w:ind w:firstLine="198" w:firstLineChars="62"/>
      </w:pPr>
      <m:oMathPara>
        <m:oMath>
          <m:r>
            <m:rPr/>
            <w:rPr>
              <w:rFonts w:ascii="Cambria Math" w:hAnsi="Cambria Math"/>
            </w:rPr>
            <m:t>y=0.838</m:t>
          </m:r>
          <m:func>
            <m:funcPr>
              <m:ctrlPr>
                <w:rPr>
                  <w:rFonts w:ascii="Cambria Math" w:hAnsi="Cambria Math"/>
                </w:rPr>
              </m:ctrlPr>
            </m:funcPr>
            <m:fName>
              <m:r>
                <m:rPr>
                  <m:sty m:val="p"/>
                </m:rPr>
                <w:rPr>
                  <w:rFonts w:ascii="Cambria Math" w:hAnsi="Cambria Math"/>
                </w:rPr>
                <m:t>ln</m:t>
              </m:r>
              <m:ctrlPr>
                <w:rPr>
                  <w:rFonts w:ascii="Cambria Math" w:hAnsi="Cambria Math"/>
                </w:rPr>
              </m:ctrlPr>
            </m:fName>
            <m:e>
              <m:d>
                <m:dPr>
                  <m:ctrlPr>
                    <w:rPr>
                      <w:rFonts w:ascii="Cambria Math" w:hAnsi="Cambria Math"/>
                      <w:i/>
                    </w:rPr>
                  </m:ctrlPr>
                </m:dPr>
                <m:e>
                  <m:r>
                    <m:rPr/>
                    <w:rPr>
                      <w:rFonts w:ascii="Cambria Math" w:hAnsi="Cambria Math"/>
                    </w:rPr>
                    <m:t>x</m:t>
                  </m:r>
                  <m:ctrlPr>
                    <w:rPr>
                      <w:rFonts w:ascii="Cambria Math" w:hAnsi="Cambria Math"/>
                      <w:i/>
                    </w:rPr>
                  </m:ctrlPr>
                </m:e>
              </m:d>
              <m:ctrlPr>
                <w:rPr>
                  <w:rFonts w:ascii="Cambria Math" w:hAnsi="Cambria Math"/>
                </w:rPr>
              </m:ctrlPr>
            </m:e>
          </m:func>
          <m:r>
            <m:rPr/>
            <w:rPr>
              <w:rFonts w:ascii="Cambria Math" w:hAnsi="Cambria Math"/>
            </w:rPr>
            <m:t xml:space="preserve">+12.349          </m:t>
          </m:r>
          <m:sSup>
            <m:sSupPr>
              <m:ctrlPr>
                <w:rPr>
                  <w:rFonts w:ascii="Cambria Math" w:hAnsi="Cambria Math"/>
                  <w:i/>
                </w:rPr>
              </m:ctrlPr>
            </m:sSupPr>
            <m:e>
              <m:r>
                <m:rPr/>
                <w:rPr>
                  <w:rFonts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=0.9755</m:t>
          </m:r>
        </m:oMath>
      </m:oMathPara>
    </w:p>
    <w:p>
      <w:pPr>
        <w:ind w:firstLine="640"/>
      </w:pPr>
      <w:r>
        <w:rPr>
          <w:rFonts w:hint="eastAsia"/>
        </w:rPr>
        <w:t>式中：</w:t>
      </w:r>
      <m:oMath>
        <m:r>
          <m:rPr/>
          <w:rPr>
            <w:rFonts w:ascii="Cambria Math" w:hAnsi="Cambria Math"/>
          </w:rPr>
          <m:t>y</m:t>
        </m:r>
      </m:oMath>
      <w:r>
        <w:rPr>
          <w:rFonts w:hint="eastAsia"/>
        </w:rPr>
        <w:t>--公路总里程(万km)；</w:t>
      </w:r>
    </w:p>
    <w:p>
      <w:pPr>
        <w:ind w:firstLine="0" w:firstLineChars="0"/>
      </w:pPr>
      <m:oMath>
        <m:r>
          <m:rPr/>
          <w:rPr>
            <w:rFonts w:ascii="Cambria Math" w:hAnsi="Cambria Math"/>
          </w:rPr>
          <m:t xml:space="preserve">          x</m:t>
        </m:r>
      </m:oMath>
      <w:r>
        <w:rPr>
          <w:rFonts w:hint="eastAsia"/>
        </w:rPr>
        <w:t>--回归序列；</w:t>
      </w:r>
    </w:p>
    <w:p>
      <w:pPr>
        <w:ind w:firstLine="640"/>
      </w:pPr>
      <m:oMath>
        <m:r>
          <m:rPr/>
          <w:rPr>
            <w:rFonts w:ascii="Cambria Math" w:hAnsi="Cambria Math"/>
          </w:rPr>
          <m:t xml:space="preserve">      </m:t>
        </m:r>
        <m:r>
          <m:rPr/>
          <w:rPr>
            <w:rFonts w:hint="eastAsia" w:ascii="Cambria Math" w:hAnsi="Cambria Math"/>
          </w:rPr>
          <m:t>r</m:t>
        </m:r>
      </m:oMath>
      <w:r>
        <w:rPr>
          <w:rFonts w:hint="eastAsia"/>
        </w:rPr>
        <w:t>--相关系数。</w:t>
      </w:r>
    </w:p>
    <w:p>
      <w:pPr>
        <w:ind w:firstLine="640"/>
      </w:pPr>
      <w:r>
        <w:rPr>
          <w:rFonts w:hint="eastAsia"/>
        </w:rPr>
        <w:t>采用以上公式，计算得到2</w:t>
      </w:r>
      <w:r>
        <w:t>025</w:t>
      </w:r>
      <w:r>
        <w:rPr>
          <w:rFonts w:hint="eastAsia"/>
        </w:rPr>
        <w:t>年公路总规模为</w:t>
      </w:r>
      <w:r>
        <w:t>2174.52</w:t>
      </w:r>
      <w:r>
        <w:rPr>
          <w:rFonts w:hint="eastAsia"/>
        </w:rPr>
        <w:t>公里。</w:t>
      </w:r>
    </w:p>
    <w:p>
      <w:pPr>
        <w:ind w:firstLine="640"/>
      </w:pPr>
      <w:r>
        <w:rPr>
          <w:rFonts w:hint="eastAsia"/>
        </w:rPr>
        <w:t>以上各种预测模型精度检验符合要求，但各种预测方法的结果之间仍有一定差异，本文在结合前述约束条件以及专家经验判断的结果，在对前述各预测结果进行加权平均的基础上，得到最终预测结果选用值，如下表所示。</w:t>
      </w:r>
    </w:p>
    <w:p>
      <w:pPr>
        <w:adjustRightInd w:val="0"/>
        <w:snapToGrid w:val="0"/>
        <w:spacing w:before="62" w:beforeLines="20" w:after="62" w:afterLines="20"/>
        <w:ind w:firstLine="0" w:firstLineChars="0"/>
        <w:jc w:val="center"/>
        <w:rPr>
          <w:b/>
          <w:bCs/>
          <w:sz w:val="28"/>
          <w:szCs w:val="21"/>
        </w:rPr>
      </w:pPr>
      <w:r>
        <w:rPr>
          <w:rFonts w:hint="eastAsia"/>
          <w:b/>
          <w:bCs/>
          <w:sz w:val="28"/>
          <w:szCs w:val="21"/>
        </w:rPr>
        <w:t>表5</w:t>
      </w:r>
      <w:r>
        <w:rPr>
          <w:b/>
          <w:bCs/>
          <w:sz w:val="28"/>
          <w:szCs w:val="21"/>
        </w:rPr>
        <w:t xml:space="preserve">-2 </w:t>
      </w:r>
      <w:r>
        <w:rPr>
          <w:rFonts w:hint="eastAsia"/>
          <w:b/>
          <w:bCs/>
          <w:sz w:val="28"/>
          <w:szCs w:val="21"/>
        </w:rPr>
        <w:t>阳城县公路网总里程预测结果（单位：万km）</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6"/>
        <w:gridCol w:w="1767"/>
        <w:gridCol w:w="1767"/>
        <w:gridCol w:w="1767"/>
        <w:gridCol w:w="17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66" w:type="dxa"/>
          </w:tcPr>
          <w:p>
            <w:pPr>
              <w:pStyle w:val="27"/>
            </w:pPr>
            <w:r>
              <w:rPr>
                <w:rFonts w:hint="eastAsia"/>
              </w:rPr>
              <w:t xml:space="preserve">预测方法 </w:t>
            </w:r>
          </w:p>
        </w:tc>
        <w:tc>
          <w:tcPr>
            <w:tcW w:w="1767" w:type="dxa"/>
          </w:tcPr>
          <w:p>
            <w:pPr>
              <w:pStyle w:val="27"/>
            </w:pPr>
            <w:r>
              <w:rPr>
                <w:rFonts w:hint="eastAsia"/>
              </w:rPr>
              <w:t>弹性系数法</w:t>
            </w:r>
          </w:p>
        </w:tc>
        <w:tc>
          <w:tcPr>
            <w:tcW w:w="1767" w:type="dxa"/>
          </w:tcPr>
          <w:p>
            <w:pPr>
              <w:pStyle w:val="27"/>
            </w:pPr>
            <w:r>
              <w:rPr>
                <w:rFonts w:hint="eastAsia"/>
              </w:rPr>
              <w:t>国土系数法</w:t>
            </w:r>
          </w:p>
        </w:tc>
        <w:tc>
          <w:tcPr>
            <w:tcW w:w="1767" w:type="dxa"/>
          </w:tcPr>
          <w:p>
            <w:pPr>
              <w:pStyle w:val="27"/>
            </w:pPr>
            <w:r>
              <w:rPr>
                <w:rFonts w:hint="eastAsia"/>
              </w:rPr>
              <w:t>回归分析法</w:t>
            </w:r>
          </w:p>
        </w:tc>
        <w:tc>
          <w:tcPr>
            <w:tcW w:w="1767" w:type="dxa"/>
          </w:tcPr>
          <w:p>
            <w:pPr>
              <w:pStyle w:val="27"/>
            </w:pPr>
            <w:r>
              <w:rPr>
                <w:rFonts w:hint="eastAsia"/>
              </w:rPr>
              <w:t>综合结果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766" w:type="dxa"/>
          </w:tcPr>
          <w:p>
            <w:pPr>
              <w:pStyle w:val="27"/>
            </w:pPr>
            <w:r>
              <w:rPr>
                <w:rFonts w:hint="eastAsia"/>
              </w:rPr>
              <w:t>2</w:t>
            </w:r>
            <w:r>
              <w:t>025</w:t>
            </w:r>
            <w:r>
              <w:rPr>
                <w:rFonts w:hint="eastAsia"/>
              </w:rPr>
              <w:t>年</w:t>
            </w:r>
          </w:p>
        </w:tc>
        <w:tc>
          <w:tcPr>
            <w:tcW w:w="1767" w:type="dxa"/>
          </w:tcPr>
          <w:p>
            <w:pPr>
              <w:pStyle w:val="27"/>
            </w:pPr>
            <w:r>
              <w:t>2127.83</w:t>
            </w:r>
          </w:p>
        </w:tc>
        <w:tc>
          <w:tcPr>
            <w:tcW w:w="1767" w:type="dxa"/>
          </w:tcPr>
          <w:p>
            <w:pPr>
              <w:pStyle w:val="27"/>
            </w:pPr>
            <w:r>
              <w:t>2214.22</w:t>
            </w:r>
          </w:p>
        </w:tc>
        <w:tc>
          <w:tcPr>
            <w:tcW w:w="1767" w:type="dxa"/>
          </w:tcPr>
          <w:p>
            <w:pPr>
              <w:pStyle w:val="27"/>
            </w:pPr>
            <w:r>
              <w:t>2174.52</w:t>
            </w:r>
          </w:p>
        </w:tc>
        <w:tc>
          <w:tcPr>
            <w:tcW w:w="1767" w:type="dxa"/>
          </w:tcPr>
          <w:p>
            <w:pPr>
              <w:pStyle w:val="27"/>
            </w:pPr>
            <w:r>
              <w:t>2172.19</w:t>
            </w:r>
          </w:p>
        </w:tc>
      </w:tr>
    </w:tbl>
    <w:p>
      <w:pPr>
        <w:pStyle w:val="3"/>
        <w:ind w:firstLine="640"/>
        <w:rPr>
          <w:rFonts w:eastAsia="方正楷体简体" w:cs="Times New Roman"/>
          <w:bCs w:val="0"/>
        </w:rPr>
      </w:pPr>
      <w:bookmarkStart w:id="121" w:name="_Toc49243326"/>
      <w:bookmarkStart w:id="122" w:name="_Toc49243400"/>
      <w:r>
        <w:rPr>
          <w:rFonts w:eastAsia="方正楷体简体" w:cs="Times New Roman"/>
          <w:bCs w:val="0"/>
        </w:rPr>
        <w:t>布局方案</w:t>
      </w:r>
      <w:bookmarkEnd w:id="121"/>
      <w:bookmarkEnd w:id="122"/>
    </w:p>
    <w:p>
      <w:pPr>
        <w:ind w:firstLine="640"/>
      </w:pPr>
      <w:r>
        <w:rPr>
          <w:rFonts w:hint="eastAsia"/>
        </w:rPr>
        <w:t>1、布局原则</w:t>
      </w:r>
    </w:p>
    <w:p>
      <w:pPr>
        <w:ind w:firstLine="640"/>
      </w:pPr>
      <w:r>
        <w:rPr>
          <w:rFonts w:hint="eastAsia"/>
        </w:rPr>
        <w:t>依据阳城县农村公路网的特点，考虑以上影响因素，本着“合理布局，带动经济发展”的宗旨，在路网布局时一般应遵循以下基本原则：</w:t>
      </w:r>
    </w:p>
    <w:p>
      <w:pPr>
        <w:ind w:firstLine="640"/>
      </w:pPr>
      <w:r>
        <w:rPr>
          <w:rFonts w:hint="eastAsia"/>
        </w:rPr>
        <w:t>（1）服从经济社会发展战略，符合阳城县经济开发总体规划，满足经济社会发展对公路运输网络的需求；</w:t>
      </w:r>
    </w:p>
    <w:p>
      <w:pPr>
        <w:ind w:firstLine="640"/>
      </w:pPr>
      <w:r>
        <w:rPr>
          <w:rFonts w:hint="eastAsia"/>
        </w:rPr>
        <w:t>（2）考虑综合运输体系发展的要求，处理好路网布局与其他运输方式之间的衔接；</w:t>
      </w:r>
    </w:p>
    <w:p>
      <w:pPr>
        <w:ind w:firstLine="640"/>
      </w:pPr>
      <w:r>
        <w:rPr>
          <w:rFonts w:hint="eastAsia"/>
        </w:rPr>
        <w:t>（3）服从山西省高速公路网规划、国省干线等规划布局，并与之相协调。</w:t>
      </w:r>
    </w:p>
    <w:p>
      <w:pPr>
        <w:ind w:firstLine="640"/>
      </w:pPr>
      <w:r>
        <w:rPr>
          <w:rFonts w:hint="eastAsia"/>
        </w:rPr>
        <w:t>（4）县乡公路网布局要与干线公路网布局和通过能力、车辆技术装备水平、公路运输组织方式相协调。</w:t>
      </w:r>
    </w:p>
    <w:p>
      <w:pPr>
        <w:ind w:firstLine="640"/>
      </w:pPr>
      <w:r>
        <w:rPr>
          <w:rFonts w:hint="eastAsia"/>
        </w:rPr>
        <w:t>（5）加强与周边市县路网衔接，形成承东启西、连南接北的开放型骨架网络。</w:t>
      </w:r>
    </w:p>
    <w:p>
      <w:pPr>
        <w:ind w:firstLine="640"/>
      </w:pPr>
      <w:r>
        <w:rPr>
          <w:rFonts w:hint="eastAsia"/>
        </w:rPr>
        <w:t>（6）确保阳城县与中心镇以及中心镇、重点村之间的快速连接。</w:t>
      </w:r>
    </w:p>
    <w:p>
      <w:pPr>
        <w:ind w:firstLine="640"/>
      </w:pPr>
      <w:r>
        <w:rPr>
          <w:rFonts w:hint="eastAsia"/>
        </w:rPr>
        <w:t>2、布局方法</w:t>
      </w:r>
    </w:p>
    <w:p>
      <w:pPr>
        <w:ind w:firstLine="640"/>
      </w:pPr>
      <w:r>
        <w:rPr>
          <w:rFonts w:hint="eastAsia"/>
        </w:rPr>
        <w:t>农村公路网布局规划就是农村公路的布局优化，即在干线公路网的基础上，按照运输集散点的分布情况拟定主要线路方向，优化出连接各点的农村公路网，从而划分农村公路的功能和主次。农村公路网布局的方法一般可以采用“直线连接法”、“四阶段法”、“节点重要度法”和“交通区位法”，这些布局方法的主要内容如下：</w:t>
      </w:r>
    </w:p>
    <w:p>
      <w:pPr>
        <w:ind w:firstLine="640"/>
      </w:pPr>
      <w:r>
        <w:rPr>
          <w:rFonts w:hint="eastAsia"/>
        </w:rPr>
        <w:t>直线连接法本质上是专家经验法，主观因素较强，对于影响因素众多、日趋复杂的路网系统，该方法所得结论的合理性因专家不同而会有所不同，较难论证其完善性。</w:t>
      </w:r>
    </w:p>
    <w:p>
      <w:pPr>
        <w:ind w:firstLine="640"/>
      </w:pPr>
      <w:r>
        <w:rPr>
          <w:rFonts w:hint="eastAsia"/>
        </w:rPr>
        <w:t>四阶段法是先依据专家经验，拟定出公路网络，然后在OD 流调查、分析和研究的基础上，对未来公路网流量、流向进行预测，分配交通流后据此再调整得出路网布局方案的方法。该方法需要大量的前期工作，其实现的前提是OD 调查基础数据的成功收集，而且路网的来源依然是专家经验为主，如果初始方案并非最优，并不能保证最终结果为最合理。由于农村公路网功能即所服务的主体不同于国省干线道路，其交通流较离散，实行OD 调查将耗费比干线路网规划更为大量的人力、财力，且由于农村地区大多欠发达，一旦经济受公路建设促进后开始启动，则以交通量为依据，制定的路网布局与未来需求有一定差距。</w:t>
      </w:r>
    </w:p>
    <w:p>
      <w:pPr>
        <w:ind w:firstLine="640"/>
      </w:pPr>
      <w:r>
        <w:rPr>
          <w:rFonts w:hint="eastAsia"/>
        </w:rPr>
        <w:t>节点重要度法从对规划区域内节点分析入手，通过节点重要度路线重要度的计算，完成由点到线，由线到面的布局过程。由于节点重要度的计算结果对求解区域路网的最优树有优势，但对于过境交通需求引起的树状路网的附加联络线的确定意义论述不充分，而且对于区域路网补充的农村公路来说，许多数据的不全或缺乏，对节点选择的层次及范围形成了约束。</w:t>
      </w:r>
    </w:p>
    <w:p>
      <w:pPr>
        <w:ind w:firstLine="640"/>
      </w:pPr>
      <w:r>
        <w:rPr>
          <w:rFonts w:hint="eastAsia"/>
        </w:rPr>
        <w:t>交通区位布局法是在交通区位论的基础上发展起来的路网布局法。它从运输产生的源头出发，找出区域内交通产生的高发地带，即交通区位线。具体地说是通过对规划区域的地理特征、经济发展模式和资源分布的分析，结合规划区的地位，从根本上找出交通产生可能性最大的地带，以此为路线布局走向的依据来布局交通干线。这种布局方法的路线不仅在运输上是必要的，而且从经济上也是运费最低的。</w:t>
      </w:r>
    </w:p>
    <w:p>
      <w:pPr>
        <w:ind w:firstLine="640"/>
      </w:pPr>
      <w:r>
        <w:rPr>
          <w:rFonts w:hint="eastAsia"/>
        </w:rPr>
        <w:t>区位布局法的最大特点是从交通的源头出发，强调交通对经济发展的引导作用，适合于区域的远期交通规划。交通区位法把交通运输线看作某些条件集合下，一定地域内发展与经济社会相适应的交通有优势地带内的外化结果，但由于量化程度较差，潜在因素对于路网布局具有不确定性。</w:t>
      </w:r>
    </w:p>
    <w:p>
      <w:pPr>
        <w:ind w:firstLine="640"/>
      </w:pPr>
      <w:r>
        <w:rPr>
          <w:rFonts w:hint="eastAsia"/>
        </w:rPr>
        <w:t>根据各种布局方法的适用性，结合阳城县农村公路网现状特点，本项目在分析阳城县农村公路网现状的基础上，先采用交通区位线法找出交通产生的高发地带，再结合节点重要度法对农村公路网进行初始布局，并以四阶段法交通量预测、路网总体规模及路段指标评价对路网进行优化，得到最终路网。</w:t>
      </w:r>
    </w:p>
    <w:p>
      <w:pPr>
        <w:ind w:firstLine="640"/>
      </w:pPr>
      <w:r>
        <w:rPr>
          <w:rFonts w:hint="eastAsia"/>
        </w:rPr>
        <w:t>3、规划方案</w:t>
      </w:r>
    </w:p>
    <w:p>
      <w:pPr>
        <w:spacing w:line="360" w:lineRule="auto"/>
        <w:ind w:firstLine="640"/>
        <w:rPr>
          <w:rFonts w:cs="Times New Roman"/>
          <w:szCs w:val="28"/>
        </w:rPr>
      </w:pPr>
      <w:bookmarkStart w:id="123" w:name="_Toc467934823"/>
      <w:bookmarkStart w:id="124" w:name="_Toc483232771"/>
      <w:bookmarkStart w:id="125" w:name="_Toc483233254"/>
      <w:bookmarkStart w:id="126" w:name="_Toc485569181"/>
      <w:bookmarkStart w:id="127" w:name="_Toc485720537"/>
      <w:bookmarkStart w:id="128" w:name="_Toc485720624"/>
      <w:bookmarkStart w:id="129" w:name="_Toc485720788"/>
      <w:bookmarkStart w:id="130" w:name="_Toc486257400"/>
      <w:r>
        <w:rPr>
          <w:rFonts w:hint="eastAsia" w:cs="Times New Roman"/>
          <w:szCs w:val="28"/>
        </w:rPr>
        <w:t>按照农村公路“十四五”发展规划要求，综合考虑乡镇行政区划、人口密度、经济指标、文化旅游等指标，在“十四五”建设期间，阳城县农村公路建设方面总投资</w:t>
      </w:r>
      <w:r>
        <w:rPr>
          <w:rFonts w:cs="Times New Roman"/>
          <w:szCs w:val="28"/>
        </w:rPr>
        <w:t>105170.5</w:t>
      </w:r>
      <w:r>
        <w:rPr>
          <w:rFonts w:hint="eastAsia" w:cs="Times New Roman"/>
          <w:szCs w:val="28"/>
        </w:rPr>
        <w:t>万元。其中，自然村通硬化路项目里程共计</w:t>
      </w:r>
      <w:r>
        <w:rPr>
          <w:rFonts w:cs="Times New Roman"/>
          <w:szCs w:val="28"/>
        </w:rPr>
        <w:t>92.735</w:t>
      </w:r>
      <w:r>
        <w:rPr>
          <w:rFonts w:hint="eastAsia" w:cs="Times New Roman"/>
          <w:szCs w:val="28"/>
        </w:rPr>
        <w:t>公里，投资</w:t>
      </w:r>
      <w:r>
        <w:rPr>
          <w:rFonts w:cs="Times New Roman"/>
          <w:szCs w:val="28"/>
        </w:rPr>
        <w:t>11296</w:t>
      </w:r>
      <w:r>
        <w:rPr>
          <w:rFonts w:hint="eastAsia" w:cs="Times New Roman"/>
          <w:szCs w:val="28"/>
        </w:rPr>
        <w:t>万元；建制村通双车道公路改造建设项目里程共计</w:t>
      </w:r>
      <w:r>
        <w:rPr>
          <w:rFonts w:cs="Times New Roman"/>
          <w:szCs w:val="28"/>
        </w:rPr>
        <w:t>73.618</w:t>
      </w:r>
      <w:r>
        <w:rPr>
          <w:rFonts w:hint="eastAsia" w:cs="Times New Roman"/>
          <w:szCs w:val="28"/>
        </w:rPr>
        <w:t>公里，投资</w:t>
      </w:r>
      <w:r>
        <w:rPr>
          <w:rFonts w:cs="Times New Roman"/>
          <w:szCs w:val="28"/>
        </w:rPr>
        <w:t>19802</w:t>
      </w:r>
      <w:r>
        <w:rPr>
          <w:rFonts w:hint="eastAsia" w:cs="Times New Roman"/>
          <w:szCs w:val="28"/>
        </w:rPr>
        <w:t>万元；乡镇通三级及以上公路建设项目里程共计</w:t>
      </w:r>
      <w:r>
        <w:rPr>
          <w:rFonts w:cs="Times New Roman"/>
          <w:szCs w:val="28"/>
        </w:rPr>
        <w:t>90.201</w:t>
      </w:r>
      <w:r>
        <w:rPr>
          <w:rFonts w:hint="eastAsia" w:cs="Times New Roman"/>
          <w:szCs w:val="28"/>
        </w:rPr>
        <w:t>公里，投资</w:t>
      </w:r>
      <w:r>
        <w:rPr>
          <w:rFonts w:cs="Times New Roman"/>
          <w:szCs w:val="28"/>
        </w:rPr>
        <w:t>35558</w:t>
      </w:r>
      <w:r>
        <w:rPr>
          <w:rFonts w:hint="eastAsia" w:cs="Times New Roman"/>
          <w:szCs w:val="28"/>
        </w:rPr>
        <w:t>万元；县乡公路改造项目里程共计</w:t>
      </w:r>
      <w:r>
        <w:rPr>
          <w:rFonts w:cs="Times New Roman"/>
          <w:szCs w:val="28"/>
        </w:rPr>
        <w:t>137.877</w:t>
      </w:r>
      <w:r>
        <w:rPr>
          <w:rFonts w:hint="eastAsia" w:cs="Times New Roman"/>
          <w:szCs w:val="28"/>
        </w:rPr>
        <w:t>公里，投资</w:t>
      </w:r>
      <w:r>
        <w:rPr>
          <w:rFonts w:cs="Times New Roman"/>
          <w:szCs w:val="28"/>
        </w:rPr>
        <w:t>38071</w:t>
      </w:r>
      <w:r>
        <w:rPr>
          <w:rFonts w:hint="eastAsia" w:cs="Times New Roman"/>
          <w:szCs w:val="28"/>
        </w:rPr>
        <w:t>万元；村道安防工程项目里程共计</w:t>
      </w:r>
      <w:r>
        <w:rPr>
          <w:rFonts w:cs="Times New Roman"/>
          <w:szCs w:val="28"/>
        </w:rPr>
        <w:t>28.152</w:t>
      </w:r>
      <w:r>
        <w:rPr>
          <w:rFonts w:hint="eastAsia" w:cs="Times New Roman"/>
          <w:szCs w:val="28"/>
        </w:rPr>
        <w:t>公里，投资</w:t>
      </w:r>
      <w:r>
        <w:rPr>
          <w:rFonts w:cs="Times New Roman"/>
          <w:szCs w:val="28"/>
        </w:rPr>
        <w:t>443.5</w:t>
      </w:r>
      <w:r>
        <w:rPr>
          <w:rFonts w:hint="eastAsia" w:cs="Times New Roman"/>
          <w:szCs w:val="28"/>
        </w:rPr>
        <w:t>万元。</w:t>
      </w:r>
    </w:p>
    <w:p>
      <w:pPr>
        <w:spacing w:line="360" w:lineRule="auto"/>
        <w:ind w:firstLine="640"/>
        <w:rPr>
          <w:rFonts w:cs="Times New Roman"/>
          <w:szCs w:val="28"/>
        </w:rPr>
      </w:pPr>
    </w:p>
    <w:p>
      <w:pPr>
        <w:spacing w:line="360" w:lineRule="auto"/>
        <w:ind w:firstLine="640"/>
        <w:rPr>
          <w:rFonts w:cs="Times New Roman"/>
          <w:szCs w:val="28"/>
        </w:rPr>
      </w:pPr>
    </w:p>
    <w:p>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 xml:space="preserve">5-3 </w:t>
      </w:r>
      <w:r>
        <w:rPr>
          <w:rFonts w:hint="eastAsia" w:cs="Times New Roman"/>
          <w:b/>
          <w:sz w:val="28"/>
          <w:szCs w:val="28"/>
        </w:rPr>
        <w:t>阳城县农村公路“十四五”建设项目分年度实施一览表</w:t>
      </w:r>
    </w:p>
    <w:p>
      <w:pPr>
        <w:ind w:firstLine="0" w:firstLineChars="0"/>
        <w:jc w:val="right"/>
        <w:rPr>
          <w:rFonts w:cs="Times New Roman"/>
          <w:b/>
          <w:sz w:val="28"/>
          <w:szCs w:val="28"/>
        </w:rPr>
      </w:pPr>
      <w:r>
        <w:rPr>
          <w:rFonts w:hint="eastAsia" w:ascii="宋体" w:hAnsi="宋体" w:eastAsia="宋体" w:cs="宋体"/>
          <w:color w:val="000000"/>
          <w:kern w:val="0"/>
          <w:sz w:val="22"/>
          <w:lang w:bidi="ar"/>
        </w:rPr>
        <w:t>单位：万元</w:t>
      </w:r>
    </w:p>
    <w:tbl>
      <w:tblPr>
        <w:tblStyle w:val="13"/>
        <w:tblW w:w="50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74"/>
        <w:gridCol w:w="2208"/>
        <w:gridCol w:w="1008"/>
        <w:gridCol w:w="1033"/>
        <w:gridCol w:w="987"/>
        <w:gridCol w:w="987"/>
        <w:gridCol w:w="1056"/>
        <w:gridCol w:w="10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restar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序号</w:t>
            </w:r>
          </w:p>
        </w:tc>
        <w:tc>
          <w:tcPr>
            <w:tcW w:w="1240" w:type="pct"/>
            <w:vMerge w:val="restar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项目名称</w:t>
            </w:r>
          </w:p>
        </w:tc>
        <w:tc>
          <w:tcPr>
            <w:tcW w:w="3437" w:type="pct"/>
            <w:gridSpan w:val="6"/>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实施年度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continue"/>
            <w:vAlign w:val="center"/>
          </w:tcPr>
          <w:p>
            <w:pPr>
              <w:ind w:firstLine="0" w:firstLineChars="0"/>
              <w:jc w:val="center"/>
              <w:rPr>
                <w:rFonts w:ascii="仿宋" w:hAnsi="仿宋" w:eastAsia="仿宋" w:cs="宋体"/>
                <w:color w:val="000000"/>
                <w:kern w:val="0"/>
                <w:sz w:val="24"/>
                <w:szCs w:val="24"/>
              </w:rPr>
            </w:pPr>
          </w:p>
        </w:tc>
        <w:tc>
          <w:tcPr>
            <w:tcW w:w="1240" w:type="pct"/>
            <w:vMerge w:val="continue"/>
            <w:vAlign w:val="center"/>
          </w:tcPr>
          <w:p>
            <w:pPr>
              <w:ind w:firstLine="0" w:firstLineChars="0"/>
              <w:jc w:val="center"/>
              <w:rPr>
                <w:rFonts w:ascii="仿宋" w:hAnsi="仿宋" w:eastAsia="仿宋" w:cs="宋体"/>
                <w:color w:val="000000"/>
                <w:kern w:val="0"/>
                <w:sz w:val="24"/>
                <w:szCs w:val="24"/>
              </w:rPr>
            </w:pPr>
          </w:p>
        </w:tc>
        <w:tc>
          <w:tcPr>
            <w:tcW w:w="566"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小计</w:t>
            </w:r>
          </w:p>
        </w:tc>
        <w:tc>
          <w:tcPr>
            <w:tcW w:w="580"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21</w:t>
            </w:r>
            <w:r>
              <w:rPr>
                <w:rFonts w:hint="eastAsia" w:ascii="仿宋" w:hAnsi="仿宋" w:eastAsia="仿宋" w:cs="宋体"/>
                <w:color w:val="000000"/>
                <w:kern w:val="0"/>
                <w:sz w:val="24"/>
                <w:szCs w:val="24"/>
                <w:lang w:bidi="ar"/>
              </w:rPr>
              <w:t>年</w:t>
            </w:r>
          </w:p>
        </w:tc>
        <w:tc>
          <w:tcPr>
            <w:tcW w:w="554"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22</w:t>
            </w:r>
            <w:r>
              <w:rPr>
                <w:rFonts w:hint="eastAsia" w:ascii="仿宋" w:hAnsi="仿宋" w:eastAsia="仿宋" w:cs="宋体"/>
                <w:color w:val="000000"/>
                <w:kern w:val="0"/>
                <w:sz w:val="24"/>
                <w:szCs w:val="24"/>
                <w:lang w:bidi="ar"/>
              </w:rPr>
              <w:t>年</w:t>
            </w:r>
          </w:p>
        </w:tc>
        <w:tc>
          <w:tcPr>
            <w:tcW w:w="554"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23</w:t>
            </w:r>
            <w:r>
              <w:rPr>
                <w:rFonts w:hint="eastAsia" w:ascii="仿宋" w:hAnsi="仿宋" w:eastAsia="仿宋" w:cs="宋体"/>
                <w:color w:val="000000"/>
                <w:kern w:val="0"/>
                <w:sz w:val="24"/>
                <w:szCs w:val="24"/>
                <w:lang w:bidi="ar"/>
              </w:rPr>
              <w:t>年</w:t>
            </w:r>
          </w:p>
        </w:tc>
        <w:tc>
          <w:tcPr>
            <w:tcW w:w="59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202</w:t>
            </w:r>
            <w:r>
              <w:rPr>
                <w:rFonts w:ascii="仿宋" w:hAnsi="仿宋" w:eastAsia="仿宋" w:cs="宋体"/>
                <w:color w:val="000000"/>
                <w:kern w:val="0"/>
                <w:sz w:val="24"/>
                <w:szCs w:val="24"/>
                <w:lang w:bidi="ar"/>
              </w:rPr>
              <w:t>4</w:t>
            </w:r>
            <w:r>
              <w:rPr>
                <w:rFonts w:hint="eastAsia" w:ascii="仿宋" w:hAnsi="仿宋" w:eastAsia="仿宋" w:cs="宋体"/>
                <w:color w:val="000000"/>
                <w:kern w:val="0"/>
                <w:sz w:val="24"/>
                <w:szCs w:val="24"/>
                <w:lang w:bidi="ar"/>
              </w:rPr>
              <w:t>年</w:t>
            </w:r>
          </w:p>
        </w:tc>
        <w:tc>
          <w:tcPr>
            <w:tcW w:w="590" w:type="pct"/>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2</w:t>
            </w:r>
            <w:r>
              <w:rPr>
                <w:rFonts w:ascii="仿宋" w:hAnsi="仿宋" w:eastAsia="仿宋" w:cs="宋体"/>
                <w:color w:val="000000"/>
                <w:kern w:val="0"/>
                <w:sz w:val="24"/>
                <w:szCs w:val="24"/>
                <w:lang w:bidi="ar"/>
              </w:rPr>
              <w:t>025</w:t>
            </w:r>
            <w:r>
              <w:rPr>
                <w:rFonts w:hint="eastAsia" w:ascii="仿宋" w:hAnsi="仿宋" w:eastAsia="仿宋" w:cs="宋体"/>
                <w:color w:val="000000"/>
                <w:kern w:val="0"/>
                <w:sz w:val="24"/>
                <w:szCs w:val="24"/>
                <w:lang w:bidi="ar"/>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ind w:firstLine="0" w:firstLineChars="0"/>
              <w:jc w:val="center"/>
              <w:rPr>
                <w:rFonts w:ascii="仿宋" w:hAnsi="仿宋" w:eastAsia="仿宋" w:cs="宋体"/>
                <w:color w:val="000000"/>
                <w:kern w:val="0"/>
                <w:sz w:val="24"/>
                <w:szCs w:val="24"/>
              </w:rPr>
            </w:pPr>
          </w:p>
        </w:tc>
        <w:tc>
          <w:tcPr>
            <w:tcW w:w="1240"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合计</w:t>
            </w:r>
          </w:p>
        </w:tc>
        <w:tc>
          <w:tcPr>
            <w:tcW w:w="566" w:type="pct"/>
            <w:shd w:val="clear" w:color="FFFFFF" w:fill="FFFFFF"/>
            <w:vAlign w:val="center"/>
          </w:tcPr>
          <w:p>
            <w:pPr>
              <w:ind w:firstLine="0" w:firstLineChars="0"/>
              <w:jc w:val="center"/>
              <w:rPr>
                <w:color w:val="000000"/>
                <w:sz w:val="24"/>
                <w:szCs w:val="24"/>
              </w:rPr>
            </w:pPr>
            <w:r>
              <w:rPr>
                <w:color w:val="000000"/>
                <w:sz w:val="24"/>
                <w:szCs w:val="24"/>
              </w:rPr>
              <w:t>105170.5</w:t>
            </w:r>
          </w:p>
        </w:tc>
        <w:tc>
          <w:tcPr>
            <w:tcW w:w="580" w:type="pct"/>
            <w:shd w:val="clear" w:color="FFFFFF" w:fill="FFFFFF"/>
            <w:vAlign w:val="center"/>
          </w:tcPr>
          <w:p>
            <w:pPr>
              <w:ind w:firstLine="0" w:firstLineChars="0"/>
              <w:jc w:val="center"/>
              <w:rPr>
                <w:color w:val="000000"/>
                <w:sz w:val="24"/>
                <w:szCs w:val="24"/>
              </w:rPr>
            </w:pPr>
            <w:r>
              <w:rPr>
                <w:color w:val="000000"/>
                <w:sz w:val="24"/>
                <w:szCs w:val="24"/>
              </w:rPr>
              <w:t>42855</w:t>
            </w:r>
          </w:p>
        </w:tc>
        <w:tc>
          <w:tcPr>
            <w:tcW w:w="554" w:type="pct"/>
            <w:shd w:val="clear" w:color="FFFFFF" w:fill="FFFFFF"/>
            <w:vAlign w:val="center"/>
          </w:tcPr>
          <w:p>
            <w:pPr>
              <w:ind w:firstLine="0" w:firstLineChars="0"/>
              <w:jc w:val="center"/>
              <w:rPr>
                <w:color w:val="000000"/>
                <w:sz w:val="24"/>
                <w:szCs w:val="24"/>
              </w:rPr>
            </w:pPr>
            <w:r>
              <w:rPr>
                <w:color w:val="000000"/>
                <w:sz w:val="24"/>
                <w:szCs w:val="24"/>
              </w:rPr>
              <w:t>20304.5</w:t>
            </w:r>
          </w:p>
        </w:tc>
        <w:tc>
          <w:tcPr>
            <w:tcW w:w="554" w:type="pct"/>
            <w:shd w:val="clear" w:color="FFFFFF" w:fill="FFFFFF"/>
            <w:vAlign w:val="center"/>
          </w:tcPr>
          <w:p>
            <w:pPr>
              <w:ind w:firstLine="0" w:firstLineChars="0"/>
              <w:jc w:val="center"/>
              <w:rPr>
                <w:color w:val="000000"/>
                <w:sz w:val="24"/>
                <w:szCs w:val="24"/>
              </w:rPr>
            </w:pPr>
            <w:r>
              <w:rPr>
                <w:color w:val="000000"/>
                <w:sz w:val="24"/>
                <w:szCs w:val="24"/>
              </w:rPr>
              <w:t>19321</w:t>
            </w:r>
          </w:p>
        </w:tc>
        <w:tc>
          <w:tcPr>
            <w:tcW w:w="593" w:type="pct"/>
            <w:shd w:val="clear" w:color="FFFFFF" w:fill="FFFFFF"/>
            <w:vAlign w:val="center"/>
          </w:tcPr>
          <w:p>
            <w:pPr>
              <w:ind w:firstLine="0" w:firstLineChars="0"/>
              <w:jc w:val="center"/>
              <w:rPr>
                <w:color w:val="000000"/>
                <w:sz w:val="24"/>
                <w:szCs w:val="24"/>
              </w:rPr>
            </w:pPr>
            <w:r>
              <w:rPr>
                <w:color w:val="000000"/>
                <w:sz w:val="24"/>
                <w:szCs w:val="24"/>
              </w:rPr>
              <w:t>16103</w:t>
            </w:r>
          </w:p>
        </w:tc>
        <w:tc>
          <w:tcPr>
            <w:tcW w:w="590" w:type="pct"/>
            <w:shd w:val="clear" w:color="FFFFFF" w:fill="FFFFFF"/>
            <w:vAlign w:val="center"/>
          </w:tcPr>
          <w:p>
            <w:pPr>
              <w:ind w:firstLine="0" w:firstLineChars="0"/>
              <w:jc w:val="center"/>
              <w:rPr>
                <w:color w:val="000000"/>
                <w:sz w:val="24"/>
                <w:szCs w:val="24"/>
              </w:rPr>
            </w:pPr>
            <w:r>
              <w:rPr>
                <w:color w:val="000000"/>
                <w:sz w:val="24"/>
                <w:szCs w:val="24"/>
              </w:rPr>
              <w:t>6587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1</w:t>
            </w:r>
          </w:p>
        </w:tc>
        <w:tc>
          <w:tcPr>
            <w:tcW w:w="1240" w:type="pct"/>
            <w:shd w:val="clear" w:color="FFFFFF" w:fill="FFFFFF"/>
            <w:vAlign w:val="center"/>
          </w:tcPr>
          <w:p>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1296</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198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298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912</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438</w:t>
            </w:r>
          </w:p>
        </w:tc>
        <w:tc>
          <w:tcPr>
            <w:tcW w:w="590"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450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建制村通双车道公路改造建设</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9802</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3515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055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332</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900</w:t>
            </w:r>
          </w:p>
        </w:tc>
        <w:tc>
          <w:tcPr>
            <w:tcW w:w="590" w:type="pct"/>
            <w:shd w:val="clear" w:color="FFFFFF" w:fill="FFFFFF"/>
            <w:vAlign w:val="center"/>
          </w:tcPr>
          <w:p>
            <w:pPr>
              <w:ind w:firstLine="0" w:firstLineChars="0"/>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3</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乡镇通三级及以上公路建设</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5558</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8</w:t>
            </w:r>
            <w:r>
              <w:rPr>
                <w:color w:val="000000"/>
                <w:sz w:val="24"/>
                <w:szCs w:val="24"/>
              </w:rPr>
              <w:t>448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2410</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7</w:t>
            </w:r>
            <w:r>
              <w:rPr>
                <w:color w:val="000000"/>
                <w:sz w:val="24"/>
                <w:szCs w:val="24"/>
              </w:rPr>
              <w:t>200</w:t>
            </w:r>
          </w:p>
        </w:tc>
        <w:tc>
          <w:tcPr>
            <w:tcW w:w="593" w:type="pct"/>
            <w:shd w:val="clear" w:color="FFFFFF" w:fill="FFFFFF"/>
            <w:vAlign w:val="center"/>
          </w:tcPr>
          <w:p>
            <w:pPr>
              <w:ind w:firstLine="0" w:firstLineChars="0"/>
              <w:jc w:val="center"/>
              <w:rPr>
                <w:color w:val="000000"/>
                <w:sz w:val="24"/>
                <w:szCs w:val="24"/>
              </w:rPr>
            </w:pPr>
            <w:r>
              <w:rPr>
                <w:color w:val="000000"/>
                <w:sz w:val="24"/>
                <w:szCs w:val="24"/>
              </w:rPr>
              <w:t>7500</w:t>
            </w:r>
          </w:p>
        </w:tc>
        <w:tc>
          <w:tcPr>
            <w:tcW w:w="590" w:type="pct"/>
            <w:shd w:val="clear" w:color="FFFFFF" w:fill="FFFFFF"/>
            <w:vAlign w:val="center"/>
          </w:tcPr>
          <w:p>
            <w:pPr>
              <w:ind w:firstLine="0" w:firstLineChars="0"/>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4</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县乡公路改造</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8071</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8489</w:t>
            </w:r>
          </w:p>
        </w:tc>
        <w:tc>
          <w:tcPr>
            <w:tcW w:w="554" w:type="pct"/>
            <w:shd w:val="clear" w:color="FFFFFF" w:fill="FFFFFF"/>
            <w:vAlign w:val="center"/>
          </w:tcPr>
          <w:p>
            <w:pPr>
              <w:ind w:firstLine="0" w:firstLineChars="0"/>
              <w:jc w:val="center"/>
              <w:rPr>
                <w:color w:val="000000"/>
                <w:sz w:val="24"/>
                <w:szCs w:val="24"/>
              </w:rPr>
            </w:pPr>
            <w:r>
              <w:rPr>
                <w:color w:val="000000"/>
                <w:sz w:val="24"/>
                <w:szCs w:val="24"/>
              </w:rPr>
              <w:t>3428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7</w:t>
            </w:r>
            <w:r>
              <w:rPr>
                <w:color w:val="000000"/>
                <w:sz w:val="24"/>
                <w:szCs w:val="24"/>
              </w:rPr>
              <w:t>817</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5</w:t>
            </w:r>
            <w:r>
              <w:rPr>
                <w:color w:val="000000"/>
                <w:sz w:val="24"/>
                <w:szCs w:val="24"/>
              </w:rPr>
              <w:t>200</w:t>
            </w:r>
          </w:p>
        </w:tc>
        <w:tc>
          <w:tcPr>
            <w:tcW w:w="590"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5</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村道安防工程</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4</w:t>
            </w:r>
            <w:r>
              <w:rPr>
                <w:color w:val="000000"/>
                <w:sz w:val="24"/>
                <w:szCs w:val="24"/>
              </w:rPr>
              <w:t>43.5</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05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13.5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6</w:t>
            </w:r>
            <w:r>
              <w:rPr>
                <w:color w:val="000000"/>
                <w:sz w:val="24"/>
                <w:szCs w:val="24"/>
              </w:rPr>
              <w:t>0</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6</w:t>
            </w:r>
            <w:r>
              <w:rPr>
                <w:color w:val="000000"/>
                <w:sz w:val="24"/>
                <w:szCs w:val="24"/>
              </w:rPr>
              <w:t>5</w:t>
            </w:r>
          </w:p>
        </w:tc>
        <w:tc>
          <w:tcPr>
            <w:tcW w:w="590" w:type="pct"/>
            <w:shd w:val="clear" w:color="FFFFFF" w:fill="FFFFFF"/>
            <w:vAlign w:val="center"/>
          </w:tcPr>
          <w:p>
            <w:pPr>
              <w:ind w:firstLine="0" w:firstLineChars="0"/>
              <w:jc w:val="center"/>
              <w:rPr>
                <w:color w:val="000000"/>
                <w:sz w:val="24"/>
                <w:szCs w:val="24"/>
              </w:rPr>
            </w:pPr>
          </w:p>
        </w:tc>
      </w:tr>
      <w:bookmarkEnd w:id="123"/>
      <w:bookmarkEnd w:id="124"/>
      <w:bookmarkEnd w:id="125"/>
      <w:bookmarkEnd w:id="126"/>
      <w:bookmarkEnd w:id="127"/>
      <w:bookmarkEnd w:id="128"/>
      <w:bookmarkEnd w:id="129"/>
      <w:bookmarkEnd w:id="130"/>
    </w:tbl>
    <w:p>
      <w:pPr>
        <w:pStyle w:val="3"/>
        <w:ind w:firstLine="640"/>
        <w:rPr>
          <w:rFonts w:cs="Times New Roman"/>
        </w:rPr>
      </w:pPr>
      <w:bookmarkStart w:id="131" w:name="_Toc49243401"/>
      <w:bookmarkStart w:id="132" w:name="_Toc49243327"/>
      <w:r>
        <w:rPr>
          <w:rFonts w:eastAsia="方正楷体简体" w:cs="Times New Roman"/>
          <w:bCs w:val="0"/>
        </w:rPr>
        <w:t>建设重点</w:t>
      </w:r>
      <w:bookmarkEnd w:id="131"/>
      <w:bookmarkEnd w:id="132"/>
    </w:p>
    <w:p>
      <w:pPr>
        <w:ind w:firstLine="640"/>
      </w:pPr>
      <w:r>
        <w:rPr>
          <w:rFonts w:hint="eastAsia"/>
        </w:rPr>
        <w:t>本次阳城县农村公路“十四五”规划新建及改扩建道路合计</w:t>
      </w:r>
      <w:r>
        <w:t>422.583</w:t>
      </w:r>
      <w:r>
        <w:rPr>
          <w:rFonts w:hint="eastAsia"/>
        </w:rPr>
        <w:t>公里，其中，自然村通硬化路项目里程共计92.735公里；建制村通双车道公路改造建设项目里程共计73.618公里；乡镇通三级及以上公路建设项目里程共计90.201公里；县乡公路改造项目里程共计137.877公里；村道安防工程项目里程共计28.152公里。</w:t>
      </w:r>
    </w:p>
    <w:p>
      <w:pPr>
        <w:ind w:firstLine="0" w:firstLineChars="0"/>
      </w:pPr>
    </w:p>
    <w:p>
      <w:pPr>
        <w:ind w:firstLine="0" w:firstLineChars="0"/>
      </w:pPr>
    </w:p>
    <w:p>
      <w:pPr>
        <w:ind w:firstLine="0" w:firstLineChars="0"/>
      </w:pPr>
    </w:p>
    <w:p>
      <w:pPr>
        <w:ind w:firstLine="0" w:firstLineChars="0"/>
      </w:pPr>
    </w:p>
    <w:p>
      <w:pPr>
        <w:ind w:firstLine="0" w:firstLineChars="0"/>
      </w:pPr>
    </w:p>
    <w:p>
      <w:pPr>
        <w:adjustRightInd w:val="0"/>
        <w:snapToGrid w:val="0"/>
        <w:spacing w:before="62" w:beforeLines="20" w:after="62" w:afterLines="20"/>
        <w:ind w:firstLine="0" w:firstLineChars="0"/>
        <w:jc w:val="center"/>
        <w:rPr>
          <w:b/>
          <w:bCs/>
          <w:sz w:val="28"/>
          <w:szCs w:val="21"/>
        </w:rPr>
      </w:pPr>
      <w:bookmarkStart w:id="133" w:name="_Ref41726386"/>
      <w:r>
        <w:rPr>
          <w:rFonts w:hint="eastAsia"/>
          <w:b/>
          <w:bCs/>
          <w:sz w:val="28"/>
          <w:szCs w:val="21"/>
        </w:rPr>
        <w:t>表</w:t>
      </w:r>
      <w:r>
        <w:rPr>
          <w:b/>
          <w:bCs/>
          <w:sz w:val="28"/>
          <w:szCs w:val="21"/>
        </w:rPr>
        <w:fldChar w:fldCharType="begin"/>
      </w:r>
      <w:r>
        <w:rPr>
          <w:b/>
          <w:bCs/>
          <w:sz w:val="28"/>
          <w:szCs w:val="21"/>
        </w:rPr>
        <w:instrText xml:space="preserve"> </w:instrText>
      </w:r>
      <w:r>
        <w:rPr>
          <w:rFonts w:hint="eastAsia"/>
          <w:b/>
          <w:bCs/>
          <w:sz w:val="28"/>
          <w:szCs w:val="21"/>
        </w:rPr>
        <w:instrText xml:space="preserve">STYLEREF 1 \s</w:instrText>
      </w:r>
      <w:r>
        <w:rPr>
          <w:b/>
          <w:bCs/>
          <w:sz w:val="28"/>
          <w:szCs w:val="21"/>
        </w:rPr>
        <w:instrText xml:space="preserve"> </w:instrText>
      </w:r>
      <w:r>
        <w:rPr>
          <w:b/>
          <w:bCs/>
          <w:sz w:val="28"/>
          <w:szCs w:val="21"/>
        </w:rPr>
        <w:fldChar w:fldCharType="separate"/>
      </w:r>
      <w:r>
        <w:rPr>
          <w:b/>
          <w:bCs/>
          <w:sz w:val="28"/>
          <w:szCs w:val="21"/>
        </w:rPr>
        <w:t>5</w:t>
      </w:r>
      <w:r>
        <w:rPr>
          <w:b/>
          <w:bCs/>
          <w:sz w:val="28"/>
          <w:szCs w:val="21"/>
        </w:rPr>
        <w:fldChar w:fldCharType="end"/>
      </w:r>
      <w:r>
        <w:rPr>
          <w:b/>
          <w:bCs/>
          <w:sz w:val="28"/>
          <w:szCs w:val="21"/>
        </w:rPr>
        <w:t>-</w:t>
      </w:r>
      <w:bookmarkEnd w:id="133"/>
      <w:r>
        <w:rPr>
          <w:b/>
          <w:bCs/>
          <w:sz w:val="28"/>
          <w:szCs w:val="21"/>
        </w:rPr>
        <w:t xml:space="preserve">4 </w:t>
      </w:r>
      <w:r>
        <w:rPr>
          <w:rFonts w:hint="eastAsia"/>
          <w:b/>
          <w:bCs/>
          <w:sz w:val="28"/>
          <w:szCs w:val="21"/>
        </w:rPr>
        <w:t>阳城县农村公路 “十四五”规划建设规模</w:t>
      </w:r>
    </w:p>
    <w:tbl>
      <w:tblPr>
        <w:tblStyle w:val="13"/>
        <w:tblW w:w="50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4251"/>
        <w:gridCol w:w="1655"/>
        <w:gridCol w:w="1285"/>
        <w:gridCol w:w="13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99" w:type="pct"/>
            <w:vAlign w:val="center"/>
          </w:tcPr>
          <w:p>
            <w:pPr>
              <w:ind w:firstLine="0" w:firstLineChars="0"/>
              <w:jc w:val="center"/>
              <w:rPr>
                <w:sz w:val="24"/>
                <w:szCs w:val="24"/>
              </w:rPr>
            </w:pPr>
            <w:r>
              <w:rPr>
                <w:rFonts w:hint="eastAsia"/>
                <w:sz w:val="24"/>
                <w:szCs w:val="24"/>
              </w:rPr>
              <w:t>序号</w:t>
            </w:r>
          </w:p>
        </w:tc>
        <w:tc>
          <w:tcPr>
            <w:tcW w:w="2338" w:type="pct"/>
            <w:shd w:val="clear" w:color="auto" w:fill="auto"/>
            <w:noWrap/>
            <w:vAlign w:val="center"/>
          </w:tcPr>
          <w:p>
            <w:pPr>
              <w:ind w:firstLine="0" w:firstLineChars="0"/>
              <w:jc w:val="center"/>
              <w:rPr>
                <w:sz w:val="24"/>
                <w:szCs w:val="24"/>
              </w:rPr>
            </w:pPr>
            <w:r>
              <w:rPr>
                <w:rFonts w:hint="eastAsia"/>
                <w:sz w:val="24"/>
                <w:szCs w:val="24"/>
              </w:rPr>
              <w:t>项目名称</w:t>
            </w:r>
          </w:p>
        </w:tc>
        <w:tc>
          <w:tcPr>
            <w:tcW w:w="910" w:type="pct"/>
            <w:vAlign w:val="center"/>
          </w:tcPr>
          <w:p>
            <w:pPr>
              <w:ind w:firstLine="0" w:firstLineChars="0"/>
              <w:jc w:val="center"/>
              <w:rPr>
                <w:sz w:val="24"/>
                <w:szCs w:val="24"/>
              </w:rPr>
            </w:pPr>
            <w:r>
              <w:rPr>
                <w:rFonts w:hint="eastAsia"/>
                <w:sz w:val="24"/>
                <w:szCs w:val="24"/>
              </w:rPr>
              <w:t>类型</w:t>
            </w:r>
          </w:p>
        </w:tc>
        <w:tc>
          <w:tcPr>
            <w:tcW w:w="707" w:type="pct"/>
            <w:tcBorders>
              <w:bottom w:val="single" w:color="auto" w:sz="6" w:space="0"/>
            </w:tcBorders>
            <w:shd w:val="clear" w:color="auto" w:fill="auto"/>
            <w:noWrap/>
            <w:vAlign w:val="center"/>
          </w:tcPr>
          <w:p>
            <w:pPr>
              <w:ind w:firstLine="0" w:firstLineChars="0"/>
              <w:jc w:val="center"/>
              <w:rPr>
                <w:sz w:val="24"/>
                <w:szCs w:val="24"/>
              </w:rPr>
            </w:pPr>
            <w:r>
              <w:rPr>
                <w:rFonts w:hint="eastAsia"/>
                <w:sz w:val="24"/>
                <w:szCs w:val="24"/>
              </w:rPr>
              <w:t>建设里程</w:t>
            </w:r>
          </w:p>
          <w:p>
            <w:pPr>
              <w:ind w:firstLine="0" w:firstLineChars="0"/>
              <w:jc w:val="center"/>
              <w:rPr>
                <w:sz w:val="24"/>
                <w:szCs w:val="24"/>
              </w:rPr>
            </w:pPr>
            <w:r>
              <w:rPr>
                <w:rFonts w:hint="eastAsia"/>
                <w:sz w:val="24"/>
                <w:szCs w:val="24"/>
              </w:rPr>
              <w:t>（公里）</w:t>
            </w:r>
          </w:p>
        </w:tc>
        <w:tc>
          <w:tcPr>
            <w:tcW w:w="746" w:type="pct"/>
            <w:tcBorders>
              <w:top w:val="single" w:color="auto" w:sz="12" w:space="0"/>
              <w:bottom w:val="single" w:color="auto" w:sz="6" w:space="0"/>
            </w:tcBorders>
            <w:vAlign w:val="center"/>
          </w:tcPr>
          <w:p>
            <w:pPr>
              <w:ind w:firstLine="0" w:firstLineChars="0"/>
              <w:jc w:val="center"/>
              <w:rPr>
                <w:sz w:val="24"/>
                <w:szCs w:val="24"/>
              </w:rPr>
            </w:pPr>
            <w:r>
              <w:rPr>
                <w:rFonts w:hint="eastAsia"/>
                <w:sz w:val="24"/>
                <w:szCs w:val="24"/>
              </w:rPr>
              <w:t>建设资金</w:t>
            </w:r>
          </w:p>
          <w:p>
            <w:pPr>
              <w:ind w:firstLine="0" w:firstLineChars="0"/>
              <w:jc w:val="center"/>
              <w:rPr>
                <w:sz w:val="24"/>
                <w:szCs w:val="24"/>
              </w:rPr>
            </w:pPr>
            <w:r>
              <w:rPr>
                <w:rFonts w:hint="eastAsia"/>
                <w:sz w:val="24"/>
                <w:szCs w:val="24"/>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1</w:t>
            </w:r>
          </w:p>
        </w:tc>
        <w:tc>
          <w:tcPr>
            <w:tcW w:w="2338" w:type="pct"/>
            <w:shd w:val="clear" w:color="FFFFFF" w:fill="FFFFFF"/>
            <w:noWrap/>
            <w:vAlign w:val="center"/>
          </w:tcPr>
          <w:p>
            <w:pPr>
              <w:widowControl/>
              <w:ind w:firstLine="0" w:firstLineChars="0"/>
              <w:jc w:val="center"/>
              <w:rPr>
                <w:rFonts w:ascii="宋体" w:hAnsi="宋体" w:eastAsia="宋体"/>
                <w:color w:val="000000"/>
                <w:sz w:val="22"/>
                <w:szCs w:val="20"/>
              </w:rPr>
            </w:pPr>
            <w:r>
              <w:rPr>
                <w:rFonts w:hint="eastAsia" w:ascii="宋体" w:hAnsi="宋体" w:eastAsia="宋体"/>
                <w:color w:val="000000"/>
                <w:sz w:val="22"/>
                <w:szCs w:val="20"/>
              </w:rPr>
              <w:t>合计</w:t>
            </w:r>
          </w:p>
        </w:tc>
        <w:tc>
          <w:tcPr>
            <w:tcW w:w="910" w:type="pct"/>
            <w:vAlign w:val="center"/>
          </w:tcPr>
          <w:p>
            <w:pPr>
              <w:ind w:firstLine="0" w:firstLineChars="0"/>
              <w:jc w:val="center"/>
              <w:rPr>
                <w:sz w:val="24"/>
                <w:szCs w:val="24"/>
              </w:rPr>
            </w:pPr>
            <w:r>
              <w:rPr>
                <w:rFonts w:hint="eastAsia"/>
                <w:sz w:val="24"/>
                <w:szCs w:val="24"/>
              </w:rPr>
              <w:t>新、改建</w:t>
            </w:r>
          </w:p>
        </w:tc>
        <w:tc>
          <w:tcPr>
            <w:tcW w:w="707" w:type="pct"/>
            <w:tcBorders>
              <w:top w:val="nil"/>
              <w:left w:val="nil"/>
              <w:bottom w:val="single" w:color="000000" w:sz="8" w:space="0"/>
              <w:right w:val="single" w:color="000000" w:sz="8" w:space="0"/>
            </w:tcBorders>
            <w:shd w:val="clear" w:color="000000" w:fill="FFFFFF"/>
            <w:noWrap/>
            <w:vAlign w:val="center"/>
          </w:tcPr>
          <w:p>
            <w:pPr>
              <w:widowControl/>
              <w:ind w:firstLine="0" w:firstLineChars="0"/>
              <w:jc w:val="center"/>
              <w:rPr>
                <w:rFonts w:eastAsia="等线" w:cs="Times New Roman"/>
                <w:color w:val="000000"/>
                <w:sz w:val="24"/>
                <w:szCs w:val="24"/>
              </w:rPr>
            </w:pPr>
            <w:r>
              <w:rPr>
                <w:rFonts w:eastAsia="等线" w:cs="Times New Roman"/>
                <w:color w:val="000000"/>
                <w:sz w:val="24"/>
                <w:szCs w:val="24"/>
              </w:rPr>
              <w:t>422.583</w:t>
            </w:r>
          </w:p>
        </w:tc>
        <w:tc>
          <w:tcPr>
            <w:tcW w:w="746" w:type="pct"/>
            <w:shd w:val="clear" w:color="FFFFFF" w:fill="FFFFFF"/>
            <w:vAlign w:val="center"/>
          </w:tcPr>
          <w:p>
            <w:pPr>
              <w:ind w:firstLine="0" w:firstLineChars="0"/>
              <w:jc w:val="center"/>
              <w:rPr>
                <w:color w:val="000000"/>
                <w:sz w:val="24"/>
                <w:szCs w:val="24"/>
              </w:rPr>
            </w:pPr>
            <w:r>
              <w:rPr>
                <w:color w:val="000000"/>
                <w:sz w:val="24"/>
                <w:szCs w:val="24"/>
              </w:rPr>
              <w:t>105170.5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2</w:t>
            </w:r>
          </w:p>
        </w:tc>
        <w:tc>
          <w:tcPr>
            <w:tcW w:w="2338" w:type="pct"/>
            <w:shd w:val="clear" w:color="FFFFFF" w:fill="FFFFFF"/>
            <w:noWrap/>
            <w:vAlign w:val="center"/>
          </w:tcPr>
          <w:p>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910" w:type="pct"/>
            <w:vAlign w:val="center"/>
          </w:tcPr>
          <w:p>
            <w:pPr>
              <w:ind w:firstLine="0" w:firstLineChars="0"/>
              <w:jc w:val="center"/>
              <w:rPr>
                <w:sz w:val="24"/>
                <w:szCs w:val="24"/>
              </w:rPr>
            </w:pPr>
            <w:r>
              <w:rPr>
                <w:rFonts w:hint="eastAsia"/>
                <w:sz w:val="24"/>
                <w:szCs w:val="24"/>
              </w:rPr>
              <w:t>新、改建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92.735</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1296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3</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建制村通双车道公路改造建设</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73.618</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9802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4</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乡镇通三级及以上公路建设</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rFonts w:hint="eastAsia"/>
                <w:color w:val="000000"/>
                <w:sz w:val="24"/>
                <w:szCs w:val="24"/>
              </w:rPr>
              <w:t>90.201</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5558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5</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县乡公路改造</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137.877</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8071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6</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村道安防工程</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auto" w:sz="12"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28.152</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4</w:t>
            </w:r>
            <w:r>
              <w:rPr>
                <w:color w:val="000000"/>
                <w:sz w:val="24"/>
                <w:szCs w:val="24"/>
              </w:rPr>
              <w:t>43.5</w:t>
            </w:r>
          </w:p>
        </w:tc>
      </w:tr>
    </w:tbl>
    <w:p>
      <w:pPr>
        <w:spacing w:line="360" w:lineRule="auto"/>
        <w:ind w:firstLine="640"/>
        <w:rPr>
          <w:rFonts w:cs="Times New Roman"/>
          <w:szCs w:val="28"/>
        </w:rPr>
      </w:pPr>
      <w:r>
        <w:rPr>
          <w:rFonts w:hint="eastAsia" w:cs="Times New Roman"/>
          <w:szCs w:val="28"/>
        </w:rPr>
        <w:t>（1）自然村通硬化路工程</w:t>
      </w:r>
    </w:p>
    <w:p>
      <w:pPr>
        <w:spacing w:line="360" w:lineRule="auto"/>
        <w:ind w:firstLine="640"/>
        <w:rPr>
          <w:rFonts w:cs="Times New Roman"/>
          <w:color w:val="FF0000"/>
          <w:szCs w:val="28"/>
        </w:rPr>
      </w:pPr>
      <w:r>
        <w:rPr>
          <w:rFonts w:hint="eastAsia" w:cs="Times New Roman"/>
          <w:szCs w:val="28"/>
        </w:rPr>
        <w:t>较大人口规模自然村通硬化路方面，重点建设阳高泉-下河台底-梁庄、后圪坨-马沟、东哄哄-三里腰、增村-孔家沟、东庄-窑上、红坦腰-南下庄、南河-省界、快速通道-礼庄沟、曲头-观腰庄、张家庄-磨凹口、东冶-窑战、固隆-北燕、阳杨线-原圪堆等共</w:t>
      </w:r>
      <w:r>
        <w:rPr>
          <w:rFonts w:cs="Times New Roman"/>
          <w:szCs w:val="28"/>
        </w:rPr>
        <w:t>55</w:t>
      </w:r>
      <w:r>
        <w:rPr>
          <w:rFonts w:hint="eastAsia" w:cs="Times New Roman"/>
          <w:szCs w:val="28"/>
        </w:rPr>
        <w:t>条，建设规模为</w:t>
      </w:r>
      <w:r>
        <w:rPr>
          <w:rFonts w:cs="Times New Roman"/>
          <w:szCs w:val="28"/>
        </w:rPr>
        <w:t>92.735</w:t>
      </w:r>
      <w:r>
        <w:rPr>
          <w:rFonts w:hint="eastAsia" w:cs="Times New Roman"/>
          <w:szCs w:val="28"/>
        </w:rPr>
        <w:t>公里，技术等级四级公路为</w:t>
      </w:r>
      <w:r>
        <w:rPr>
          <w:rFonts w:cs="Times New Roman"/>
          <w:szCs w:val="28"/>
        </w:rPr>
        <w:t>92.735</w:t>
      </w:r>
      <w:r>
        <w:rPr>
          <w:rFonts w:hint="eastAsia" w:cs="Times New Roman"/>
          <w:szCs w:val="28"/>
        </w:rPr>
        <w:t>公里。</w:t>
      </w:r>
    </w:p>
    <w:p>
      <w:pPr>
        <w:numPr>
          <w:ilvl w:val="0"/>
          <w:numId w:val="2"/>
        </w:numPr>
        <w:spacing w:line="360" w:lineRule="auto"/>
        <w:ind w:firstLine="562" w:firstLineChars="0"/>
        <w:rPr>
          <w:rFonts w:cs="Times New Roman"/>
          <w:szCs w:val="28"/>
        </w:rPr>
      </w:pPr>
      <w:r>
        <w:rPr>
          <w:rFonts w:hint="eastAsia" w:cs="Times New Roman"/>
          <w:szCs w:val="28"/>
        </w:rPr>
        <w:t>建制村通双车道公路改造建设工程</w:t>
      </w:r>
    </w:p>
    <w:p>
      <w:pPr>
        <w:spacing w:line="360" w:lineRule="auto"/>
        <w:ind w:firstLine="0" w:firstLineChars="0"/>
        <w:rPr>
          <w:rFonts w:cs="Times New Roman"/>
          <w:szCs w:val="28"/>
        </w:rPr>
      </w:pPr>
      <w:r>
        <w:rPr>
          <w:rFonts w:hint="eastAsia" w:cs="Times New Roman"/>
          <w:szCs w:val="28"/>
        </w:rPr>
        <w:t xml:space="preserve">    建制村通双车道公路改造建设工程方面，重点建设阳济路-坪头庄、阳店线-南任、下伏-西冯街矿、横河-水头、章训-南岭、高窊-小沟、苏村-佛沙交界、人参埌-斩鬼、崇上-章训、大树-东封等共</w:t>
      </w:r>
      <w:r>
        <w:rPr>
          <w:rFonts w:cs="Times New Roman"/>
          <w:szCs w:val="28"/>
        </w:rPr>
        <w:t>26</w:t>
      </w:r>
      <w:r>
        <w:rPr>
          <w:rFonts w:hint="eastAsia" w:cs="Times New Roman"/>
          <w:szCs w:val="28"/>
        </w:rPr>
        <w:t>条，建设规模为</w:t>
      </w:r>
      <w:r>
        <w:rPr>
          <w:rFonts w:cs="Times New Roman"/>
          <w:szCs w:val="28"/>
        </w:rPr>
        <w:t>73.618</w:t>
      </w:r>
      <w:r>
        <w:rPr>
          <w:rFonts w:hint="eastAsia" w:cs="Times New Roman"/>
          <w:szCs w:val="28"/>
        </w:rPr>
        <w:t>公里，技术等级三级公路3</w:t>
      </w:r>
      <w:r>
        <w:rPr>
          <w:rFonts w:cs="Times New Roman"/>
          <w:szCs w:val="28"/>
        </w:rPr>
        <w:t>.4</w:t>
      </w:r>
      <w:r>
        <w:rPr>
          <w:rFonts w:hint="eastAsia" w:cs="Times New Roman"/>
          <w:szCs w:val="28"/>
        </w:rPr>
        <w:t>公里，四级公路为</w:t>
      </w:r>
      <w:r>
        <w:rPr>
          <w:rFonts w:cs="Times New Roman"/>
          <w:szCs w:val="28"/>
        </w:rPr>
        <w:t>70.218</w:t>
      </w:r>
      <w:r>
        <w:rPr>
          <w:rFonts w:hint="eastAsia" w:cs="Times New Roman"/>
          <w:szCs w:val="28"/>
        </w:rPr>
        <w:t>公里。</w:t>
      </w:r>
    </w:p>
    <w:p>
      <w:pPr>
        <w:numPr>
          <w:ilvl w:val="0"/>
          <w:numId w:val="2"/>
        </w:numPr>
        <w:spacing w:line="360" w:lineRule="auto"/>
        <w:ind w:firstLine="562" w:firstLineChars="0"/>
        <w:rPr>
          <w:rFonts w:cs="Times New Roman"/>
          <w:szCs w:val="28"/>
        </w:rPr>
      </w:pPr>
      <w:r>
        <w:rPr>
          <w:rFonts w:hint="eastAsia" w:cs="Times New Roman"/>
          <w:szCs w:val="28"/>
        </w:rPr>
        <w:t>乡镇通三级及以上公路建设项目</w:t>
      </w:r>
    </w:p>
    <w:p>
      <w:pPr>
        <w:spacing w:line="360" w:lineRule="auto"/>
        <w:ind w:firstLine="640"/>
        <w:rPr>
          <w:rFonts w:cs="Times New Roman"/>
          <w:szCs w:val="28"/>
        </w:rPr>
      </w:pPr>
      <w:r>
        <w:rPr>
          <w:rFonts w:hint="eastAsia" w:cs="Times New Roman"/>
          <w:szCs w:val="28"/>
        </w:rPr>
        <w:t>乡镇通三级及以上公路建设项目方面，重点建设阳城-店头、加丰-阳城线、阳城-东冶线、阳城-秋川、索泉岭-邵源线、阳城-店头、壁头-索泉岭、阳城-店头、马寨-寺头等共</w:t>
      </w:r>
      <w:r>
        <w:rPr>
          <w:rFonts w:cs="Times New Roman"/>
          <w:szCs w:val="28"/>
        </w:rPr>
        <w:t>9</w:t>
      </w:r>
      <w:r>
        <w:rPr>
          <w:rFonts w:hint="eastAsia" w:cs="Times New Roman"/>
          <w:szCs w:val="28"/>
        </w:rPr>
        <w:t>条，建设规模为</w:t>
      </w:r>
      <w:r>
        <w:rPr>
          <w:rFonts w:cs="Times New Roman"/>
          <w:szCs w:val="28"/>
        </w:rPr>
        <w:t>90.201</w:t>
      </w:r>
      <w:r>
        <w:rPr>
          <w:rFonts w:hint="eastAsia" w:cs="Times New Roman"/>
          <w:szCs w:val="28"/>
        </w:rPr>
        <w:t>公里，技术等级全部为三级。</w:t>
      </w:r>
    </w:p>
    <w:p>
      <w:pPr>
        <w:spacing w:line="360" w:lineRule="auto"/>
        <w:ind w:firstLine="640"/>
        <w:rPr>
          <w:rFonts w:cs="Times New Roman"/>
          <w:szCs w:val="28"/>
        </w:rPr>
      </w:pPr>
      <w:r>
        <w:rPr>
          <w:rFonts w:hint="eastAsia" w:cs="Times New Roman"/>
          <w:szCs w:val="28"/>
        </w:rPr>
        <w:t>（4）公路提质改造项目</w:t>
      </w:r>
    </w:p>
    <w:p>
      <w:pPr>
        <w:spacing w:line="360" w:lineRule="auto"/>
        <w:ind w:firstLine="640"/>
        <w:rPr>
          <w:rFonts w:cs="Times New Roman"/>
          <w:szCs w:val="28"/>
        </w:rPr>
      </w:pPr>
      <w:r>
        <w:rPr>
          <w:rFonts w:hint="eastAsia" w:cs="Times New Roman"/>
          <w:szCs w:val="28"/>
        </w:rPr>
        <w:t>公路提质改造项目，重点建设董封-桐窊、阳济路-高石、柿园-西封、崇上-水库坝、双龙寺-西尧矿、义城-尹家口、上芹张线-吕家河、河口-出水、出水-和尚坪、董封-莲花、八甲口-町店、町店-芹池等共</w:t>
      </w:r>
      <w:r>
        <w:rPr>
          <w:rFonts w:cs="Times New Roman"/>
          <w:szCs w:val="28"/>
        </w:rPr>
        <w:t>30</w:t>
      </w:r>
      <w:r>
        <w:rPr>
          <w:rFonts w:hint="eastAsia" w:cs="Times New Roman"/>
          <w:szCs w:val="28"/>
        </w:rPr>
        <w:t>条，建设规模为</w:t>
      </w:r>
      <w:r>
        <w:rPr>
          <w:rFonts w:cs="Times New Roman"/>
          <w:szCs w:val="28"/>
        </w:rPr>
        <w:t>137.877</w:t>
      </w:r>
      <w:r>
        <w:rPr>
          <w:rFonts w:hint="eastAsia" w:cs="Times New Roman"/>
          <w:szCs w:val="28"/>
        </w:rPr>
        <w:t>公里，技术等级为二级公路3</w:t>
      </w:r>
      <w:r>
        <w:rPr>
          <w:rFonts w:cs="Times New Roman"/>
          <w:szCs w:val="28"/>
        </w:rPr>
        <w:t>4.997</w:t>
      </w:r>
      <w:r>
        <w:rPr>
          <w:rFonts w:hint="eastAsia" w:cs="Times New Roman"/>
          <w:szCs w:val="28"/>
        </w:rPr>
        <w:t>km，技术等级为三级公路3</w:t>
      </w:r>
      <w:r>
        <w:rPr>
          <w:rFonts w:cs="Times New Roman"/>
          <w:szCs w:val="28"/>
        </w:rPr>
        <w:t>5.58</w:t>
      </w:r>
      <w:r>
        <w:rPr>
          <w:rFonts w:hint="eastAsia" w:cs="Times New Roman"/>
          <w:szCs w:val="28"/>
        </w:rPr>
        <w:t>km，技术等级为四级公路</w:t>
      </w:r>
      <w:r>
        <w:rPr>
          <w:rFonts w:cs="Times New Roman"/>
          <w:szCs w:val="28"/>
        </w:rPr>
        <w:t>67.03</w:t>
      </w:r>
      <w:r>
        <w:rPr>
          <w:rFonts w:hint="eastAsia" w:cs="Times New Roman"/>
          <w:szCs w:val="28"/>
        </w:rPr>
        <w:t>km。</w:t>
      </w:r>
    </w:p>
    <w:p>
      <w:pPr>
        <w:spacing w:line="360" w:lineRule="auto"/>
        <w:ind w:firstLine="640"/>
        <w:rPr>
          <w:rFonts w:cs="Times New Roman"/>
          <w:szCs w:val="28"/>
        </w:rPr>
      </w:pPr>
      <w:r>
        <w:rPr>
          <w:rFonts w:hint="eastAsia" w:cs="Times New Roman"/>
          <w:szCs w:val="28"/>
        </w:rPr>
        <w:t>（5）村道安防工程项目</w:t>
      </w:r>
    </w:p>
    <w:p>
      <w:pPr>
        <w:spacing w:line="360" w:lineRule="auto"/>
        <w:ind w:firstLine="640"/>
        <w:rPr>
          <w:rFonts w:cs="Times New Roman"/>
          <w:szCs w:val="28"/>
        </w:rPr>
      </w:pPr>
      <w:r>
        <w:rPr>
          <w:rFonts w:hint="eastAsia" w:cs="Times New Roman"/>
          <w:szCs w:val="28"/>
        </w:rPr>
        <w:t>村道安防工程项目，重点建设岭后-下孔、东铁-栅村、秋川-杨柏、西交入口-西交出口、桑林-辉泉、刘腰-凌家沟、野山-中刘线、壁索线-水洽、南香台-梁庄、王村-下伏、陵沁线-水泉沟、白桑-洽村、八芹线-杨腰等</w:t>
      </w:r>
      <w:r>
        <w:rPr>
          <w:rFonts w:cs="Times New Roman"/>
          <w:szCs w:val="28"/>
        </w:rPr>
        <w:t>13</w:t>
      </w:r>
      <w:r>
        <w:rPr>
          <w:rFonts w:hint="eastAsia" w:cs="Times New Roman"/>
          <w:szCs w:val="28"/>
        </w:rPr>
        <w:t>条，建设规模为</w:t>
      </w:r>
      <w:r>
        <w:rPr>
          <w:rFonts w:cs="Times New Roman"/>
          <w:szCs w:val="28"/>
        </w:rPr>
        <w:t>28.152</w:t>
      </w:r>
      <w:r>
        <w:rPr>
          <w:rFonts w:hint="eastAsia" w:cs="Times New Roman"/>
          <w:szCs w:val="28"/>
        </w:rPr>
        <w:t>公里。</w:t>
      </w:r>
    </w:p>
    <w:p>
      <w:pPr>
        <w:ind w:firstLine="640"/>
        <w:rPr>
          <w:rFonts w:cs="Times New Roman"/>
        </w:rPr>
      </w:pPr>
      <w:r>
        <w:rPr>
          <w:rFonts w:hint="eastAsia" w:cs="Times New Roman"/>
          <w:szCs w:val="28"/>
        </w:rPr>
        <w:t>在规划期内暂无村道危桥改造、乡镇客运站、县乡道危桥改造、农村公路危隧等改造计划。</w:t>
      </w:r>
    </w:p>
    <w:p>
      <w:pPr>
        <w:ind w:firstLine="0" w:firstLineChars="0"/>
        <w:rPr>
          <w:rFonts w:cs="Times New Roman"/>
        </w:rPr>
      </w:pPr>
    </w:p>
    <w:p>
      <w:pPr>
        <w:ind w:firstLine="640"/>
        <w:rPr>
          <w:rFonts w:cs="Times New Roman"/>
        </w:rPr>
        <w:sectPr>
          <w:headerReference r:id="rId18" w:type="default"/>
          <w:pgSz w:w="11906" w:h="16838"/>
          <w:pgMar w:top="1701" w:right="1531" w:bottom="1531" w:left="1531" w:header="851" w:footer="992" w:gutter="0"/>
          <w:cols w:space="425" w:num="1"/>
          <w:docGrid w:type="lines" w:linePitch="312" w:charSpace="0"/>
        </w:sectPr>
      </w:pPr>
    </w:p>
    <w:p>
      <w:pPr>
        <w:pStyle w:val="2"/>
        <w:spacing w:before="156" w:after="156"/>
        <w:ind w:left="1134"/>
        <w:rPr>
          <w:rFonts w:cs="Times New Roman"/>
        </w:rPr>
      </w:pPr>
      <w:bookmarkStart w:id="134" w:name="_Toc49243402"/>
      <w:bookmarkStart w:id="135" w:name="_Toc49243328"/>
      <w:r>
        <w:rPr>
          <w:rFonts w:cs="Times New Roman"/>
        </w:rPr>
        <w:t>养护、运营与管理</w:t>
      </w:r>
      <w:bookmarkEnd w:id="134"/>
      <w:bookmarkEnd w:id="135"/>
    </w:p>
    <w:p>
      <w:pPr>
        <w:pStyle w:val="3"/>
        <w:ind w:firstLine="640"/>
        <w:rPr>
          <w:rFonts w:eastAsia="方正楷体简体" w:cs="Times New Roman"/>
          <w:bCs w:val="0"/>
        </w:rPr>
      </w:pPr>
      <w:bookmarkStart w:id="136" w:name="_Toc49243329"/>
      <w:bookmarkStart w:id="137" w:name="_Toc49243403"/>
      <w:r>
        <w:rPr>
          <w:rFonts w:eastAsia="方正楷体简体" w:cs="Times New Roman"/>
          <w:bCs w:val="0"/>
        </w:rPr>
        <w:t>农村公路养护</w:t>
      </w:r>
      <w:bookmarkEnd w:id="136"/>
      <w:bookmarkEnd w:id="137"/>
    </w:p>
    <w:p>
      <w:pPr>
        <w:ind w:firstLine="640"/>
        <w:rPr>
          <w:rFonts w:cs="Times New Roman"/>
        </w:rPr>
      </w:pPr>
      <w:r>
        <w:rPr>
          <w:rFonts w:cs="Times New Roman"/>
        </w:rPr>
        <w:t>突出三大重点，切实护好农村公路。</w:t>
      </w:r>
    </w:p>
    <w:p>
      <w:pPr>
        <w:pStyle w:val="4"/>
        <w:ind w:firstLine="602"/>
        <w:rPr>
          <w:rFonts w:cs="Times New Roman"/>
        </w:rPr>
      </w:pPr>
      <w:bookmarkStart w:id="138" w:name="_Toc49243404"/>
      <w:bookmarkStart w:id="139" w:name="_Toc49243330"/>
      <w:r>
        <w:rPr>
          <w:rFonts w:cs="Times New Roman"/>
        </w:rPr>
        <w:t>突出养护高质量发展</w:t>
      </w:r>
      <w:bookmarkEnd w:id="138"/>
      <w:bookmarkEnd w:id="139"/>
    </w:p>
    <w:p>
      <w:pPr>
        <w:ind w:firstLine="640"/>
        <w:rPr>
          <w:rFonts w:cs="Times New Roman"/>
        </w:rPr>
      </w:pPr>
      <w:r>
        <w:rPr>
          <w:rFonts w:cs="Times New Roman"/>
        </w:rPr>
        <w:t>牢固树立“养护是发展，而且是高质量发展”的理念，科学合理制定农村公路养护规划，明确本地区农村公路养护发展目标和任务，抓细抓小，落地落实。按照“十四五”全省农村公路列养率100%，年均养护工程实施比例不低于5%，“油返砂”项目年均维修改造率不低于20%，优良中等路率不低于90%，路面技术状况指数（PQI）逐年上升等目标要求，梳理“十四五”养护工程实施规模及资金需求，明确资金来源和解决途径，建立以公共财政投入为主的农村公路养护资金保障机制，将农村公路日常养护经费纳入公共财政预算，实现“有路必养，养必到位”。</w:t>
      </w:r>
    </w:p>
    <w:p>
      <w:pPr>
        <w:pStyle w:val="4"/>
        <w:ind w:firstLine="602"/>
        <w:rPr>
          <w:rFonts w:cs="Times New Roman"/>
        </w:rPr>
      </w:pPr>
      <w:bookmarkStart w:id="140" w:name="_Toc49243405"/>
      <w:bookmarkStart w:id="141" w:name="_Toc49243331"/>
      <w:r>
        <w:rPr>
          <w:rFonts w:cs="Times New Roman"/>
        </w:rPr>
        <w:t>突出安全运营</w:t>
      </w:r>
      <w:bookmarkEnd w:id="140"/>
      <w:bookmarkEnd w:id="141"/>
    </w:p>
    <w:p>
      <w:pPr>
        <w:ind w:firstLine="640"/>
        <w:rPr>
          <w:rFonts w:cs="Times New Roman"/>
        </w:rPr>
      </w:pPr>
      <w:r>
        <w:rPr>
          <w:rFonts w:cs="Times New Roman"/>
        </w:rPr>
        <w:t>各地要按照安全运营的要求，结合本地实际，分别提出农村公路安全防护工程、危桥危隧改造工程的发展目标、具体任务和实施计划等。“十四五”期，全省农村公路安全隐患实现当年治理、逐年下降，到2025年，全省农村公路四五类危桥全面消除。加强农村公路排水防护设施建设，提高公路耐久性和抗灾防毁能力。完善农村公路标志标线和警示标识，进一步增强农民群众的安全感、获得感、幸福感。</w:t>
      </w:r>
    </w:p>
    <w:p>
      <w:pPr>
        <w:pStyle w:val="4"/>
        <w:ind w:firstLine="602"/>
        <w:rPr>
          <w:rFonts w:cs="Times New Roman"/>
        </w:rPr>
      </w:pPr>
      <w:bookmarkStart w:id="142" w:name="_Toc49243406"/>
      <w:bookmarkStart w:id="143" w:name="_Toc49243332"/>
      <w:r>
        <w:rPr>
          <w:rFonts w:cs="Times New Roman"/>
        </w:rPr>
        <w:t>突出创新驱动</w:t>
      </w:r>
      <w:bookmarkEnd w:id="142"/>
      <w:bookmarkEnd w:id="143"/>
    </w:p>
    <w:p>
      <w:pPr>
        <w:ind w:firstLine="640"/>
        <w:rPr>
          <w:rFonts w:cs="Times New Roman"/>
        </w:rPr>
      </w:pPr>
      <w:r>
        <w:rPr>
          <w:rFonts w:cs="Times New Roman"/>
        </w:rPr>
        <w:t>要以人民群众满意度和受益程度、养护质量和资金使用效率等作为衡量标准，分类有序推进农村公路养护市场化改革，逐步建立政府与市场合理分工的养护生产组织模式，推动农村公路养护向市场化、专业化、机械化、社会化方向发展。</w:t>
      </w:r>
    </w:p>
    <w:p>
      <w:pPr>
        <w:ind w:firstLine="640"/>
        <w:rPr>
          <w:rFonts w:cs="Times New Roman"/>
        </w:rPr>
      </w:pPr>
      <w:r>
        <w:rPr>
          <w:rFonts w:cs="Times New Roman"/>
        </w:rPr>
        <w:t>一是加快推进日常养护社会化。建立健全“群专结合”养护机制，对日常保洁、绿化等非专业路基工程项目，鼓励通过个人、家庭分段承包、定额包干等办法，吸收沿线群众参与，并按照优胜劣汰的原则，逐步建立相对稳定的群众性养护队伍。二是加快推进养护工程专业化。农村公路路面养护等大中修等专业性工程，逐步通过政府购买服务等方式交由专业化养护队伍承担。三是加快提升养护机械化水平。鼓励通过签订长期养护合同、招投标约定等方式，引导专业养护企业加大投入，提高养护机械化水平。四是加快农村公路养护市场化改革。有序推进基层养护作业单位向独立核算、自主经营的企业化方向发展，优化营商环境，支持养护企业跨区域参与市场竞争，不断增强农村公路养护的内在活力。</w:t>
      </w:r>
    </w:p>
    <w:p>
      <w:pPr>
        <w:pStyle w:val="3"/>
        <w:ind w:firstLine="640"/>
        <w:rPr>
          <w:rFonts w:eastAsia="方正楷体简体" w:cs="Times New Roman"/>
          <w:bCs w:val="0"/>
        </w:rPr>
      </w:pPr>
      <w:bookmarkStart w:id="144" w:name="_Toc49243333"/>
      <w:bookmarkStart w:id="145" w:name="_Toc49243407"/>
      <w:r>
        <w:rPr>
          <w:rFonts w:eastAsia="方正楷体简体" w:cs="Times New Roman"/>
          <w:bCs w:val="0"/>
        </w:rPr>
        <w:t>农村公路运营</w:t>
      </w:r>
      <w:bookmarkEnd w:id="144"/>
      <w:bookmarkEnd w:id="145"/>
    </w:p>
    <w:p>
      <w:pPr>
        <w:ind w:firstLine="640"/>
        <w:rPr>
          <w:rFonts w:cs="Times New Roman"/>
        </w:rPr>
      </w:pPr>
      <w:r>
        <w:rPr>
          <w:rFonts w:cs="Times New Roman"/>
        </w:rPr>
        <w:t>推进“两化一性”建设，切实运营好农村公路。</w:t>
      </w:r>
    </w:p>
    <w:p>
      <w:pPr>
        <w:pStyle w:val="4"/>
        <w:ind w:firstLine="602"/>
        <w:rPr>
          <w:rFonts w:cs="Times New Roman"/>
        </w:rPr>
      </w:pPr>
      <w:bookmarkStart w:id="146" w:name="_Toc49243334"/>
      <w:bookmarkStart w:id="147" w:name="_Toc49243408"/>
      <w:r>
        <w:rPr>
          <w:rFonts w:cs="Times New Roman"/>
        </w:rPr>
        <w:t>推进城乡客运一体化</w:t>
      </w:r>
      <w:bookmarkEnd w:id="146"/>
      <w:bookmarkEnd w:id="147"/>
    </w:p>
    <w:p>
      <w:pPr>
        <w:ind w:firstLine="640"/>
        <w:rPr>
          <w:rFonts w:cs="Times New Roman"/>
        </w:rPr>
      </w:pPr>
      <w:r>
        <w:rPr>
          <w:rFonts w:cs="Times New Roman"/>
        </w:rPr>
        <w:t>一是要统筹协调区域间、城乡间交通运输发展，完善农村客运服务网络，扩大农村客运覆盖范围，因地制宜采取公交、班线、区域经营、预约响应等多种形式推进农村客运发展，加快建立农村客运可持续发展机制，着力提升农村客运服务水平，做到路通、车通，到2025年，全省城乡客运一体化水平达到3A、4A级以上的县（区）占比分别达到100%、80%。二是推进城乡客运公交化。各地要根据地域特征和发展实际，合理规划城乡客运公交化发展目标，到2025年率先实现城乡客运公交化。三是创新农村客运运营组织模式。大力发展农村旅游客运，加强旅游景区客运站建设，针对黄金周、小长假旅客出行多元化需求，推动定制客运班车、“互联网+农村客运”，旅游包车等模式发展，为旅游个性化出行提供高品质的旅游交通运输服务。</w:t>
      </w:r>
    </w:p>
    <w:p>
      <w:pPr>
        <w:pStyle w:val="4"/>
        <w:ind w:firstLine="602"/>
        <w:rPr>
          <w:rFonts w:cs="Times New Roman"/>
        </w:rPr>
      </w:pPr>
      <w:bookmarkStart w:id="148" w:name="_Toc49243409"/>
      <w:bookmarkStart w:id="149" w:name="_Toc49243335"/>
      <w:r>
        <w:rPr>
          <w:rFonts w:cs="Times New Roman"/>
        </w:rPr>
        <w:t>推进农村物流网络化</w:t>
      </w:r>
      <w:bookmarkEnd w:id="148"/>
      <w:bookmarkEnd w:id="149"/>
    </w:p>
    <w:p>
      <w:pPr>
        <w:ind w:firstLine="640"/>
        <w:rPr>
          <w:rFonts w:cs="Times New Roman"/>
        </w:rPr>
      </w:pPr>
      <w:r>
        <w:rPr>
          <w:rFonts w:cs="Times New Roman"/>
        </w:rPr>
        <w:t>一是要按照“多站合一，资源共享”的原则，加快推动集管理、养护、客运、货运、邮政、快递、商贸物流等功能于一体的乡镇运输服务站建设，促进“交通+电商”模式良性发展。二是要加快构建畅通便捷、经济高效、便民利民的县、乡、村三级物流服务体系，促进农产品、农村生活物资、邮政快递寄递物品等高效便捷流通，促进农村商贸业和农业产业发展。三是要加快推广农村物流服务品牌，充分发挥品牌引领带动作用，推动构建模式创新、运营高效、安全绿色的农村物流服务新体系，为巩固脱贫攻坚成果、服务乡村振兴提供有力的支撑。</w:t>
      </w:r>
    </w:p>
    <w:p>
      <w:pPr>
        <w:pStyle w:val="4"/>
        <w:ind w:firstLine="602"/>
        <w:rPr>
          <w:rFonts w:cs="Times New Roman"/>
        </w:rPr>
      </w:pPr>
      <w:bookmarkStart w:id="150" w:name="_Toc49243410"/>
      <w:bookmarkStart w:id="151" w:name="_Toc49243336"/>
      <w:r>
        <w:rPr>
          <w:rFonts w:cs="Times New Roman"/>
        </w:rPr>
        <w:t>提升农村交通运输安全性</w:t>
      </w:r>
      <w:bookmarkEnd w:id="150"/>
      <w:bookmarkEnd w:id="151"/>
    </w:p>
    <w:p>
      <w:pPr>
        <w:ind w:firstLine="640"/>
        <w:rPr>
          <w:rFonts w:cs="Times New Roman"/>
        </w:rPr>
      </w:pPr>
      <w:r>
        <w:rPr>
          <w:rFonts w:cs="Times New Roman"/>
        </w:rPr>
        <w:t>一是要强化农村旅游公路交通安全管理。突出旅游公路的专用性、安全性，积极探索旅游公路交通差别化管理，具备条件的旅游公路实行客货分道行驶模式；客货混合交通量较大路段，因地制宜实行货车限行等管制措施，有效维护旅游公路交通安全。</w:t>
      </w:r>
    </w:p>
    <w:p>
      <w:pPr>
        <w:ind w:firstLine="640"/>
        <w:rPr>
          <w:rFonts w:cs="Times New Roman"/>
        </w:rPr>
      </w:pPr>
      <w:r>
        <w:rPr>
          <w:rFonts w:cs="Times New Roman"/>
        </w:rPr>
        <w:t>二是要强化农村道路客运安全管理。严格落实交通运输部《农村道路客运旅客运输班线安全通行条件审核规划》，建立农村客运班线通行条件联合审核机制，严把农村客运、旅游客运市场准入关，加快淘汰老旧客运车辆，提升农村客运生产力水平。</w:t>
      </w:r>
    </w:p>
    <w:p>
      <w:pPr>
        <w:ind w:firstLine="640"/>
        <w:rPr>
          <w:rFonts w:cs="Times New Roman"/>
        </w:rPr>
      </w:pPr>
      <w:r>
        <w:rPr>
          <w:rFonts w:cs="Times New Roman"/>
        </w:rPr>
        <w:t>三是加强运输安全监管。严格落实企业安全生产责任制，构建以信用为基础的新型监管机制，建立健全守信联合激励、失信联合惩戒制度。</w:t>
      </w:r>
    </w:p>
    <w:p>
      <w:pPr>
        <w:pStyle w:val="3"/>
        <w:ind w:firstLine="640"/>
        <w:rPr>
          <w:rFonts w:eastAsia="方正楷体简体" w:cs="Times New Roman"/>
          <w:bCs w:val="0"/>
        </w:rPr>
      </w:pPr>
      <w:bookmarkStart w:id="152" w:name="_Toc49243411"/>
      <w:bookmarkStart w:id="153" w:name="_Toc49243337"/>
      <w:r>
        <w:rPr>
          <w:rFonts w:eastAsia="方正楷体简体" w:cs="Times New Roman"/>
          <w:bCs w:val="0"/>
        </w:rPr>
        <w:t>农村公路管理</w:t>
      </w:r>
      <w:bookmarkEnd w:id="152"/>
      <w:bookmarkEnd w:id="153"/>
    </w:p>
    <w:p>
      <w:pPr>
        <w:ind w:firstLine="640"/>
        <w:rPr>
          <w:rFonts w:cs="Times New Roman"/>
        </w:rPr>
      </w:pPr>
      <w:r>
        <w:rPr>
          <w:rFonts w:cs="Times New Roman"/>
        </w:rPr>
        <w:t>实施四大工程，切实管好农村公路。</w:t>
      </w:r>
    </w:p>
    <w:p>
      <w:pPr>
        <w:pStyle w:val="4"/>
        <w:ind w:firstLine="602"/>
        <w:rPr>
          <w:rFonts w:cs="Times New Roman"/>
        </w:rPr>
      </w:pPr>
      <w:bookmarkStart w:id="154" w:name="_Toc49243338"/>
      <w:bookmarkStart w:id="155" w:name="_Toc49243412"/>
      <w:r>
        <w:rPr>
          <w:rFonts w:cs="Times New Roman"/>
        </w:rPr>
        <w:t>实施治理现代化工程</w:t>
      </w:r>
      <w:bookmarkEnd w:id="154"/>
      <w:bookmarkEnd w:id="155"/>
    </w:p>
    <w:p>
      <w:pPr>
        <w:ind w:firstLine="640"/>
        <w:rPr>
          <w:rFonts w:cs="Times New Roman"/>
        </w:rPr>
      </w:pPr>
      <w:r>
        <w:rPr>
          <w:rFonts w:cs="Times New Roman"/>
        </w:rPr>
        <w:t>全面落实国务院《深化农村公路管理养护体制改革的意见》，从主体责任、管理机构、配套政策、制度体系等方面提出“十四五”发展目标任务，健全治理体系，提升治理能力。一是要落实县级人民政府的主体责任。按照“县道县管、乡村道乡村管”的原则，细化县、乡、村三级农村公路管理责任，明确具体任务，加强过程监管，严格考核评价，形成“政府主导、部门负责、权责清晰、齐抓共管”的治理机制。到2022年，县、乡、村三级农村公路管理责任落实率达到100%。二是要理顺管理机构和人员经费支出渠道。建立以各级政府一般公共预算投入为主的管理机构运行和人员经费保障机制。从2022年起，农村公路管理机构经费100%纳入财政预算，成品油税费改革转移支付不再列支管理机构运行经费和人员等其他支出。三是要全面推行农村公路“路长制”。县（市、区）主要负责人任本行政区域农村公路总路长，负责组织研究支持农村公路发展的重要政策，督促落实重要工作，协调解决重大问题；县（市、区）政府分管交通运输负责人任县级路长，负责所属区域内县级公路建设、管理、养护、运营及路域环境整治和应急管理工作，完成总路长安排的各项工作；乡（镇）政府和村民委员会主要负责人分别担任本区域乡级路长、村级路长，负责组织领导辖区内乡、村道管理、养护、运营及路域环境整治和应急管理工作，协调解决突出问题。全面实行农村公路三级路长制，形成“政府主导，分级负责，部门联动、运转高效”的工作格局。</w:t>
      </w:r>
    </w:p>
    <w:p>
      <w:pPr>
        <w:pStyle w:val="4"/>
        <w:ind w:firstLine="602"/>
        <w:rPr>
          <w:rFonts w:cs="Times New Roman"/>
        </w:rPr>
      </w:pPr>
      <w:bookmarkStart w:id="156" w:name="_Toc49243413"/>
      <w:bookmarkStart w:id="157" w:name="_Toc49243339"/>
      <w:r>
        <w:rPr>
          <w:rFonts w:cs="Times New Roman"/>
        </w:rPr>
        <w:t>实施依法治路工程</w:t>
      </w:r>
      <w:bookmarkEnd w:id="156"/>
      <w:bookmarkEnd w:id="157"/>
    </w:p>
    <w:p>
      <w:pPr>
        <w:ind w:firstLine="640"/>
        <w:rPr>
          <w:rFonts w:cs="Times New Roman"/>
        </w:rPr>
      </w:pPr>
      <w:r>
        <w:rPr>
          <w:rFonts w:cs="Times New Roman"/>
        </w:rPr>
        <w:t xml:space="preserve">一是深化农村公路管理和交通运输综合执法体制改革。全面落实《公路法》《山西省公路条例》等法律法规要求，立足农村公路长远发展需要，提出农村公路管理、执法机构及人员配置原则和“三定”方案，纳入地方政府机构和事业单位改革统一实施。全面建立“机构健全、职能清晰、运转顺畅”的管理体制和“县有路政员、乡有监管员、村有护路员”的三级保护队伍，依法保护路产路权。二是要建立健全依法治路制度体系。将深化农村公路管养体制改革的具体举措上升到政策制度层面，提出农村公路管理制度建设计划，并推动将爱路护路纳入乡规民约、村规民约，唱响“农村公路农民爱，农村公路农民护”的主旋律，引导公民、法人和其他组织增强爱路护路意识，自觉履行保护公路义务。三是要创新农村公路治理方式。综合运用“双随机、一公开”监管、“互联网+”监管、信用监管等方式，强化事中事后监管，提高治理效能，推动农村公路治理规范化、常态化和制度化。 </w:t>
      </w:r>
    </w:p>
    <w:p>
      <w:pPr>
        <w:pStyle w:val="4"/>
        <w:ind w:firstLine="602"/>
        <w:rPr>
          <w:rFonts w:cs="Times New Roman"/>
        </w:rPr>
      </w:pPr>
      <w:bookmarkStart w:id="158" w:name="_Toc49243414"/>
      <w:bookmarkStart w:id="159" w:name="_Toc49243340"/>
      <w:r>
        <w:rPr>
          <w:rFonts w:cs="Times New Roman"/>
        </w:rPr>
        <w:t>实施科技</w:t>
      </w:r>
      <w:r>
        <w:rPr>
          <w:rFonts w:hint="eastAsia" w:cs="Times New Roman"/>
        </w:rPr>
        <w:t>强国</w:t>
      </w:r>
      <w:r>
        <w:rPr>
          <w:rFonts w:cs="Times New Roman"/>
        </w:rPr>
        <w:t>工程</w:t>
      </w:r>
      <w:bookmarkEnd w:id="158"/>
      <w:bookmarkEnd w:id="159"/>
    </w:p>
    <w:p>
      <w:pPr>
        <w:ind w:firstLine="640"/>
        <w:rPr>
          <w:rFonts w:cs="Times New Roman"/>
        </w:rPr>
      </w:pPr>
      <w:r>
        <w:rPr>
          <w:rFonts w:cs="Times New Roman"/>
        </w:rPr>
        <w:t>农村公路沿线因需布设卫星遥感、无人机、地理信息系统、自动检测等信息基础设施，加强交通信息数据采集，建立农村公路信息化管理平台，构建农村公路管理“一张网”。综合运用大数据、云计算、区块链等数字计算手段加强数据分析研判，推动决策科学化，不断提高农村公路治理水平。加强农村公路安全应急保障体系建设，及时修订完善农村公路应急预案，健全农村公路应急管理制度，做好抢险设备物资储备，提高抗灾救灾和灾毁抢通能力，确保农村公路安全运行。</w:t>
      </w:r>
    </w:p>
    <w:p>
      <w:pPr>
        <w:pStyle w:val="4"/>
        <w:ind w:firstLine="602"/>
        <w:rPr>
          <w:rFonts w:cs="Times New Roman"/>
        </w:rPr>
      </w:pPr>
      <w:bookmarkStart w:id="160" w:name="_Toc49243341"/>
      <w:bookmarkStart w:id="161" w:name="_Toc49243415"/>
      <w:r>
        <w:rPr>
          <w:rFonts w:cs="Times New Roman"/>
        </w:rPr>
        <w:t>实施文明创建工程</w:t>
      </w:r>
      <w:bookmarkEnd w:id="160"/>
      <w:bookmarkEnd w:id="161"/>
    </w:p>
    <w:p>
      <w:pPr>
        <w:ind w:firstLine="640"/>
        <w:rPr>
          <w:rFonts w:cs="Times New Roman"/>
        </w:rPr>
      </w:pPr>
      <w:r>
        <w:rPr>
          <w:rFonts w:cs="Times New Roman"/>
        </w:rPr>
        <w:t>加强农村公路路域环境整治，打造“交通畅通、整洁有序、生态优美、出行安全”的通行环境，实现具备条件的农村公路路段路田分家、路宅分家。实施美丽乡村路示范创建工程，讲好公路故事，弘扬公路文化，提升“四好农村路”建设文化内涵和服务品质。</w:t>
      </w:r>
    </w:p>
    <w:p>
      <w:pPr>
        <w:ind w:firstLine="640"/>
        <w:rPr>
          <w:rFonts w:cs="Times New Roman"/>
        </w:rPr>
      </w:pPr>
      <w:r>
        <w:rPr>
          <w:rFonts w:cs="Times New Roman"/>
        </w:rPr>
        <w:br w:type="page"/>
      </w:r>
    </w:p>
    <w:p>
      <w:pPr>
        <w:ind w:firstLine="640"/>
        <w:rPr>
          <w:rFonts w:cs="Times New Roman"/>
        </w:rPr>
        <w:sectPr>
          <w:headerReference r:id="rId19" w:type="default"/>
          <w:pgSz w:w="11906" w:h="16838"/>
          <w:pgMar w:top="1701" w:right="1531" w:bottom="1531" w:left="1531" w:header="851" w:footer="992" w:gutter="0"/>
          <w:cols w:space="425" w:num="1"/>
          <w:docGrid w:type="lines" w:linePitch="312" w:charSpace="0"/>
        </w:sectPr>
      </w:pPr>
    </w:p>
    <w:p>
      <w:pPr>
        <w:pStyle w:val="2"/>
        <w:spacing w:before="156" w:after="156"/>
        <w:ind w:left="851"/>
        <w:rPr>
          <w:rFonts w:cs="Times New Roman"/>
        </w:rPr>
      </w:pPr>
      <w:bookmarkStart w:id="162" w:name="_Toc49243416"/>
      <w:bookmarkStart w:id="163" w:name="_Toc49243342"/>
      <w:r>
        <w:rPr>
          <w:rFonts w:cs="Times New Roman"/>
        </w:rPr>
        <w:t>效果分析</w:t>
      </w:r>
      <w:bookmarkEnd w:id="162"/>
      <w:bookmarkEnd w:id="163"/>
    </w:p>
    <w:p>
      <w:pPr>
        <w:pStyle w:val="3"/>
        <w:ind w:firstLine="640"/>
        <w:rPr>
          <w:rFonts w:eastAsia="方正楷体简体" w:cs="Times New Roman"/>
          <w:bCs w:val="0"/>
        </w:rPr>
      </w:pPr>
      <w:bookmarkStart w:id="164" w:name="_Toc49243417"/>
      <w:bookmarkStart w:id="165" w:name="_Toc49243343"/>
      <w:r>
        <w:rPr>
          <w:rFonts w:eastAsia="方正楷体简体" w:cs="Times New Roman"/>
          <w:bCs w:val="0"/>
        </w:rPr>
        <w:t>路网技术分析</w:t>
      </w:r>
      <w:bookmarkEnd w:id="164"/>
      <w:bookmarkEnd w:id="165"/>
    </w:p>
    <w:p>
      <w:pPr>
        <w:pStyle w:val="6"/>
        <w:spacing w:after="0" w:line="360" w:lineRule="auto"/>
        <w:ind w:left="0" w:leftChars="0" w:firstLine="640" w:firstLineChars="200"/>
        <w:jc w:val="both"/>
        <w:rPr>
          <w:rFonts w:eastAsia="仿宋_GB2312"/>
          <w:kern w:val="2"/>
          <w:sz w:val="32"/>
          <w:szCs w:val="22"/>
          <w:lang w:eastAsia="zh-CN" w:bidi="ar-SA"/>
        </w:rPr>
      </w:pPr>
      <w:r>
        <w:rPr>
          <w:rFonts w:eastAsia="仿宋_GB2312"/>
          <w:kern w:val="2"/>
          <w:sz w:val="32"/>
          <w:szCs w:val="22"/>
          <w:lang w:eastAsia="zh-CN" w:bidi="ar-SA"/>
        </w:rPr>
        <w:t>公路网的技术评价，是从公路网的技术性能方面，分析其内部结构和功能，目的是提示路网的使用质量，为编制公路网规划方案、验证方案的合理性，并进行方案的优化和决策，提供技术方面的依据。从整体而言，公路网的社会效益和经济效益如何，首先取决于路网规划方案的技术性能，所以公路网的技术评价是公路网规划综合评价系统中必不可少的重要组成部分。本规划技术评价主要从三个方面进行评价，公路网密度、公路网等级水平、节点连通度。</w:t>
      </w:r>
    </w:p>
    <w:p>
      <w:pPr>
        <w:ind w:right="840" w:firstLine="640"/>
      </w:pPr>
      <w:r>
        <w:t>1、公路网密度</w:t>
      </w:r>
    </w:p>
    <w:p>
      <w:pPr>
        <w:ind w:firstLine="640"/>
      </w:pPr>
      <w:r>
        <w:t>（1）面积密度</w:t>
      </w:r>
    </w:p>
    <w:p>
      <w:pPr>
        <w:ind w:firstLine="640"/>
      </w:pPr>
      <w:r>
        <w:t>公路网面积密度指单位面积上拥有的公路里程数。计算公式为：</w:t>
      </w:r>
    </w:p>
    <w:p>
      <w:pPr>
        <w:ind w:firstLine="640"/>
      </w:pPr>
      <w:r>
        <w:object>
          <v:shape id="_x0000_i1037" o:spt="75" type="#_x0000_t75" style="height:32.55pt;width:72pt;" o:ole="t" filled="f" o:preferrelative="t" stroked="f" coordsize="21600,21600">
            <v:path/>
            <v:fill on="f" focussize="0,0"/>
            <v:stroke on="f" joinstyle="miter"/>
            <v:imagedata r:id="rId77" o:title=""/>
            <o:lock v:ext="edit" aspectratio="t"/>
            <w10:wrap type="none"/>
            <w10:anchorlock/>
          </v:shape>
          <o:OLEObject Type="Embed" ProgID="Equation.3" ShapeID="_x0000_i1037" DrawAspect="Content" ObjectID="_1468075737" r:id="rId76">
            <o:LockedField>false</o:LockedField>
          </o:OLEObject>
        </w:object>
      </w:r>
    </w:p>
    <w:p>
      <w:pPr>
        <w:ind w:firstLine="640"/>
      </w:pPr>
      <w:r>
        <w:t>式中：</w:t>
      </w:r>
    </w:p>
    <w:p>
      <w:pPr>
        <w:ind w:firstLine="640"/>
      </w:pPr>
      <w:r>
        <w:t>R</w:t>
      </w:r>
      <w:r>
        <w:rPr>
          <w:vertAlign w:val="subscript"/>
        </w:rPr>
        <w:t>f</w:t>
      </w:r>
      <w:r>
        <w:t>-- 公路网面积密度指标（公里/百平方公里）；</w:t>
      </w:r>
    </w:p>
    <w:p>
      <w:pPr>
        <w:ind w:firstLine="640"/>
      </w:pPr>
      <w:r>
        <w:t>L</w:t>
      </w:r>
      <w:r>
        <w:rPr>
          <w:vertAlign w:val="subscript"/>
        </w:rPr>
        <w:t>∑</w:t>
      </w:r>
      <w:r>
        <w:t xml:space="preserve"> -- 公路网总里程；</w:t>
      </w:r>
    </w:p>
    <w:p>
      <w:pPr>
        <w:ind w:firstLine="640"/>
      </w:pPr>
      <w:r>
        <w:t>A -- 规划区域面积（1968平方公里）。</w:t>
      </w:r>
    </w:p>
    <w:p>
      <w:pPr>
        <w:ind w:firstLine="640"/>
      </w:pPr>
      <w:r>
        <w:rPr>
          <w:rFonts w:hint="eastAsia"/>
        </w:rPr>
        <w:t>规划年末，202</w:t>
      </w:r>
      <w:r>
        <w:t>5</w:t>
      </w:r>
      <w:r>
        <w:rPr>
          <w:rFonts w:hint="eastAsia"/>
        </w:rPr>
        <w:t>年阳城县公路网规模将达到</w:t>
      </w:r>
      <w:r>
        <w:t>2493.184</w:t>
      </w:r>
      <w:r>
        <w:rPr>
          <w:rFonts w:hint="eastAsia"/>
        </w:rPr>
        <w:t>公里，比现状公路网规模增加</w:t>
      </w:r>
      <w:r>
        <w:t>68.296</w:t>
      </w:r>
      <w:r>
        <w:rPr>
          <w:rFonts w:hint="eastAsia"/>
        </w:rPr>
        <w:t>公里；</w:t>
      </w:r>
      <w:r>
        <w:t>可得县域公路网的面积密度：R</w:t>
      </w:r>
      <w:r>
        <w:rPr>
          <w:vertAlign w:val="subscript"/>
        </w:rPr>
        <w:t>f</w:t>
      </w:r>
      <w:r>
        <w:t xml:space="preserve"> =126.69公里/百平方公里。</w:t>
      </w:r>
      <w:r>
        <w:rPr>
          <w:rFonts w:hint="eastAsia"/>
        </w:rPr>
        <w:t>公路网密度比201</w:t>
      </w:r>
      <w:r>
        <w:t>9</w:t>
      </w:r>
      <w:r>
        <w:rPr>
          <w:rFonts w:hint="eastAsia"/>
        </w:rPr>
        <w:t>年</w:t>
      </w:r>
      <w:r>
        <w:t>118.34</w:t>
      </w:r>
      <w:r>
        <w:rPr>
          <w:rFonts w:hint="eastAsia"/>
        </w:rPr>
        <w:t>公里/平方公里提高</w:t>
      </w:r>
      <w:r>
        <w:t>2.40</w:t>
      </w:r>
      <w:r>
        <w:rPr>
          <w:rFonts w:hint="eastAsia"/>
        </w:rPr>
        <w:t>%。</w:t>
      </w:r>
    </w:p>
    <w:p>
      <w:pPr>
        <w:adjustRightInd w:val="0"/>
        <w:snapToGrid w:val="0"/>
        <w:spacing w:before="62" w:beforeLines="20" w:after="62" w:afterLines="20"/>
        <w:ind w:firstLine="0" w:firstLineChars="0"/>
        <w:jc w:val="center"/>
        <w:rPr>
          <w:b/>
          <w:bCs/>
          <w:sz w:val="28"/>
          <w:szCs w:val="21"/>
        </w:rPr>
      </w:pPr>
      <w:r>
        <w:rPr>
          <w:rFonts w:hint="eastAsia"/>
          <w:b/>
          <w:bCs/>
          <w:sz w:val="28"/>
          <w:szCs w:val="21"/>
        </w:rPr>
        <w:t>表7</w:t>
      </w:r>
      <w:r>
        <w:rPr>
          <w:b/>
          <w:bCs/>
          <w:sz w:val="28"/>
          <w:szCs w:val="21"/>
        </w:rPr>
        <w:t xml:space="preserve">-1 </w:t>
      </w:r>
      <w:r>
        <w:rPr>
          <w:rFonts w:hint="eastAsia"/>
          <w:b/>
          <w:bCs/>
          <w:sz w:val="28"/>
          <w:szCs w:val="21"/>
        </w:rPr>
        <w:t>公路网规模与密度对比表</w:t>
      </w:r>
    </w:p>
    <w:tbl>
      <w:tblPr>
        <w:tblStyle w:val="13"/>
        <w:tblW w:w="4937" w:type="pct"/>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6"/>
        <w:gridCol w:w="2943"/>
        <w:gridCol w:w="2270"/>
        <w:gridCol w:w="22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77" w:type="pct"/>
            <w:gridSpan w:val="2"/>
            <w:vAlign w:val="center"/>
          </w:tcPr>
          <w:p>
            <w:pPr>
              <w:ind w:firstLine="0" w:firstLineChars="0"/>
              <w:jc w:val="center"/>
              <w:rPr>
                <w:sz w:val="28"/>
                <w:szCs w:val="28"/>
              </w:rPr>
            </w:pPr>
            <w:r>
              <w:rPr>
                <w:rFonts w:hint="eastAsia"/>
                <w:sz w:val="28"/>
                <w:szCs w:val="28"/>
              </w:rPr>
              <w:t>指标</w:t>
            </w:r>
          </w:p>
        </w:tc>
        <w:tc>
          <w:tcPr>
            <w:tcW w:w="1261" w:type="pct"/>
            <w:vAlign w:val="center"/>
          </w:tcPr>
          <w:p>
            <w:pPr>
              <w:ind w:firstLine="0" w:firstLineChars="0"/>
              <w:jc w:val="center"/>
              <w:rPr>
                <w:sz w:val="28"/>
                <w:szCs w:val="28"/>
              </w:rPr>
            </w:pPr>
            <w:r>
              <w:rPr>
                <w:rFonts w:hint="eastAsia"/>
                <w:sz w:val="28"/>
                <w:szCs w:val="28"/>
              </w:rPr>
              <w:t>现状</w:t>
            </w:r>
          </w:p>
        </w:tc>
        <w:tc>
          <w:tcPr>
            <w:tcW w:w="1262" w:type="pct"/>
            <w:vAlign w:val="center"/>
          </w:tcPr>
          <w:p>
            <w:pPr>
              <w:ind w:firstLine="0" w:firstLineChars="0"/>
              <w:jc w:val="center"/>
              <w:rPr>
                <w:sz w:val="28"/>
                <w:szCs w:val="28"/>
              </w:rPr>
            </w:pPr>
            <w:r>
              <w:rPr>
                <w:rFonts w:hint="eastAsia"/>
                <w:sz w:val="28"/>
                <w:szCs w:val="28"/>
              </w:rPr>
              <w:t>202</w:t>
            </w:r>
            <w:r>
              <w:rPr>
                <w:sz w:val="28"/>
                <w:szCs w:val="28"/>
              </w:rPr>
              <w:t>5</w:t>
            </w:r>
            <w:r>
              <w:rPr>
                <w:rFonts w:hint="eastAsia"/>
                <w:sz w:val="28"/>
                <w:szCs w:val="28"/>
              </w:rPr>
              <w:t>年规划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2" w:type="pct"/>
            <w:vMerge w:val="restart"/>
            <w:vAlign w:val="center"/>
          </w:tcPr>
          <w:p>
            <w:pPr>
              <w:ind w:firstLine="0" w:firstLineChars="0"/>
              <w:jc w:val="center"/>
              <w:rPr>
                <w:sz w:val="28"/>
                <w:szCs w:val="28"/>
              </w:rPr>
            </w:pPr>
            <w:r>
              <w:rPr>
                <w:rFonts w:hint="eastAsia"/>
                <w:sz w:val="28"/>
                <w:szCs w:val="28"/>
              </w:rPr>
              <w:t>公路网</w:t>
            </w:r>
          </w:p>
        </w:tc>
        <w:tc>
          <w:tcPr>
            <w:tcW w:w="1635" w:type="pct"/>
            <w:vAlign w:val="center"/>
          </w:tcPr>
          <w:p>
            <w:pPr>
              <w:ind w:firstLine="0" w:firstLineChars="0"/>
              <w:jc w:val="center"/>
              <w:rPr>
                <w:sz w:val="28"/>
                <w:szCs w:val="28"/>
              </w:rPr>
            </w:pPr>
            <w:r>
              <w:rPr>
                <w:rFonts w:hint="eastAsia"/>
                <w:sz w:val="28"/>
                <w:szCs w:val="28"/>
              </w:rPr>
              <w:t>规模（公里）</w:t>
            </w:r>
          </w:p>
        </w:tc>
        <w:tc>
          <w:tcPr>
            <w:tcW w:w="1261" w:type="pct"/>
            <w:vAlign w:val="center"/>
          </w:tcPr>
          <w:p>
            <w:pPr>
              <w:adjustRightInd w:val="0"/>
              <w:snapToGrid w:val="0"/>
              <w:ind w:firstLine="0" w:firstLineChars="0"/>
              <w:jc w:val="center"/>
              <w:rPr>
                <w:sz w:val="28"/>
                <w:szCs w:val="28"/>
              </w:rPr>
            </w:pPr>
            <w:r>
              <w:rPr>
                <w:sz w:val="28"/>
                <w:szCs w:val="28"/>
              </w:rPr>
              <w:t>2424.888</w:t>
            </w:r>
          </w:p>
        </w:tc>
        <w:tc>
          <w:tcPr>
            <w:tcW w:w="1262" w:type="pct"/>
            <w:vAlign w:val="center"/>
          </w:tcPr>
          <w:p>
            <w:pPr>
              <w:adjustRightInd w:val="0"/>
              <w:snapToGrid w:val="0"/>
              <w:ind w:firstLine="0" w:firstLineChars="0"/>
              <w:jc w:val="center"/>
              <w:rPr>
                <w:sz w:val="28"/>
                <w:szCs w:val="28"/>
              </w:rPr>
            </w:pPr>
            <w:r>
              <w:rPr>
                <w:sz w:val="28"/>
                <w:szCs w:val="28"/>
              </w:rPr>
              <w:t>2493.184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2" w:type="pct"/>
            <w:vMerge w:val="continue"/>
            <w:vAlign w:val="center"/>
          </w:tcPr>
          <w:p>
            <w:pPr>
              <w:ind w:firstLine="0" w:firstLineChars="0"/>
              <w:jc w:val="center"/>
              <w:rPr>
                <w:sz w:val="28"/>
                <w:szCs w:val="28"/>
              </w:rPr>
            </w:pPr>
          </w:p>
        </w:tc>
        <w:tc>
          <w:tcPr>
            <w:tcW w:w="1635" w:type="pct"/>
            <w:vAlign w:val="center"/>
          </w:tcPr>
          <w:p>
            <w:pPr>
              <w:adjustRightInd w:val="0"/>
              <w:snapToGrid w:val="0"/>
              <w:ind w:firstLine="0" w:firstLineChars="0"/>
              <w:jc w:val="center"/>
              <w:rPr>
                <w:sz w:val="28"/>
                <w:szCs w:val="28"/>
              </w:rPr>
            </w:pPr>
            <w:r>
              <w:rPr>
                <w:rFonts w:hint="eastAsia"/>
                <w:sz w:val="28"/>
                <w:szCs w:val="28"/>
              </w:rPr>
              <w:t>公路密度</w:t>
            </w:r>
          </w:p>
          <w:p>
            <w:pPr>
              <w:adjustRightInd w:val="0"/>
              <w:snapToGrid w:val="0"/>
              <w:ind w:firstLine="0" w:firstLineChars="0"/>
              <w:jc w:val="center"/>
              <w:rPr>
                <w:sz w:val="28"/>
                <w:szCs w:val="28"/>
              </w:rPr>
            </w:pPr>
            <w:r>
              <w:rPr>
                <w:rFonts w:hint="eastAsia"/>
                <w:sz w:val="28"/>
                <w:szCs w:val="28"/>
              </w:rPr>
              <w:t>（公里/百平方公里）</w:t>
            </w:r>
          </w:p>
        </w:tc>
        <w:tc>
          <w:tcPr>
            <w:tcW w:w="1261" w:type="pct"/>
            <w:vAlign w:val="center"/>
          </w:tcPr>
          <w:p>
            <w:pPr>
              <w:adjustRightInd w:val="0"/>
              <w:snapToGrid w:val="0"/>
              <w:ind w:firstLine="0" w:firstLineChars="0"/>
              <w:jc w:val="center"/>
              <w:rPr>
                <w:sz w:val="28"/>
                <w:szCs w:val="28"/>
              </w:rPr>
            </w:pPr>
            <w:r>
              <w:rPr>
                <w:sz w:val="28"/>
                <w:szCs w:val="28"/>
              </w:rPr>
              <w:t>118.34</w:t>
            </w:r>
          </w:p>
        </w:tc>
        <w:tc>
          <w:tcPr>
            <w:tcW w:w="1262" w:type="pct"/>
            <w:vAlign w:val="center"/>
          </w:tcPr>
          <w:p>
            <w:pPr>
              <w:adjustRightInd w:val="0"/>
              <w:snapToGrid w:val="0"/>
              <w:ind w:firstLine="0" w:firstLineChars="0"/>
              <w:jc w:val="center"/>
              <w:rPr>
                <w:sz w:val="28"/>
                <w:szCs w:val="28"/>
              </w:rPr>
            </w:pPr>
            <w:r>
              <w:rPr>
                <w:sz w:val="28"/>
                <w:szCs w:val="28"/>
              </w:rPr>
              <w:t>126.69</w:t>
            </w:r>
          </w:p>
        </w:tc>
      </w:tr>
    </w:tbl>
    <w:p>
      <w:pPr>
        <w:ind w:firstLine="640"/>
      </w:pPr>
      <w:r>
        <w:t>（2）人口密度</w:t>
      </w:r>
    </w:p>
    <w:p>
      <w:pPr>
        <w:ind w:firstLine="640"/>
      </w:pPr>
      <w:r>
        <w:t>公路网人口密度指单位人口拥有的公路里程数。计算公式为：</w:t>
      </w:r>
    </w:p>
    <w:p>
      <w:pPr>
        <w:ind w:firstLine="640"/>
      </w:pPr>
      <w:r>
        <w:object>
          <v:shape id="_x0000_i1038" o:spt="75" type="#_x0000_t75" style="height:27.55pt;width:46.95pt;" o:ole="t" filled="f" o:preferrelative="t" stroked="f" coordsize="21600,21600">
            <v:path/>
            <v:fill on="f" focussize="0,0"/>
            <v:stroke on="f" joinstyle="miter"/>
            <v:imagedata r:id="rId79" o:title=""/>
            <o:lock v:ext="edit" aspectratio="t"/>
            <w10:wrap type="none"/>
            <w10:anchorlock/>
          </v:shape>
          <o:OLEObject Type="Embed" ProgID="Equation.3" ShapeID="_x0000_i1038" DrawAspect="Content" ObjectID="_1468075738" r:id="rId78">
            <o:LockedField>false</o:LockedField>
          </o:OLEObject>
        </w:object>
      </w:r>
    </w:p>
    <w:p>
      <w:pPr>
        <w:ind w:firstLine="640"/>
      </w:pPr>
      <w:r>
        <w:t>式中：</w:t>
      </w:r>
    </w:p>
    <w:p>
      <w:pPr>
        <w:ind w:firstLine="640"/>
      </w:pPr>
      <w:r>
        <w:t>Rp -- 公路网人口密度指标（公里/万人）；</w:t>
      </w:r>
    </w:p>
    <w:p>
      <w:pPr>
        <w:ind w:firstLine="640"/>
      </w:pPr>
      <w:r>
        <w:t>L</w:t>
      </w:r>
      <w:r>
        <w:rPr>
          <w:vertAlign w:val="subscript"/>
        </w:rPr>
        <w:t xml:space="preserve">∑ </w:t>
      </w:r>
      <w:r>
        <w:t>-- 公路网总里程（</w:t>
      </w:r>
      <w:r>
        <w:rPr>
          <w:rFonts w:hint="eastAsia"/>
        </w:rPr>
        <w:t>规划年末，达到</w:t>
      </w:r>
      <w:r>
        <w:t>2493.184公里）；</w:t>
      </w:r>
    </w:p>
    <w:p>
      <w:pPr>
        <w:ind w:firstLine="640"/>
      </w:pPr>
      <w:r>
        <w:t>P -- 规划区域人口数（</w:t>
      </w:r>
      <w:r>
        <w:rPr>
          <w:rFonts w:hint="eastAsia"/>
        </w:rPr>
        <w:t>规划年末，达到</w:t>
      </w:r>
      <w:r>
        <w:t>41.32万人）。</w:t>
      </w:r>
    </w:p>
    <w:p>
      <w:pPr>
        <w:ind w:firstLine="640"/>
      </w:pPr>
      <w:r>
        <w:t>把将数值代入后可得：2020年Rp =55.44公里/万人。</w:t>
      </w:r>
    </w:p>
    <w:p>
      <w:pPr>
        <w:ind w:firstLine="640"/>
      </w:pPr>
      <w:r>
        <w:rPr>
          <w:rFonts w:hint="eastAsia"/>
        </w:rPr>
        <w:t>阳城县地区20</w:t>
      </w:r>
      <w:r>
        <w:t>20</w:t>
      </w:r>
      <w:r>
        <w:rPr>
          <w:rFonts w:hint="eastAsia"/>
        </w:rPr>
        <w:t>年公路网总规模</w:t>
      </w:r>
      <w:r>
        <w:t>2424.888</w:t>
      </w:r>
      <w:r>
        <w:rPr>
          <w:rFonts w:hint="eastAsia"/>
        </w:rPr>
        <w:t>公里，常驻人口为39.45万人，阳城县路网人口密度为</w:t>
      </w:r>
      <w:r>
        <w:t>59.03</w:t>
      </w:r>
      <w:r>
        <w:rPr>
          <w:rFonts w:hint="eastAsia"/>
        </w:rPr>
        <w:t>公里/万人。规划年末，2025年阳城县规划区域人口预计将达到</w:t>
      </w:r>
      <w:r>
        <w:t>41.32</w:t>
      </w:r>
      <w:r>
        <w:rPr>
          <w:rFonts w:hint="eastAsia"/>
        </w:rPr>
        <w:t>万人，阳城县公路网总规模</w:t>
      </w:r>
      <w:r>
        <w:t>2493.184</w:t>
      </w:r>
      <w:r>
        <w:rPr>
          <w:rFonts w:hint="eastAsia"/>
        </w:rPr>
        <w:t>公里，公路网人口密度为</w:t>
      </w:r>
      <w:r>
        <w:t>60.34</w:t>
      </w:r>
      <w:r>
        <w:rPr>
          <w:rFonts w:hint="eastAsia"/>
        </w:rPr>
        <w:t>公里/万人。</w:t>
      </w:r>
    </w:p>
    <w:p>
      <w:pPr>
        <w:ind w:firstLine="640"/>
      </w:pPr>
      <w:r>
        <w:t>2、公路网等级水平（G）</w:t>
      </w:r>
    </w:p>
    <w:p>
      <w:pPr>
        <w:ind w:firstLine="640"/>
      </w:pPr>
      <w:r>
        <w:t>经过</w:t>
      </w:r>
      <w:r>
        <w:rPr>
          <w:rFonts w:hint="eastAsia"/>
        </w:rPr>
        <w:t>阳城县农村公路“十四五”</w:t>
      </w:r>
      <w:r>
        <w:t>（2021-2025年）的建设，将改建354.287公里，新建68.296公里。对原有的存在安全隐患的</w:t>
      </w:r>
      <w:r>
        <w:rPr>
          <w:rFonts w:hint="eastAsia"/>
        </w:rPr>
        <w:t>农村公路三、四级公路安全生命防护工程</w:t>
      </w:r>
      <w:r>
        <w:t>改造里程达72.192公里。规划实施完成后，阳城县的道路等级将得到了进一步提升。</w:t>
      </w:r>
    </w:p>
    <w:p>
      <w:pPr>
        <w:ind w:firstLine="640"/>
      </w:pPr>
      <w:r>
        <w:t>3、节点连通度</w:t>
      </w:r>
    </w:p>
    <w:p>
      <w:pPr>
        <w:ind w:firstLine="640"/>
      </w:pPr>
      <w:r>
        <w:t>连通度是通过考察网络交通节点的连通状况，从路网布局方面反映网络的结构特点。其定义为规划区域内各节点依靠公路相互连通的强度，计算公式如下：</w:t>
      </w:r>
    </w:p>
    <w:p>
      <w:pPr>
        <w:ind w:firstLine="640"/>
      </w:pPr>
      <w:r>
        <w:object>
          <v:shape id="_x0000_i1039" o:spt="75" type="#_x0000_t75" style="height:36.95pt;width:114.55pt;" o:ole="t" filled="f" o:preferrelative="t" stroked="f" coordsize="21600,21600">
            <v:path/>
            <v:fill on="f" focussize="0,0"/>
            <v:stroke on="f" joinstyle="miter"/>
            <v:imagedata r:id="rId81" o:title=""/>
            <o:lock v:ext="edit" aspectratio="t"/>
            <w10:wrap type="none"/>
            <w10:anchorlock/>
          </v:shape>
          <o:OLEObject Type="Embed" ProgID="Equation.3" ShapeID="_x0000_i1039" DrawAspect="Content" ObjectID="_1468075739" r:id="rId80">
            <o:LockedField>false</o:LockedField>
          </o:OLEObject>
        </w:object>
      </w:r>
    </w:p>
    <w:p>
      <w:pPr>
        <w:ind w:firstLine="640"/>
      </w:pPr>
      <w:r>
        <w:t>式中：</w:t>
      </w:r>
    </w:p>
    <w:p>
      <w:pPr>
        <w:ind w:firstLine="640"/>
      </w:pPr>
      <w:r>
        <w:t>C -- 规划区域内网络连通度；</w:t>
      </w:r>
    </w:p>
    <w:p>
      <w:pPr>
        <w:ind w:firstLine="640"/>
      </w:pPr>
      <w:r>
        <w:t>L -- 区域内网络总里程（2493.184公里）；</w:t>
      </w:r>
    </w:p>
    <w:p>
      <w:pPr>
        <w:ind w:firstLine="640"/>
      </w:pPr>
      <w:r>
        <w:t>H -- 相邻两节点间的平均空间直线距离（公里）；</w:t>
      </w:r>
    </w:p>
    <w:p>
      <w:pPr>
        <w:ind w:firstLine="640"/>
      </w:pPr>
      <w:r>
        <w:t>N -- 规划区域应连通的节点数（节点426个）；</w:t>
      </w:r>
    </w:p>
    <w:p>
      <w:pPr>
        <w:ind w:firstLine="640"/>
      </w:pPr>
      <w:r>
        <w:t>A -- 规划区域面积（1968平方公里）；</w:t>
      </w:r>
    </w:p>
    <w:p>
      <w:pPr>
        <w:ind w:firstLine="640"/>
      </w:pPr>
      <w:r>
        <w:t>ξ-- 非直线系数，其值为各节点间实际线路总里程与直线总里程之比。当ξ=1.0时，代表公路交通节点直线连接，</w:t>
      </w:r>
      <w:r>
        <w:rPr>
          <w:rFonts w:hint="eastAsia"/>
        </w:rPr>
        <w:t>ξ</w:t>
      </w:r>
      <w:r>
        <w:t>越大，路线弯曲越多，等级越低。结阳城县实际情况，取ξ=1.1。</w:t>
      </w:r>
    </w:p>
    <w:p>
      <w:pPr>
        <w:ind w:firstLine="640"/>
      </w:pPr>
      <w:r>
        <w:t>对路网来说，一般C值介于1.6到2.0之间就表示达到成熟状态（或基本完善）。当到达2025年时，县域公路网的连通度为1.72，路网规模基本达到合理状态。</w:t>
      </w:r>
    </w:p>
    <w:p>
      <w:pPr>
        <w:pStyle w:val="3"/>
        <w:ind w:firstLine="640"/>
        <w:rPr>
          <w:rFonts w:eastAsia="方正楷体简体" w:cs="Times New Roman"/>
          <w:bCs w:val="0"/>
        </w:rPr>
      </w:pPr>
      <w:bookmarkStart w:id="166" w:name="_Toc49243418"/>
      <w:bookmarkStart w:id="167" w:name="_Toc49243344"/>
      <w:r>
        <w:rPr>
          <w:rFonts w:eastAsia="方正楷体简体" w:cs="Times New Roman"/>
          <w:bCs w:val="0"/>
        </w:rPr>
        <w:t>经济社会效益分析</w:t>
      </w:r>
      <w:bookmarkEnd w:id="166"/>
      <w:bookmarkEnd w:id="167"/>
    </w:p>
    <w:p>
      <w:pPr>
        <w:ind w:firstLine="640"/>
        <w:rPr>
          <w:rFonts w:cs="Times New Roman"/>
        </w:rPr>
      </w:pPr>
      <w:r>
        <w:rPr>
          <w:rFonts w:cs="Times New Roman"/>
        </w:rPr>
        <w:t>公路基础设施建设是为经济和社会发展服务的，因此公路网规划的实施对区域经济和社会的发展将产生积极而深远的影响。这种影响很难用货币计量，也难以定量评价。</w:t>
      </w:r>
    </w:p>
    <w:p>
      <w:pPr>
        <w:pStyle w:val="4"/>
        <w:ind w:firstLine="602"/>
        <w:rPr>
          <w:rFonts w:cs="Times New Roman"/>
        </w:rPr>
      </w:pPr>
      <w:bookmarkStart w:id="168" w:name="_Toc49243345"/>
      <w:bookmarkStart w:id="169" w:name="_Toc488330162"/>
      <w:bookmarkStart w:id="170" w:name="_Toc49243419"/>
      <w:bookmarkStart w:id="171" w:name="_Toc488330249"/>
      <w:r>
        <w:rPr>
          <w:rFonts w:cs="Times New Roman"/>
        </w:rPr>
        <w:t>经济评价</w:t>
      </w:r>
      <w:bookmarkEnd w:id="168"/>
      <w:bookmarkEnd w:id="169"/>
      <w:bookmarkEnd w:id="170"/>
      <w:bookmarkEnd w:id="171"/>
    </w:p>
    <w:p>
      <w:pPr>
        <w:tabs>
          <w:tab w:val="left" w:pos="720"/>
          <w:tab w:val="left" w:pos="1080"/>
          <w:tab w:val="left" w:pos="3101"/>
        </w:tabs>
        <w:spacing w:line="360" w:lineRule="auto"/>
        <w:ind w:left="28" w:leftChars="9" w:firstLine="640"/>
        <w:rPr>
          <w:rFonts w:cs="Times New Roman"/>
        </w:rPr>
      </w:pPr>
      <w:r>
        <w:rPr>
          <w:rFonts w:cs="Times New Roman"/>
        </w:rPr>
        <w:t>阳城县</w:t>
      </w:r>
      <w:r>
        <w:rPr>
          <w:rFonts w:hint="eastAsia" w:cs="Times New Roman"/>
        </w:rPr>
        <w:t>农村公路“十四五”发展规划</w:t>
      </w:r>
      <w:r>
        <w:rPr>
          <w:rFonts w:cs="Times New Roman"/>
        </w:rPr>
        <w:t>的实施，将对公路沿线地区产生直接和间接的经济效益，方便群众生产生活，促进工农业产业化发展，推动经济发展，增加居民收入，提高居民生活水平。具体表现在：</w:t>
      </w:r>
    </w:p>
    <w:p>
      <w:pPr>
        <w:spacing w:line="360" w:lineRule="auto"/>
        <w:ind w:firstLine="640"/>
        <w:rPr>
          <w:rFonts w:cs="Times New Roman"/>
        </w:rPr>
      </w:pPr>
      <w:r>
        <w:rPr>
          <w:rFonts w:cs="Times New Roman"/>
        </w:rPr>
        <w:t>（1）</w:t>
      </w:r>
      <w:r>
        <w:rPr>
          <w:rFonts w:hint="eastAsia" w:cs="Times New Roman"/>
        </w:rPr>
        <w:t>增加旅游开发效益</w:t>
      </w:r>
      <w:r>
        <w:rPr>
          <w:rFonts w:cs="Times New Roman"/>
        </w:rPr>
        <w:t>，促进农村增收。</w:t>
      </w:r>
    </w:p>
    <w:p>
      <w:pPr>
        <w:spacing w:line="360" w:lineRule="auto"/>
        <w:ind w:firstLine="640"/>
        <w:rPr>
          <w:rFonts w:cs="Times New Roman"/>
        </w:rPr>
      </w:pPr>
      <w:r>
        <w:rPr>
          <w:rFonts w:hint="eastAsia" w:cs="Times New Roman"/>
        </w:rPr>
        <w:t>阳城县旅游资源丰富，境内古城堡、古民居、古庙宇数享誉国内外。随着人民生活水平提高，旅游的人数逐渐增长，旅行者对旅游地的基础设施要求也逐步提高，良好的道路状况也成为人们出行考虑的必要因素。公路基础设施的日渐完善将大大促进旅游资源的开发，进而会增加居民的收入，提高居民的生活水平，对沿线区域居民的生活有着积极的影响。</w:t>
      </w:r>
    </w:p>
    <w:p>
      <w:pPr>
        <w:spacing w:line="360" w:lineRule="auto"/>
        <w:ind w:firstLine="640"/>
        <w:rPr>
          <w:rFonts w:cs="Times New Roman"/>
        </w:rPr>
      </w:pPr>
      <w:r>
        <w:rPr>
          <w:rFonts w:hint="eastAsia" w:cs="Times New Roman"/>
        </w:rPr>
        <w:t>农村公路“十四五”发展规划</w:t>
      </w:r>
      <w:r>
        <w:rPr>
          <w:rFonts w:cs="Times New Roman"/>
        </w:rPr>
        <w:t>的实施，架起了农村通往城市的桥梁，农业成本特别是运输成本大大降低，收粮车、农副产品的收购车、运输车直接开到农民的田间地头，农村公路成为农业增产，农民增收致富奔小康的康庄大道。</w:t>
      </w:r>
    </w:p>
    <w:p>
      <w:pPr>
        <w:tabs>
          <w:tab w:val="left" w:pos="720"/>
          <w:tab w:val="left" w:pos="1080"/>
          <w:tab w:val="left" w:pos="3101"/>
        </w:tabs>
        <w:spacing w:line="360" w:lineRule="auto"/>
        <w:ind w:firstLine="640"/>
        <w:rPr>
          <w:rFonts w:cs="Times New Roman"/>
        </w:rPr>
      </w:pPr>
      <w:r>
        <w:rPr>
          <w:rFonts w:cs="Times New Roman"/>
        </w:rPr>
        <w:t>（2）促进了城乡经济协调发展，加快了农村产业的形成。</w:t>
      </w:r>
    </w:p>
    <w:p>
      <w:pPr>
        <w:spacing w:line="360" w:lineRule="auto"/>
        <w:ind w:firstLine="640"/>
        <w:rPr>
          <w:rFonts w:cs="Times New Roman"/>
        </w:rPr>
      </w:pPr>
      <w:r>
        <w:rPr>
          <w:rFonts w:hint="eastAsia" w:cs="Times New Roman"/>
        </w:rPr>
        <w:t>对产业的促进作用，一是前向效应，二是后向效应。前向效应是，大规模公路建设，会增加建筑材料、物资和劳动力的需求，从而带动相关产业的迅速发展，创造更多的就业机会。后向效应是，公路网的连通性及便捷性的提高，使客货运输更加便利，会促进阳城县产业结构的调整与优化，改善投资环境，进而促进阳城县境内产业的发展。</w:t>
      </w:r>
    </w:p>
    <w:p>
      <w:pPr>
        <w:spacing w:line="360" w:lineRule="auto"/>
        <w:ind w:firstLine="640"/>
        <w:rPr>
          <w:rFonts w:cs="Times New Roman"/>
        </w:rPr>
      </w:pPr>
      <w:r>
        <w:rPr>
          <w:rFonts w:hint="eastAsia" w:cs="Times New Roman"/>
        </w:rPr>
        <w:t>农村公路“十四五”发展规划</w:t>
      </w:r>
      <w:r>
        <w:rPr>
          <w:rFonts w:cs="Times New Roman"/>
        </w:rPr>
        <w:t>实施后，增强了中心场镇的辐射带动功能。公路网络的完善，拉动了建材、交通运输等相关产业的发展，促进了城乡生产要素的互换，城区的人流、车流、信息流、资金流加快向农村传递，农村的农特产、生态旅游等资源优势依托公路迅速转化为市场优势，给长期闭塞的农村带来了商机，使公路线成为名副其实的“经济线”，极大地带动了区域经济的发展。</w:t>
      </w:r>
    </w:p>
    <w:p>
      <w:pPr>
        <w:spacing w:line="360" w:lineRule="auto"/>
        <w:ind w:firstLine="640"/>
        <w:rPr>
          <w:rFonts w:cs="Times New Roman"/>
        </w:rPr>
      </w:pPr>
      <w:r>
        <w:rPr>
          <w:rFonts w:cs="Times New Roman"/>
        </w:rPr>
        <w:t>（3）改善了乡村投资环境，促进了招商引资。</w:t>
      </w:r>
    </w:p>
    <w:p>
      <w:pPr>
        <w:spacing w:line="360" w:lineRule="auto"/>
        <w:ind w:firstLine="640"/>
        <w:rPr>
          <w:rFonts w:cs="Times New Roman"/>
        </w:rPr>
      </w:pPr>
      <w:r>
        <w:rPr>
          <w:rFonts w:hint="eastAsia" w:cs="Times New Roman"/>
        </w:rPr>
        <w:t>农村公路“十四五”发展规划</w:t>
      </w:r>
      <w:r>
        <w:rPr>
          <w:rFonts w:cs="Times New Roman"/>
        </w:rPr>
        <w:t>实施后，构成了协调合理的公路网络，拉近了城乡距离，提高了乡村经济发展的承载能力，大大改善了阳城县农村地区的投资环境，“企业门前通公路”成为阳城县对外推介、招商引资的一大“亮点”。</w:t>
      </w:r>
    </w:p>
    <w:p>
      <w:pPr>
        <w:spacing w:line="360" w:lineRule="auto"/>
        <w:ind w:firstLine="640"/>
        <w:rPr>
          <w:rFonts w:cs="Times New Roman"/>
        </w:rPr>
      </w:pPr>
      <w:r>
        <w:rPr>
          <w:rFonts w:cs="Times New Roman"/>
        </w:rPr>
        <w:t>（4）将为农村地区构建起便捷、通畅、高效、安全的交通运输体系，为农村经济发展、农业结构调整、农民持续增收创造了重要基础条件，为阳城县城乡统筹发展，全面建成小康社会，率先在全市基本实现现代化奠定坚实的交通基础。</w:t>
      </w:r>
    </w:p>
    <w:p>
      <w:pPr>
        <w:pStyle w:val="4"/>
        <w:ind w:firstLine="602"/>
        <w:rPr>
          <w:rFonts w:cs="Times New Roman"/>
        </w:rPr>
      </w:pPr>
      <w:bookmarkStart w:id="172" w:name="_Toc488330250"/>
      <w:bookmarkStart w:id="173" w:name="_Toc49243346"/>
      <w:bookmarkStart w:id="174" w:name="_Toc488330163"/>
      <w:bookmarkStart w:id="175" w:name="_Toc49243420"/>
      <w:r>
        <w:rPr>
          <w:rFonts w:cs="Times New Roman"/>
        </w:rPr>
        <w:t>社会评价</w:t>
      </w:r>
      <w:bookmarkEnd w:id="172"/>
      <w:bookmarkEnd w:id="173"/>
      <w:bookmarkEnd w:id="174"/>
      <w:bookmarkEnd w:id="175"/>
    </w:p>
    <w:p>
      <w:pPr>
        <w:ind w:firstLine="640"/>
      </w:pPr>
      <w:r>
        <w:rPr>
          <w:rFonts w:hint="eastAsia"/>
        </w:rPr>
        <w:t>农村公路“十四五”发展规划</w:t>
      </w:r>
      <w:r>
        <w:t>实施对加快城镇化、促进就业、生产生活条件改善、社会文明进步等产生了巨大的影响。具体表现在：</w:t>
      </w:r>
    </w:p>
    <w:p>
      <w:pPr>
        <w:ind w:firstLine="640"/>
      </w:pPr>
      <w:r>
        <w:t>（1）促进了城乡经济协调发展，加快了农村城镇化进程。</w:t>
      </w:r>
    </w:p>
    <w:p>
      <w:pPr>
        <w:ind w:firstLine="640"/>
      </w:pPr>
      <w:r>
        <w:rPr>
          <w:rFonts w:hint="eastAsia"/>
        </w:rPr>
        <w:t>农村公路“十四五”发展规划</w:t>
      </w:r>
      <w:r>
        <w:t>实施后，随着农村公路网的畅通，乡村产业及路域经济迅速发展，使沿线土地迅速升值，带动了城镇房地产开发、苗木种植、集贸市场的发展，扩大了城镇规模，提升了镇街和农村的规划、建设档次，有效地加快了农村城镇化进程。</w:t>
      </w:r>
    </w:p>
    <w:p>
      <w:pPr>
        <w:ind w:firstLine="640"/>
      </w:pPr>
      <w:r>
        <w:t>（2）扩大了内需，为社会提供更多的就业机会。</w:t>
      </w:r>
    </w:p>
    <w:p>
      <w:pPr>
        <w:ind w:firstLine="640"/>
      </w:pPr>
      <w:r>
        <w:rPr>
          <w:rFonts w:hint="eastAsia"/>
        </w:rPr>
        <w:t>农村公路“十四五”发展规划</w:t>
      </w:r>
      <w:r>
        <w:t>实施，加快了基本建设资金投入，有利于扩大内需，拉动国民经济的增长。在公路建设期间，由于对钢材、水泥、沥青、木材等建设物资和生活物资需求的大幅度增加，必将带动建材、机械、汽车工业和第三产业等相关产业的快速发展，为社会创造更多的就业机会。</w:t>
      </w:r>
    </w:p>
    <w:p>
      <w:pPr>
        <w:ind w:firstLine="640"/>
      </w:pPr>
      <w:r>
        <w:t>（3）改善了农民的生产、生活条件。</w:t>
      </w:r>
    </w:p>
    <w:p>
      <w:pPr>
        <w:ind w:firstLine="640"/>
      </w:pPr>
      <w:r>
        <w:t>农村公路网络的建成，改善了农村的交通状况和出行条件，改善了农民的生产、生活条件，有利于农村投资环境的改善，有利于农民的脱贫致富，有利于加快农业和农村经济建设。</w:t>
      </w:r>
    </w:p>
    <w:p>
      <w:pPr>
        <w:ind w:firstLine="640"/>
      </w:pPr>
      <w:r>
        <w:t>（4）全面推动了城乡统筹发展。</w:t>
      </w:r>
    </w:p>
    <w:p>
      <w:pPr>
        <w:ind w:firstLine="640"/>
      </w:pPr>
      <w:r>
        <w:t>完善农村公路网络，将有助于打造农村建设新环境，加速农村经济发展，推进农村人口城镇化进程，推动城乡统筹发展，为实现“城市带动农村、工业反哺农业”提供重要的支撑，实现城乡一体化发展。同时农村公路的通畅也延伸农民的出行距离和活动半径，提高农村居民的出行质量和生活质量，缩小城乡二元经济结构差距。</w:t>
      </w:r>
    </w:p>
    <w:p>
      <w:pPr>
        <w:ind w:firstLine="640"/>
      </w:pPr>
      <w:r>
        <w:t>（5）提高了农村运输车辆的运输效益。</w:t>
      </w:r>
    </w:p>
    <w:p>
      <w:pPr>
        <w:ind w:firstLine="640"/>
      </w:pPr>
      <w:r>
        <w:rPr>
          <w:rFonts w:hint="eastAsia"/>
        </w:rPr>
        <w:t>农村公路“十四五”发展规划</w:t>
      </w:r>
      <w:r>
        <w:t>实施后，道路里程增多，等级提高，其通行能力和服务水平将大大改善，对进一步提高车速、降低油耗和提高车辆的运输效益将起到较大的作用。</w:t>
      </w:r>
    </w:p>
    <w:p>
      <w:pPr>
        <w:ind w:firstLine="640"/>
      </w:pPr>
      <w:r>
        <w:t>（6）生态环境保护</w:t>
      </w:r>
      <w:r>
        <w:rPr>
          <w:rFonts w:hint="eastAsia"/>
        </w:rPr>
        <w:t>。</w:t>
      </w:r>
    </w:p>
    <w:p>
      <w:pPr>
        <w:ind w:firstLine="640"/>
      </w:pPr>
      <w:r>
        <w:t>环境保护是我国的一项基本国策，是经济、社会发展的重要战略方针。公路建设对环境有一定的影响，近几年，公路发展过程中引起的环境问题受到越来越广泛的关注。根据《中华人民共和国环境影响评价法》、《关于加强公路规划和建设环境影响评价工作的通知》等有关规范、文件精神，进行本章节的公路网规划环境影响分析。</w:t>
      </w:r>
    </w:p>
    <w:p>
      <w:pPr>
        <w:ind w:firstLine="640"/>
      </w:pPr>
      <w:r>
        <w:t>公路网规划的环境保护对策分为规划期、实施建设期和营运期三个阶段。</w:t>
      </w:r>
    </w:p>
    <w:p>
      <w:pPr>
        <w:ind w:firstLine="640"/>
      </w:pPr>
      <w:r>
        <w:t>一、规划期</w:t>
      </w:r>
    </w:p>
    <w:p>
      <w:pPr>
        <w:ind w:firstLine="640"/>
      </w:pPr>
      <w:r>
        <w:t>1、加强公路网与相关规划的协调联系。包括环保规划、城市总体规划、土地利用规划等。在公路选线和建设过程中应严格落实环境影响评价和环保“三同时”制度。</w:t>
      </w:r>
    </w:p>
    <w:p>
      <w:pPr>
        <w:ind w:firstLine="640"/>
      </w:pPr>
      <w:r>
        <w:t>2、从维护和强化整体山水格局的连续性出发，因地制宜确定相关公路的线路，尽可能避让线路通过环保规划确定的严格控制区，包括自然保护区、典型原生生态系统、珍稀物种栖息地、集中式饮用水源地及后备水源地、水土流失敏感区、重要湿地区、生物迁徙回游通道与产卵索饵繁殖区等。</w:t>
      </w:r>
    </w:p>
    <w:p>
      <w:pPr>
        <w:ind w:firstLine="640"/>
      </w:pPr>
      <w:r>
        <w:t>3、在满足技术标准和不偏离总方向的前提下，充分合理利用地形，尽可能地减少拆迁，尽量利用既有公路进行改建或扩建，新建线路选线时应尽量避免或少占农田和林地，充分利用荒地、山地，同时避免水土流失。</w:t>
      </w:r>
    </w:p>
    <w:p>
      <w:pPr>
        <w:ind w:firstLine="640"/>
      </w:pPr>
      <w:r>
        <w:t>4、公路线路规划时应与沿线城镇规划相协调，遵循“靠而不进，离而不远”的原则，尽量避免穿越人口众多的城镇，学校、医院和文物景点等，以减少公路建设以及运营过程中对人们的生产、生活产生不利影响。</w:t>
      </w:r>
    </w:p>
    <w:p>
      <w:pPr>
        <w:ind w:firstLine="640"/>
      </w:pPr>
      <w:r>
        <w:t>5、设置足够的桥涵、通道及防护工程，尽量维持原有农、林、水利格局，保持原有的自然状态，在动物迁移、觅食活动区建立相应的生物通道涵洞；在合理位置设置必要数量的排水构造物，使公路上的水不直接排向两侧居民生活区、农田、菜地和鱼塘，特别防范对饮用水源的污染；在道路两侧建立一定范围的防护林带或绿色隔离带。</w:t>
      </w:r>
    </w:p>
    <w:p>
      <w:pPr>
        <w:ind w:firstLine="640"/>
      </w:pPr>
      <w:r>
        <w:t>6、综合考虑生态环境和社会环境的影响，广泛选择，深入比较，寻求最佳线位，合理决定高架桥、互通立交的位置和数量，方便沿线群众的生产、生活和经济开发的要求。</w:t>
      </w:r>
    </w:p>
    <w:p>
      <w:pPr>
        <w:ind w:firstLine="640"/>
      </w:pPr>
      <w:r>
        <w:t>7、在地形复杂的山岭区，公路的技术标准根据实际情况可适当降低，以减少工程投资、土地占用及其对环境的不利影响。</w:t>
      </w:r>
    </w:p>
    <w:p>
      <w:pPr>
        <w:ind w:firstLine="640"/>
      </w:pPr>
      <w:r>
        <w:t>8、在平原地区，当路基边坡高度过高时，为避免填土对原有土地及水系的破坏，应尽量避免高路基。</w:t>
      </w:r>
    </w:p>
    <w:p>
      <w:pPr>
        <w:ind w:firstLine="640"/>
      </w:pPr>
      <w:r>
        <w:t>9、阳城县境内生态环境优美，旅游资源丰富，在公路选线时应注意处理好保持优美的自然景观和为旅游景点服务之间的关系，应尽量避绕经过不宜穿越的地区，在大力促进旅游资源开发的同时尽量减少公路建设对自然环境和旅游资源的破坏。</w:t>
      </w:r>
    </w:p>
    <w:p>
      <w:pPr>
        <w:ind w:firstLine="640"/>
      </w:pPr>
      <w:r>
        <w:t>二、建设期</w:t>
      </w:r>
    </w:p>
    <w:p>
      <w:pPr>
        <w:ind w:firstLine="640"/>
      </w:pPr>
      <w:r>
        <w:t>公路建设期和营运期具有对生态环境呈线状性影响的特点。路网施工时，各种机械会产生较大的噪声和振动，应严格按照《建筑施工场界噪声限值》标准和《声环境质量标准》标准要求进行控制。对施工机械和运输车辆加强管理，限定施工时间，采取防止爆破噪声污染措施等。施工期的环境空气污染主要来自扬尘，在路基施工时，注意及时分层压实，以减少灰尘和雨水径流对路侧水质的影响；沥青混合料、路面基层材料和水泥混凝土等拌合场应与居民区等环境敏感点有合理的距离，防止灰尘、烟雾污染；施工组织设计充分考虑土地资源的合理利用，合理安排施工工序，减少临时占地面积，缩短使用时间，及时恢复土地原有功能；对于规划的环保工程要与主体工程同步完成。加大绿化力度，路网施工建设时，在沿线尽可能地种草、植树美化环境，凡是对植被破坏之处，必须防止水土流失，恢复原有的生态环境。</w:t>
      </w:r>
    </w:p>
    <w:p>
      <w:pPr>
        <w:ind w:firstLine="640"/>
      </w:pPr>
      <w:r>
        <w:t>三、营运期</w:t>
      </w:r>
    </w:p>
    <w:p>
      <w:pPr>
        <w:ind w:firstLine="640"/>
      </w:pPr>
      <w:r>
        <w:t>营运阶段车辆的排放物是环境空气的主要污染源之一，它会在附近地区上空形成浓度较高持续时间较长的污染区域，对人体健康形成危害；同时对动、植物和水，土等环境均有不同程度的影响，因此改进汽车性能和结构设计，是解决公路交通对环境污染的根本措施。在目前的条件下，高速公路、城市快速路等交通噪声要达到城市区域环境噪声居住区的标准（尤其在夜间）是相当困难的，因此必须采取必要的防治措施以减少声敏感目标的污染。其环保措施主要有：在道路两侧设置吸、隔声屏障、路面采用低噪声路面（橡胶沥青路面）、对受影响的建筑物进行隔声综合处理（设置通风隔声窗）、绿化降噪、交通设施完善和交通管理等。</w:t>
      </w:r>
    </w:p>
    <w:p>
      <w:pPr>
        <w:ind w:firstLine="640"/>
      </w:pPr>
      <w:r>
        <w:t>此外，对服务区、停车区、收费站等的生活垃圾、生活废水以及其他污水要妥善处理，宜设置污水处理设备，达到国家《污水综合排放标准》标准后才能排放。</w:t>
      </w:r>
    </w:p>
    <w:p>
      <w:pPr>
        <w:ind w:firstLine="640"/>
      </w:pPr>
      <w:r>
        <w:t>本次规划的公路，都避开了主要环境敏感点的核心区域，有些路线即使靠近或穿过环境敏感点的边缘，也可在预可、工可阶段通过具体的线位优化比选进行绕避。因此从规划阶段的深度来看，本次路网规划布局方案不会对环境造成较大的影响。</w:t>
      </w:r>
    </w:p>
    <w:p>
      <w:pPr>
        <w:ind w:firstLine="640"/>
      </w:pPr>
      <w:r>
        <w:t>综上所述，本规划与阳城县生态与环境功能区划相协调，与阳城县环境保护和生态建设、市域城镇体系发展、水资源综合利用及旅游发展等相关专项规划和大气及声环境功能区划基本相协调。</w:t>
      </w:r>
    </w:p>
    <w:p>
      <w:pPr>
        <w:ind w:firstLine="640"/>
      </w:pPr>
      <w:r>
        <w:t>总体上，在对规划方案进行充分完善，完成与水利、环保、旅游等相关部门充分协调，严格落实本章的公路网规划环境影响分析评价提出的各项环境保护及风险防范措施，本规划基本具有环境可行性。</w:t>
      </w:r>
    </w:p>
    <w:p>
      <w:pPr>
        <w:spacing w:line="360" w:lineRule="auto"/>
        <w:ind w:firstLine="560"/>
        <w:rPr>
          <w:rFonts w:cs="Times New Roman"/>
          <w:sz w:val="28"/>
          <w:szCs w:val="28"/>
        </w:rPr>
        <w:sectPr>
          <w:headerReference r:id="rId20" w:type="default"/>
          <w:pgSz w:w="11906" w:h="16838"/>
          <w:pgMar w:top="1304" w:right="1418" w:bottom="1304" w:left="1588" w:header="851" w:footer="992" w:gutter="0"/>
          <w:cols w:space="720" w:num="1"/>
          <w:docGrid w:type="linesAndChars" w:linePitch="312" w:charSpace="0"/>
        </w:sectPr>
      </w:pPr>
    </w:p>
    <w:p>
      <w:pPr>
        <w:pStyle w:val="2"/>
        <w:spacing w:before="156" w:after="156"/>
        <w:ind w:left="709"/>
        <w:rPr>
          <w:rFonts w:cs="Times New Roman"/>
          <w:bCs w:val="0"/>
        </w:rPr>
      </w:pPr>
      <w:bookmarkStart w:id="176" w:name="_Toc49243347"/>
      <w:bookmarkStart w:id="177" w:name="_Toc49243421"/>
      <w:r>
        <w:rPr>
          <w:rFonts w:cs="Times New Roman"/>
          <w:bCs w:val="0"/>
        </w:rPr>
        <w:t>实施安排</w:t>
      </w:r>
      <w:bookmarkEnd w:id="176"/>
      <w:bookmarkEnd w:id="177"/>
    </w:p>
    <w:p>
      <w:pPr>
        <w:pStyle w:val="3"/>
        <w:ind w:firstLine="640"/>
        <w:rPr>
          <w:rFonts w:eastAsia="方正楷体简体" w:cs="Times New Roman"/>
          <w:bCs w:val="0"/>
        </w:rPr>
      </w:pPr>
      <w:bookmarkStart w:id="178" w:name="_Toc49243422"/>
      <w:bookmarkStart w:id="179" w:name="_Toc49243348"/>
      <w:r>
        <w:rPr>
          <w:rFonts w:eastAsia="方正楷体简体" w:cs="Times New Roman"/>
          <w:bCs w:val="0"/>
        </w:rPr>
        <w:t>规划方案</w:t>
      </w:r>
      <w:bookmarkEnd w:id="178"/>
      <w:bookmarkEnd w:id="179"/>
    </w:p>
    <w:p>
      <w:pPr>
        <w:ind w:firstLine="640"/>
      </w:pPr>
      <w:r>
        <w:rPr>
          <w:rFonts w:hint="eastAsia"/>
        </w:rPr>
        <w:t>按照全省“十四五”投资规模和地方财政实际情况的约束条件，确定了阳城县“十四五”期间的建设规模计划和建设资金计划见表8</w:t>
      </w:r>
      <w:r>
        <w:t>-1</w:t>
      </w:r>
      <w:r>
        <w:rPr>
          <w:rFonts w:hint="eastAsia"/>
        </w:rPr>
        <w:t>和表8</w:t>
      </w:r>
      <w:r>
        <w:t>-2</w:t>
      </w:r>
      <w:r>
        <w:rPr>
          <w:rFonts w:hint="eastAsia"/>
        </w:rPr>
        <w:t>。</w:t>
      </w:r>
    </w:p>
    <w:p>
      <w:pPr>
        <w:ind w:firstLine="640"/>
      </w:pPr>
      <w:r>
        <w:rPr>
          <w:rFonts w:hint="eastAsia"/>
        </w:rPr>
        <w:t>具体建设项目情况见附表。</w:t>
      </w:r>
    </w:p>
    <w:p>
      <w:pPr>
        <w:ind w:firstLine="0" w:firstLineChars="0"/>
        <w:jc w:val="center"/>
        <w:rPr>
          <w:sz w:val="28"/>
        </w:rPr>
      </w:pPr>
      <w:bookmarkStart w:id="180" w:name="_Ref42095269"/>
      <w:r>
        <w:rPr>
          <w:rFonts w:hint="eastAsia"/>
          <w:sz w:val="28"/>
        </w:rPr>
        <w:t>表</w:t>
      </w:r>
      <w:r>
        <w:rPr>
          <w:sz w:val="28"/>
        </w:rPr>
        <w:fldChar w:fldCharType="begin"/>
      </w:r>
      <w:r>
        <w:rPr>
          <w:sz w:val="28"/>
        </w:rPr>
        <w:instrText xml:space="preserve"> </w:instrText>
      </w:r>
      <w:r>
        <w:rPr>
          <w:rFonts w:hint="eastAsia"/>
          <w:sz w:val="28"/>
        </w:rPr>
        <w:instrText xml:space="preserve">STYLEREF 1 \s</w:instrText>
      </w:r>
      <w:r>
        <w:rPr>
          <w:sz w:val="28"/>
        </w:rPr>
        <w:instrText xml:space="preserve"> </w:instrText>
      </w:r>
      <w:r>
        <w:rPr>
          <w:sz w:val="28"/>
        </w:rPr>
        <w:fldChar w:fldCharType="separate"/>
      </w:r>
      <w:r>
        <w:rPr>
          <w:sz w:val="28"/>
        </w:rPr>
        <w:t>8</w:t>
      </w:r>
      <w:r>
        <w:rPr>
          <w:sz w:val="28"/>
        </w:rPr>
        <w:fldChar w:fldCharType="end"/>
      </w:r>
      <w:r>
        <w:rPr>
          <w:sz w:val="28"/>
        </w:rPr>
        <w:t>-</w:t>
      </w:r>
      <w:r>
        <w:rPr>
          <w:sz w:val="28"/>
        </w:rPr>
        <w:fldChar w:fldCharType="begin"/>
      </w:r>
      <w:r>
        <w:rPr>
          <w:sz w:val="28"/>
        </w:rPr>
        <w:instrText xml:space="preserve"> </w:instrText>
      </w:r>
      <w:r>
        <w:rPr>
          <w:rFonts w:hint="eastAsia"/>
          <w:sz w:val="28"/>
        </w:rPr>
        <w:instrText xml:space="preserve">SEQ 表 \* ARABIC \s 1</w:instrText>
      </w:r>
      <w:r>
        <w:rPr>
          <w:sz w:val="28"/>
        </w:rPr>
        <w:instrText xml:space="preserve"> </w:instrText>
      </w:r>
      <w:r>
        <w:rPr>
          <w:sz w:val="28"/>
        </w:rPr>
        <w:fldChar w:fldCharType="separate"/>
      </w:r>
      <w:r>
        <w:rPr>
          <w:sz w:val="28"/>
        </w:rPr>
        <w:t>1</w:t>
      </w:r>
      <w:r>
        <w:rPr>
          <w:sz w:val="28"/>
        </w:rPr>
        <w:fldChar w:fldCharType="end"/>
      </w:r>
      <w:bookmarkEnd w:id="180"/>
      <w:r>
        <w:rPr>
          <w:sz w:val="28"/>
        </w:rPr>
        <w:t xml:space="preserve"> </w:t>
      </w:r>
      <w:r>
        <w:rPr>
          <w:rFonts w:hint="eastAsia"/>
          <w:sz w:val="28"/>
        </w:rPr>
        <w:t>建设规模计划表</w:t>
      </w:r>
    </w:p>
    <w:tbl>
      <w:tblPr>
        <w:tblStyle w:val="13"/>
        <w:tblW w:w="50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4"/>
        <w:gridCol w:w="4251"/>
        <w:gridCol w:w="1655"/>
        <w:gridCol w:w="1285"/>
        <w:gridCol w:w="13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99" w:type="pct"/>
            <w:vAlign w:val="center"/>
          </w:tcPr>
          <w:p>
            <w:pPr>
              <w:ind w:firstLine="0" w:firstLineChars="0"/>
              <w:jc w:val="center"/>
              <w:rPr>
                <w:sz w:val="24"/>
                <w:szCs w:val="24"/>
              </w:rPr>
            </w:pPr>
            <w:r>
              <w:rPr>
                <w:rFonts w:hint="eastAsia"/>
                <w:sz w:val="24"/>
                <w:szCs w:val="24"/>
              </w:rPr>
              <w:t>序号</w:t>
            </w:r>
          </w:p>
        </w:tc>
        <w:tc>
          <w:tcPr>
            <w:tcW w:w="2338" w:type="pct"/>
            <w:shd w:val="clear" w:color="auto" w:fill="auto"/>
            <w:noWrap/>
            <w:vAlign w:val="center"/>
          </w:tcPr>
          <w:p>
            <w:pPr>
              <w:ind w:firstLine="0" w:firstLineChars="0"/>
              <w:jc w:val="center"/>
              <w:rPr>
                <w:sz w:val="24"/>
                <w:szCs w:val="24"/>
              </w:rPr>
            </w:pPr>
            <w:r>
              <w:rPr>
                <w:rFonts w:hint="eastAsia"/>
                <w:sz w:val="24"/>
                <w:szCs w:val="24"/>
              </w:rPr>
              <w:t>项目名称</w:t>
            </w:r>
          </w:p>
        </w:tc>
        <w:tc>
          <w:tcPr>
            <w:tcW w:w="910" w:type="pct"/>
            <w:vAlign w:val="center"/>
          </w:tcPr>
          <w:p>
            <w:pPr>
              <w:ind w:firstLine="0" w:firstLineChars="0"/>
              <w:jc w:val="center"/>
              <w:rPr>
                <w:sz w:val="24"/>
                <w:szCs w:val="24"/>
              </w:rPr>
            </w:pPr>
            <w:r>
              <w:rPr>
                <w:rFonts w:hint="eastAsia"/>
                <w:sz w:val="24"/>
                <w:szCs w:val="24"/>
              </w:rPr>
              <w:t>类型</w:t>
            </w:r>
          </w:p>
        </w:tc>
        <w:tc>
          <w:tcPr>
            <w:tcW w:w="707" w:type="pct"/>
            <w:tcBorders>
              <w:bottom w:val="single" w:color="auto" w:sz="6" w:space="0"/>
            </w:tcBorders>
            <w:shd w:val="clear" w:color="auto" w:fill="auto"/>
            <w:noWrap/>
            <w:vAlign w:val="center"/>
          </w:tcPr>
          <w:p>
            <w:pPr>
              <w:ind w:firstLine="0" w:firstLineChars="0"/>
              <w:jc w:val="center"/>
              <w:rPr>
                <w:sz w:val="24"/>
                <w:szCs w:val="24"/>
              </w:rPr>
            </w:pPr>
            <w:r>
              <w:rPr>
                <w:rFonts w:hint="eastAsia"/>
                <w:sz w:val="24"/>
                <w:szCs w:val="24"/>
              </w:rPr>
              <w:t>建设里程</w:t>
            </w:r>
          </w:p>
          <w:p>
            <w:pPr>
              <w:ind w:firstLine="0" w:firstLineChars="0"/>
              <w:jc w:val="center"/>
              <w:rPr>
                <w:sz w:val="24"/>
                <w:szCs w:val="24"/>
              </w:rPr>
            </w:pPr>
            <w:r>
              <w:rPr>
                <w:rFonts w:hint="eastAsia"/>
                <w:sz w:val="24"/>
                <w:szCs w:val="24"/>
              </w:rPr>
              <w:t>（公里）</w:t>
            </w:r>
          </w:p>
        </w:tc>
        <w:tc>
          <w:tcPr>
            <w:tcW w:w="746" w:type="pct"/>
            <w:tcBorders>
              <w:top w:val="single" w:color="auto" w:sz="12" w:space="0"/>
              <w:bottom w:val="single" w:color="auto" w:sz="6" w:space="0"/>
            </w:tcBorders>
            <w:vAlign w:val="center"/>
          </w:tcPr>
          <w:p>
            <w:pPr>
              <w:ind w:firstLine="0" w:firstLineChars="0"/>
              <w:jc w:val="center"/>
              <w:rPr>
                <w:sz w:val="24"/>
                <w:szCs w:val="24"/>
              </w:rPr>
            </w:pPr>
            <w:r>
              <w:rPr>
                <w:rFonts w:hint="eastAsia"/>
                <w:sz w:val="24"/>
                <w:szCs w:val="24"/>
              </w:rPr>
              <w:t>建设资金</w:t>
            </w:r>
          </w:p>
          <w:p>
            <w:pPr>
              <w:ind w:firstLine="0" w:firstLineChars="0"/>
              <w:jc w:val="center"/>
              <w:rPr>
                <w:sz w:val="24"/>
                <w:szCs w:val="24"/>
              </w:rPr>
            </w:pPr>
            <w:r>
              <w:rPr>
                <w:rFonts w:hint="eastAsia"/>
                <w:sz w:val="24"/>
                <w:szCs w:val="24"/>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1</w:t>
            </w:r>
          </w:p>
        </w:tc>
        <w:tc>
          <w:tcPr>
            <w:tcW w:w="2338" w:type="pct"/>
            <w:shd w:val="clear" w:color="FFFFFF" w:fill="FFFFFF"/>
            <w:noWrap/>
            <w:vAlign w:val="center"/>
          </w:tcPr>
          <w:p>
            <w:pPr>
              <w:widowControl/>
              <w:ind w:firstLine="0" w:firstLineChars="0"/>
              <w:jc w:val="center"/>
              <w:rPr>
                <w:rFonts w:ascii="宋体" w:hAnsi="宋体" w:eastAsia="宋体"/>
                <w:color w:val="000000"/>
                <w:sz w:val="22"/>
                <w:szCs w:val="20"/>
              </w:rPr>
            </w:pPr>
            <w:r>
              <w:rPr>
                <w:rFonts w:hint="eastAsia" w:ascii="宋体" w:hAnsi="宋体" w:eastAsia="宋体"/>
                <w:color w:val="000000"/>
                <w:sz w:val="22"/>
                <w:szCs w:val="20"/>
              </w:rPr>
              <w:t>合计</w:t>
            </w:r>
          </w:p>
        </w:tc>
        <w:tc>
          <w:tcPr>
            <w:tcW w:w="910" w:type="pct"/>
            <w:vAlign w:val="center"/>
          </w:tcPr>
          <w:p>
            <w:pPr>
              <w:ind w:firstLine="0" w:firstLineChars="0"/>
              <w:jc w:val="center"/>
              <w:rPr>
                <w:sz w:val="24"/>
                <w:szCs w:val="24"/>
              </w:rPr>
            </w:pPr>
            <w:r>
              <w:rPr>
                <w:rFonts w:hint="eastAsia"/>
                <w:sz w:val="24"/>
                <w:szCs w:val="24"/>
              </w:rPr>
              <w:t>新、改建</w:t>
            </w:r>
          </w:p>
        </w:tc>
        <w:tc>
          <w:tcPr>
            <w:tcW w:w="707" w:type="pct"/>
            <w:tcBorders>
              <w:top w:val="nil"/>
              <w:left w:val="nil"/>
              <w:bottom w:val="single" w:color="000000" w:sz="8" w:space="0"/>
              <w:right w:val="single" w:color="000000" w:sz="8" w:space="0"/>
            </w:tcBorders>
            <w:shd w:val="clear" w:color="000000" w:fill="FFFFFF"/>
            <w:noWrap/>
            <w:vAlign w:val="center"/>
          </w:tcPr>
          <w:p>
            <w:pPr>
              <w:widowControl/>
              <w:ind w:firstLine="0" w:firstLineChars="0"/>
              <w:jc w:val="center"/>
              <w:rPr>
                <w:rFonts w:eastAsia="等线" w:cs="Times New Roman"/>
                <w:color w:val="000000"/>
                <w:sz w:val="24"/>
                <w:szCs w:val="24"/>
              </w:rPr>
            </w:pPr>
            <w:r>
              <w:rPr>
                <w:rFonts w:eastAsia="等线" w:cs="Times New Roman"/>
                <w:color w:val="000000"/>
                <w:sz w:val="24"/>
                <w:szCs w:val="24"/>
              </w:rPr>
              <w:t>422.583</w:t>
            </w:r>
          </w:p>
        </w:tc>
        <w:tc>
          <w:tcPr>
            <w:tcW w:w="746" w:type="pct"/>
            <w:shd w:val="clear" w:color="FFFFFF" w:fill="FFFFFF"/>
            <w:vAlign w:val="center"/>
          </w:tcPr>
          <w:p>
            <w:pPr>
              <w:ind w:firstLine="0" w:firstLineChars="0"/>
              <w:jc w:val="center"/>
              <w:rPr>
                <w:color w:val="000000"/>
                <w:sz w:val="24"/>
                <w:szCs w:val="24"/>
              </w:rPr>
            </w:pPr>
            <w:r>
              <w:rPr>
                <w:color w:val="000000"/>
                <w:sz w:val="24"/>
                <w:szCs w:val="24"/>
              </w:rPr>
              <w:t>105170.5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2</w:t>
            </w:r>
          </w:p>
        </w:tc>
        <w:tc>
          <w:tcPr>
            <w:tcW w:w="2338" w:type="pct"/>
            <w:shd w:val="clear" w:color="FFFFFF" w:fill="FFFFFF"/>
            <w:noWrap/>
            <w:vAlign w:val="center"/>
          </w:tcPr>
          <w:p>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910" w:type="pct"/>
            <w:vAlign w:val="center"/>
          </w:tcPr>
          <w:p>
            <w:pPr>
              <w:ind w:firstLine="0" w:firstLineChars="0"/>
              <w:jc w:val="center"/>
              <w:rPr>
                <w:sz w:val="24"/>
                <w:szCs w:val="24"/>
              </w:rPr>
            </w:pPr>
            <w:r>
              <w:rPr>
                <w:rFonts w:hint="eastAsia"/>
                <w:sz w:val="24"/>
                <w:szCs w:val="24"/>
              </w:rPr>
              <w:t>新、改建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92.735</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1296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3</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建制村通双车道公路改造建设</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73.618</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9802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4</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乡镇通三级及以上公路建设</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rFonts w:hint="eastAsia"/>
                <w:color w:val="000000"/>
                <w:sz w:val="24"/>
                <w:szCs w:val="24"/>
              </w:rPr>
              <w:t>90.201</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5558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5</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县乡公路改造</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000000" w:sz="4"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137.877</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8071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9" w:type="pct"/>
            <w:vAlign w:val="center"/>
          </w:tcPr>
          <w:p>
            <w:pPr>
              <w:ind w:firstLine="0" w:firstLineChars="0"/>
              <w:jc w:val="center"/>
              <w:rPr>
                <w:sz w:val="24"/>
                <w:szCs w:val="24"/>
              </w:rPr>
            </w:pPr>
            <w:r>
              <w:rPr>
                <w:rFonts w:hint="eastAsia"/>
                <w:sz w:val="24"/>
                <w:szCs w:val="24"/>
              </w:rPr>
              <w:t>6</w:t>
            </w:r>
          </w:p>
        </w:tc>
        <w:tc>
          <w:tcPr>
            <w:tcW w:w="2338" w:type="pct"/>
            <w:shd w:val="clear" w:color="FFFFFF" w:fill="FFFFFF"/>
            <w:noWrap/>
            <w:vAlign w:val="center"/>
          </w:tcPr>
          <w:p>
            <w:pPr>
              <w:ind w:firstLine="0" w:firstLineChars="0"/>
              <w:jc w:val="center"/>
              <w:rPr>
                <w:color w:val="000000"/>
                <w:sz w:val="24"/>
                <w:szCs w:val="24"/>
              </w:rPr>
            </w:pPr>
            <w:r>
              <w:rPr>
                <w:rFonts w:hint="eastAsia"/>
                <w:color w:val="000000"/>
                <w:sz w:val="24"/>
                <w:szCs w:val="24"/>
              </w:rPr>
              <w:t>村道安防工程</w:t>
            </w:r>
          </w:p>
        </w:tc>
        <w:tc>
          <w:tcPr>
            <w:tcW w:w="910" w:type="pct"/>
            <w:vAlign w:val="center"/>
          </w:tcPr>
          <w:p>
            <w:pPr>
              <w:ind w:firstLine="0" w:firstLineChars="0"/>
              <w:jc w:val="center"/>
              <w:rPr>
                <w:sz w:val="24"/>
                <w:szCs w:val="24"/>
              </w:rPr>
            </w:pPr>
            <w:r>
              <w:rPr>
                <w:rFonts w:hint="eastAsia"/>
                <w:sz w:val="24"/>
                <w:szCs w:val="24"/>
              </w:rPr>
              <w:t>改建</w:t>
            </w:r>
          </w:p>
        </w:tc>
        <w:tc>
          <w:tcPr>
            <w:tcW w:w="707" w:type="pct"/>
            <w:tcBorders>
              <w:top w:val="single" w:color="000000" w:sz="4" w:space="0"/>
              <w:left w:val="nil"/>
              <w:bottom w:val="single" w:color="auto" w:sz="12" w:space="0"/>
              <w:right w:val="single" w:color="000000" w:sz="4" w:space="0"/>
            </w:tcBorders>
            <w:shd w:val="clear" w:color="FFFFFF" w:fill="FFFFFF"/>
            <w:noWrap/>
            <w:vAlign w:val="center"/>
          </w:tcPr>
          <w:p>
            <w:pPr>
              <w:ind w:firstLine="0" w:firstLineChars="0"/>
              <w:jc w:val="center"/>
              <w:rPr>
                <w:color w:val="000000"/>
                <w:sz w:val="24"/>
                <w:szCs w:val="24"/>
              </w:rPr>
            </w:pPr>
            <w:r>
              <w:rPr>
                <w:color w:val="000000"/>
                <w:sz w:val="24"/>
                <w:szCs w:val="24"/>
              </w:rPr>
              <w:t>28.152</w:t>
            </w:r>
          </w:p>
        </w:tc>
        <w:tc>
          <w:tcPr>
            <w:tcW w:w="746" w:type="pct"/>
            <w:shd w:val="clear" w:color="FFFFFF" w:fill="FFFFFF"/>
            <w:vAlign w:val="center"/>
          </w:tcPr>
          <w:p>
            <w:pPr>
              <w:ind w:firstLine="0" w:firstLineChars="0"/>
              <w:jc w:val="center"/>
              <w:rPr>
                <w:color w:val="000000"/>
                <w:sz w:val="24"/>
                <w:szCs w:val="24"/>
              </w:rPr>
            </w:pPr>
            <w:r>
              <w:rPr>
                <w:rFonts w:hint="eastAsia"/>
                <w:color w:val="000000"/>
                <w:sz w:val="24"/>
                <w:szCs w:val="24"/>
              </w:rPr>
              <w:t>4</w:t>
            </w:r>
            <w:r>
              <w:rPr>
                <w:color w:val="000000"/>
                <w:sz w:val="24"/>
                <w:szCs w:val="24"/>
              </w:rPr>
              <w:t>43.5</w:t>
            </w:r>
          </w:p>
        </w:tc>
      </w:tr>
    </w:tbl>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sz w:val="28"/>
        </w:rPr>
      </w:pPr>
    </w:p>
    <w:p>
      <w:pPr>
        <w:ind w:firstLine="0" w:firstLineChars="0"/>
        <w:jc w:val="center"/>
        <w:rPr>
          <w:rFonts w:cs="Times New Roman"/>
          <w:b/>
          <w:sz w:val="28"/>
          <w:szCs w:val="28"/>
        </w:rPr>
      </w:pPr>
      <w:r>
        <w:rPr>
          <w:rFonts w:hint="eastAsia" w:cs="Times New Roman"/>
          <w:b/>
          <w:sz w:val="28"/>
          <w:szCs w:val="28"/>
        </w:rPr>
        <w:t>表</w:t>
      </w:r>
      <w:r>
        <w:rPr>
          <w:rFonts w:cs="Times New Roman"/>
          <w:b/>
          <w:sz w:val="28"/>
          <w:szCs w:val="28"/>
        </w:rPr>
        <w:t xml:space="preserve">8-2 </w:t>
      </w:r>
      <w:r>
        <w:rPr>
          <w:rFonts w:hint="eastAsia" w:cs="Times New Roman"/>
          <w:b/>
          <w:sz w:val="28"/>
          <w:szCs w:val="28"/>
        </w:rPr>
        <w:t>阳城县农村公路“十四五”建设项目分年度实施一览表</w:t>
      </w:r>
    </w:p>
    <w:p>
      <w:pPr>
        <w:ind w:firstLine="0" w:firstLineChars="0"/>
        <w:jc w:val="right"/>
        <w:rPr>
          <w:rFonts w:ascii="宋体" w:hAnsi="宋体" w:eastAsia="宋体" w:cs="宋体"/>
          <w:color w:val="000000"/>
          <w:kern w:val="0"/>
          <w:sz w:val="22"/>
          <w:lang w:bidi="ar"/>
        </w:rPr>
      </w:pPr>
      <w:r>
        <w:rPr>
          <w:rFonts w:hint="eastAsia" w:ascii="宋体" w:hAnsi="宋体" w:eastAsia="宋体" w:cs="宋体"/>
          <w:color w:val="000000"/>
          <w:kern w:val="0"/>
          <w:sz w:val="22"/>
          <w:lang w:bidi="ar"/>
        </w:rPr>
        <w:t>单位：万元</w:t>
      </w:r>
    </w:p>
    <w:tbl>
      <w:tblPr>
        <w:tblStyle w:val="13"/>
        <w:tblW w:w="50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574"/>
        <w:gridCol w:w="2208"/>
        <w:gridCol w:w="1008"/>
        <w:gridCol w:w="1033"/>
        <w:gridCol w:w="987"/>
        <w:gridCol w:w="987"/>
        <w:gridCol w:w="1056"/>
        <w:gridCol w:w="10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restar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序号</w:t>
            </w:r>
          </w:p>
        </w:tc>
        <w:tc>
          <w:tcPr>
            <w:tcW w:w="1240" w:type="pct"/>
            <w:vMerge w:val="restar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项目名称</w:t>
            </w:r>
          </w:p>
        </w:tc>
        <w:tc>
          <w:tcPr>
            <w:tcW w:w="3437" w:type="pct"/>
            <w:gridSpan w:val="6"/>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实施年度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Merge w:val="continue"/>
            <w:vAlign w:val="center"/>
          </w:tcPr>
          <w:p>
            <w:pPr>
              <w:ind w:firstLine="0" w:firstLineChars="0"/>
              <w:jc w:val="center"/>
              <w:rPr>
                <w:rFonts w:ascii="仿宋" w:hAnsi="仿宋" w:eastAsia="仿宋" w:cs="宋体"/>
                <w:color w:val="000000"/>
                <w:kern w:val="0"/>
                <w:sz w:val="24"/>
                <w:szCs w:val="24"/>
              </w:rPr>
            </w:pPr>
          </w:p>
        </w:tc>
        <w:tc>
          <w:tcPr>
            <w:tcW w:w="1240" w:type="pct"/>
            <w:vMerge w:val="continue"/>
            <w:vAlign w:val="center"/>
          </w:tcPr>
          <w:p>
            <w:pPr>
              <w:ind w:firstLine="0" w:firstLineChars="0"/>
              <w:jc w:val="center"/>
              <w:rPr>
                <w:rFonts w:ascii="仿宋" w:hAnsi="仿宋" w:eastAsia="仿宋" w:cs="宋体"/>
                <w:color w:val="000000"/>
                <w:kern w:val="0"/>
                <w:sz w:val="24"/>
                <w:szCs w:val="24"/>
              </w:rPr>
            </w:pPr>
          </w:p>
        </w:tc>
        <w:tc>
          <w:tcPr>
            <w:tcW w:w="566"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小计</w:t>
            </w:r>
          </w:p>
        </w:tc>
        <w:tc>
          <w:tcPr>
            <w:tcW w:w="580"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21</w:t>
            </w:r>
            <w:r>
              <w:rPr>
                <w:rFonts w:hint="eastAsia" w:ascii="仿宋" w:hAnsi="仿宋" w:eastAsia="仿宋" w:cs="宋体"/>
                <w:color w:val="000000"/>
                <w:kern w:val="0"/>
                <w:sz w:val="24"/>
                <w:szCs w:val="24"/>
                <w:lang w:bidi="ar"/>
              </w:rPr>
              <w:t>年</w:t>
            </w:r>
          </w:p>
        </w:tc>
        <w:tc>
          <w:tcPr>
            <w:tcW w:w="554"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22</w:t>
            </w:r>
            <w:r>
              <w:rPr>
                <w:rFonts w:hint="eastAsia" w:ascii="仿宋" w:hAnsi="仿宋" w:eastAsia="仿宋" w:cs="宋体"/>
                <w:color w:val="000000"/>
                <w:kern w:val="0"/>
                <w:sz w:val="24"/>
                <w:szCs w:val="24"/>
                <w:lang w:bidi="ar"/>
              </w:rPr>
              <w:t>年</w:t>
            </w:r>
          </w:p>
        </w:tc>
        <w:tc>
          <w:tcPr>
            <w:tcW w:w="554"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w:t>
            </w:r>
            <w:r>
              <w:rPr>
                <w:rFonts w:ascii="仿宋" w:hAnsi="仿宋" w:eastAsia="仿宋" w:cs="宋体"/>
                <w:color w:val="000000"/>
                <w:kern w:val="0"/>
                <w:sz w:val="24"/>
                <w:szCs w:val="24"/>
                <w:lang w:bidi="ar"/>
              </w:rPr>
              <w:t>23</w:t>
            </w:r>
            <w:r>
              <w:rPr>
                <w:rFonts w:hint="eastAsia" w:ascii="仿宋" w:hAnsi="仿宋" w:eastAsia="仿宋" w:cs="宋体"/>
                <w:color w:val="000000"/>
                <w:kern w:val="0"/>
                <w:sz w:val="24"/>
                <w:szCs w:val="24"/>
                <w:lang w:bidi="ar"/>
              </w:rPr>
              <w:t>年</w:t>
            </w:r>
          </w:p>
        </w:tc>
        <w:tc>
          <w:tcPr>
            <w:tcW w:w="59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202</w:t>
            </w:r>
            <w:r>
              <w:rPr>
                <w:rFonts w:ascii="仿宋" w:hAnsi="仿宋" w:eastAsia="仿宋" w:cs="宋体"/>
                <w:color w:val="000000"/>
                <w:kern w:val="0"/>
                <w:sz w:val="24"/>
                <w:szCs w:val="24"/>
                <w:lang w:bidi="ar"/>
              </w:rPr>
              <w:t>4</w:t>
            </w:r>
            <w:r>
              <w:rPr>
                <w:rFonts w:hint="eastAsia" w:ascii="仿宋" w:hAnsi="仿宋" w:eastAsia="仿宋" w:cs="宋体"/>
                <w:color w:val="000000"/>
                <w:kern w:val="0"/>
                <w:sz w:val="24"/>
                <w:szCs w:val="24"/>
                <w:lang w:bidi="ar"/>
              </w:rPr>
              <w:t>年</w:t>
            </w:r>
          </w:p>
        </w:tc>
        <w:tc>
          <w:tcPr>
            <w:tcW w:w="590" w:type="pct"/>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2</w:t>
            </w:r>
            <w:r>
              <w:rPr>
                <w:rFonts w:ascii="仿宋" w:hAnsi="仿宋" w:eastAsia="仿宋" w:cs="宋体"/>
                <w:color w:val="000000"/>
                <w:kern w:val="0"/>
                <w:sz w:val="24"/>
                <w:szCs w:val="24"/>
                <w:lang w:bidi="ar"/>
              </w:rPr>
              <w:t>025</w:t>
            </w:r>
            <w:r>
              <w:rPr>
                <w:rFonts w:hint="eastAsia" w:ascii="仿宋" w:hAnsi="仿宋" w:eastAsia="仿宋" w:cs="宋体"/>
                <w:color w:val="000000"/>
                <w:kern w:val="0"/>
                <w:sz w:val="24"/>
                <w:szCs w:val="24"/>
                <w:lang w:bidi="ar"/>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ind w:firstLine="0" w:firstLineChars="0"/>
              <w:jc w:val="center"/>
              <w:rPr>
                <w:rFonts w:ascii="仿宋" w:hAnsi="仿宋" w:eastAsia="仿宋" w:cs="宋体"/>
                <w:color w:val="000000"/>
                <w:kern w:val="0"/>
                <w:sz w:val="24"/>
                <w:szCs w:val="24"/>
              </w:rPr>
            </w:pPr>
          </w:p>
        </w:tc>
        <w:tc>
          <w:tcPr>
            <w:tcW w:w="1240"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合计</w:t>
            </w:r>
          </w:p>
        </w:tc>
        <w:tc>
          <w:tcPr>
            <w:tcW w:w="566" w:type="pct"/>
            <w:shd w:val="clear" w:color="FFFFFF" w:fill="FFFFFF"/>
            <w:vAlign w:val="center"/>
          </w:tcPr>
          <w:p>
            <w:pPr>
              <w:ind w:firstLine="0" w:firstLineChars="0"/>
              <w:jc w:val="center"/>
              <w:rPr>
                <w:color w:val="000000"/>
                <w:sz w:val="24"/>
                <w:szCs w:val="24"/>
              </w:rPr>
            </w:pPr>
            <w:r>
              <w:rPr>
                <w:color w:val="000000"/>
                <w:sz w:val="24"/>
                <w:szCs w:val="24"/>
              </w:rPr>
              <w:t>105170.5</w:t>
            </w:r>
          </w:p>
        </w:tc>
        <w:tc>
          <w:tcPr>
            <w:tcW w:w="580" w:type="pct"/>
            <w:shd w:val="clear" w:color="FFFFFF" w:fill="FFFFFF"/>
            <w:vAlign w:val="center"/>
          </w:tcPr>
          <w:p>
            <w:pPr>
              <w:ind w:firstLine="0" w:firstLineChars="0"/>
              <w:jc w:val="center"/>
              <w:rPr>
                <w:color w:val="000000"/>
                <w:sz w:val="24"/>
                <w:szCs w:val="24"/>
              </w:rPr>
            </w:pPr>
            <w:r>
              <w:rPr>
                <w:color w:val="000000"/>
                <w:sz w:val="24"/>
                <w:szCs w:val="24"/>
              </w:rPr>
              <w:t>42855</w:t>
            </w:r>
          </w:p>
        </w:tc>
        <w:tc>
          <w:tcPr>
            <w:tcW w:w="554" w:type="pct"/>
            <w:shd w:val="clear" w:color="FFFFFF" w:fill="FFFFFF"/>
            <w:vAlign w:val="center"/>
          </w:tcPr>
          <w:p>
            <w:pPr>
              <w:ind w:firstLine="0" w:firstLineChars="0"/>
              <w:jc w:val="center"/>
              <w:rPr>
                <w:color w:val="000000"/>
                <w:sz w:val="24"/>
                <w:szCs w:val="24"/>
              </w:rPr>
            </w:pPr>
            <w:r>
              <w:rPr>
                <w:color w:val="000000"/>
                <w:sz w:val="24"/>
                <w:szCs w:val="24"/>
              </w:rPr>
              <w:t>20304.5</w:t>
            </w:r>
          </w:p>
        </w:tc>
        <w:tc>
          <w:tcPr>
            <w:tcW w:w="554" w:type="pct"/>
            <w:shd w:val="clear" w:color="FFFFFF" w:fill="FFFFFF"/>
            <w:vAlign w:val="center"/>
          </w:tcPr>
          <w:p>
            <w:pPr>
              <w:ind w:firstLine="0" w:firstLineChars="0"/>
              <w:jc w:val="center"/>
              <w:rPr>
                <w:color w:val="000000"/>
                <w:sz w:val="24"/>
                <w:szCs w:val="24"/>
              </w:rPr>
            </w:pPr>
            <w:r>
              <w:rPr>
                <w:color w:val="000000"/>
                <w:sz w:val="24"/>
                <w:szCs w:val="24"/>
              </w:rPr>
              <w:t>19321</w:t>
            </w:r>
          </w:p>
        </w:tc>
        <w:tc>
          <w:tcPr>
            <w:tcW w:w="593" w:type="pct"/>
            <w:shd w:val="clear" w:color="FFFFFF" w:fill="FFFFFF"/>
            <w:vAlign w:val="center"/>
          </w:tcPr>
          <w:p>
            <w:pPr>
              <w:ind w:firstLine="0" w:firstLineChars="0"/>
              <w:jc w:val="center"/>
              <w:rPr>
                <w:color w:val="000000"/>
                <w:sz w:val="24"/>
                <w:szCs w:val="24"/>
              </w:rPr>
            </w:pPr>
            <w:r>
              <w:rPr>
                <w:color w:val="000000"/>
                <w:sz w:val="24"/>
                <w:szCs w:val="24"/>
              </w:rPr>
              <w:t>16103</w:t>
            </w:r>
          </w:p>
        </w:tc>
        <w:tc>
          <w:tcPr>
            <w:tcW w:w="590" w:type="pct"/>
            <w:shd w:val="clear" w:color="FFFFFF" w:fill="FFFFFF"/>
            <w:vAlign w:val="center"/>
          </w:tcPr>
          <w:p>
            <w:pPr>
              <w:ind w:firstLine="0" w:firstLineChars="0"/>
              <w:jc w:val="center"/>
              <w:rPr>
                <w:color w:val="000000"/>
                <w:sz w:val="24"/>
                <w:szCs w:val="24"/>
              </w:rPr>
            </w:pPr>
            <w:r>
              <w:rPr>
                <w:color w:val="000000"/>
                <w:sz w:val="24"/>
                <w:szCs w:val="24"/>
              </w:rPr>
              <w:t>6587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1</w:t>
            </w:r>
          </w:p>
        </w:tc>
        <w:tc>
          <w:tcPr>
            <w:tcW w:w="1240" w:type="pct"/>
            <w:shd w:val="clear" w:color="FFFFFF" w:fill="FFFFFF"/>
            <w:vAlign w:val="center"/>
          </w:tcPr>
          <w:p>
            <w:pPr>
              <w:widowControl/>
              <w:ind w:firstLine="0" w:firstLineChars="0"/>
              <w:jc w:val="center"/>
              <w:rPr>
                <w:rFonts w:eastAsia="宋体"/>
                <w:color w:val="000000"/>
                <w:sz w:val="24"/>
                <w:szCs w:val="24"/>
              </w:rPr>
            </w:pPr>
            <w:r>
              <w:rPr>
                <w:rFonts w:hint="eastAsia"/>
                <w:color w:val="000000"/>
                <w:sz w:val="24"/>
                <w:szCs w:val="24"/>
              </w:rPr>
              <w:t>自然村通硬化路</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1296</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198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298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912</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438</w:t>
            </w:r>
          </w:p>
        </w:tc>
        <w:tc>
          <w:tcPr>
            <w:tcW w:w="590"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450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2</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建制村通双车道公路改造建设</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9802</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3515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055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332</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900</w:t>
            </w:r>
          </w:p>
        </w:tc>
        <w:tc>
          <w:tcPr>
            <w:tcW w:w="590" w:type="pct"/>
            <w:shd w:val="clear" w:color="FFFFFF" w:fill="FFFFFF"/>
            <w:vAlign w:val="center"/>
          </w:tcPr>
          <w:p>
            <w:pPr>
              <w:ind w:firstLine="0" w:firstLineChars="0"/>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3</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乡镇通三级及以上公路建设</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5558</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8</w:t>
            </w:r>
            <w:r>
              <w:rPr>
                <w:color w:val="000000"/>
                <w:sz w:val="24"/>
                <w:szCs w:val="24"/>
              </w:rPr>
              <w:t>448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2410</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7</w:t>
            </w:r>
            <w:r>
              <w:rPr>
                <w:color w:val="000000"/>
                <w:sz w:val="24"/>
                <w:szCs w:val="24"/>
              </w:rPr>
              <w:t>200</w:t>
            </w:r>
          </w:p>
        </w:tc>
        <w:tc>
          <w:tcPr>
            <w:tcW w:w="593" w:type="pct"/>
            <w:shd w:val="clear" w:color="FFFFFF" w:fill="FFFFFF"/>
            <w:vAlign w:val="center"/>
          </w:tcPr>
          <w:p>
            <w:pPr>
              <w:ind w:firstLine="0" w:firstLineChars="0"/>
              <w:jc w:val="center"/>
              <w:rPr>
                <w:color w:val="000000"/>
                <w:sz w:val="24"/>
                <w:szCs w:val="24"/>
              </w:rPr>
            </w:pPr>
            <w:r>
              <w:rPr>
                <w:color w:val="000000"/>
                <w:sz w:val="24"/>
                <w:szCs w:val="24"/>
              </w:rPr>
              <w:t>7500</w:t>
            </w:r>
          </w:p>
        </w:tc>
        <w:tc>
          <w:tcPr>
            <w:tcW w:w="590" w:type="pct"/>
            <w:shd w:val="clear" w:color="FFFFFF" w:fill="FFFFFF"/>
            <w:vAlign w:val="center"/>
          </w:tcPr>
          <w:p>
            <w:pPr>
              <w:ind w:firstLine="0" w:firstLineChars="0"/>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rPr>
            </w:pPr>
            <w:r>
              <w:rPr>
                <w:rFonts w:hint="eastAsia" w:ascii="仿宋" w:hAnsi="仿宋" w:eastAsia="仿宋" w:cs="宋体"/>
                <w:color w:val="000000"/>
                <w:kern w:val="0"/>
                <w:sz w:val="24"/>
                <w:szCs w:val="24"/>
                <w:lang w:bidi="ar"/>
              </w:rPr>
              <w:t>4</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县乡公路改造</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8071</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8489</w:t>
            </w:r>
          </w:p>
        </w:tc>
        <w:tc>
          <w:tcPr>
            <w:tcW w:w="554" w:type="pct"/>
            <w:shd w:val="clear" w:color="FFFFFF" w:fill="FFFFFF"/>
            <w:vAlign w:val="center"/>
          </w:tcPr>
          <w:p>
            <w:pPr>
              <w:ind w:firstLine="0" w:firstLineChars="0"/>
              <w:jc w:val="center"/>
              <w:rPr>
                <w:color w:val="000000"/>
                <w:sz w:val="24"/>
                <w:szCs w:val="24"/>
              </w:rPr>
            </w:pPr>
            <w:r>
              <w:rPr>
                <w:color w:val="000000"/>
                <w:sz w:val="24"/>
                <w:szCs w:val="24"/>
              </w:rPr>
              <w:t>3428</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7</w:t>
            </w:r>
            <w:r>
              <w:rPr>
                <w:color w:val="000000"/>
                <w:sz w:val="24"/>
                <w:szCs w:val="24"/>
              </w:rPr>
              <w:t>817</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5</w:t>
            </w:r>
            <w:r>
              <w:rPr>
                <w:color w:val="000000"/>
                <w:sz w:val="24"/>
                <w:szCs w:val="24"/>
              </w:rPr>
              <w:t>200</w:t>
            </w:r>
          </w:p>
        </w:tc>
        <w:tc>
          <w:tcPr>
            <w:tcW w:w="590" w:type="pct"/>
            <w:shd w:val="clear" w:color="FFFFFF" w:fill="FFFFFF"/>
            <w:vAlign w:val="center"/>
          </w:tcPr>
          <w:p>
            <w:pPr>
              <w:ind w:firstLine="0" w:firstLineChars="0"/>
              <w:jc w:val="center"/>
              <w:rPr>
                <w:color w:val="000000"/>
                <w:sz w:val="24"/>
                <w:szCs w:val="24"/>
              </w:rPr>
            </w:pPr>
            <w:r>
              <w:rPr>
                <w:rFonts w:hint="eastAsia"/>
                <w:color w:val="000000"/>
                <w:sz w:val="24"/>
                <w:szCs w:val="24"/>
              </w:rPr>
              <w:t>3</w:t>
            </w:r>
            <w:r>
              <w:rPr>
                <w:color w:val="000000"/>
                <w:sz w:val="24"/>
                <w:szCs w:val="24"/>
              </w:rPr>
              <w:t>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95" w:hRule="atLeast"/>
          <w:jc w:val="center"/>
        </w:trPr>
        <w:tc>
          <w:tcPr>
            <w:tcW w:w="323" w:type="pct"/>
            <w:vAlign w:val="center"/>
          </w:tcPr>
          <w:p>
            <w:pPr>
              <w:widowControl/>
              <w:ind w:firstLine="0" w:firstLineChars="0"/>
              <w:jc w:val="center"/>
              <w:textAlignment w:val="center"/>
              <w:rPr>
                <w:rFonts w:ascii="仿宋" w:hAnsi="仿宋" w:eastAsia="仿宋" w:cs="宋体"/>
                <w:color w:val="000000"/>
                <w:kern w:val="0"/>
                <w:sz w:val="24"/>
                <w:szCs w:val="24"/>
                <w:lang w:bidi="ar"/>
              </w:rPr>
            </w:pPr>
            <w:r>
              <w:rPr>
                <w:rFonts w:hint="eastAsia" w:ascii="仿宋" w:hAnsi="仿宋" w:eastAsia="仿宋" w:cs="宋体"/>
                <w:color w:val="000000"/>
                <w:kern w:val="0"/>
                <w:sz w:val="24"/>
                <w:szCs w:val="24"/>
                <w:lang w:bidi="ar"/>
              </w:rPr>
              <w:t>5</w:t>
            </w:r>
          </w:p>
        </w:tc>
        <w:tc>
          <w:tcPr>
            <w:tcW w:w="1240" w:type="pct"/>
            <w:shd w:val="clear" w:color="FFFFFF" w:fill="FFFFFF"/>
            <w:vAlign w:val="center"/>
          </w:tcPr>
          <w:p>
            <w:pPr>
              <w:ind w:firstLine="0" w:firstLineChars="0"/>
              <w:jc w:val="center"/>
              <w:rPr>
                <w:color w:val="000000"/>
                <w:sz w:val="24"/>
                <w:szCs w:val="24"/>
              </w:rPr>
            </w:pPr>
            <w:r>
              <w:rPr>
                <w:rFonts w:hint="eastAsia"/>
                <w:color w:val="000000"/>
                <w:sz w:val="24"/>
                <w:szCs w:val="24"/>
              </w:rPr>
              <w:t>村道安防工程</w:t>
            </w:r>
          </w:p>
        </w:tc>
        <w:tc>
          <w:tcPr>
            <w:tcW w:w="566" w:type="pct"/>
            <w:shd w:val="clear" w:color="FFFFFF" w:fill="FFFFFF"/>
            <w:vAlign w:val="center"/>
          </w:tcPr>
          <w:p>
            <w:pPr>
              <w:ind w:firstLine="0" w:firstLineChars="0"/>
              <w:jc w:val="center"/>
              <w:rPr>
                <w:color w:val="000000"/>
                <w:sz w:val="24"/>
                <w:szCs w:val="24"/>
              </w:rPr>
            </w:pPr>
            <w:r>
              <w:rPr>
                <w:rFonts w:hint="eastAsia"/>
                <w:color w:val="000000"/>
                <w:sz w:val="24"/>
                <w:szCs w:val="24"/>
              </w:rPr>
              <w:t>4</w:t>
            </w:r>
            <w:r>
              <w:rPr>
                <w:color w:val="000000"/>
                <w:sz w:val="24"/>
                <w:szCs w:val="24"/>
              </w:rPr>
              <w:t>43.5</w:t>
            </w:r>
          </w:p>
        </w:tc>
        <w:tc>
          <w:tcPr>
            <w:tcW w:w="580" w:type="pct"/>
            <w:shd w:val="clear" w:color="FFFFFF" w:fill="FFFFFF"/>
            <w:vAlign w:val="center"/>
          </w:tcPr>
          <w:p>
            <w:pPr>
              <w:ind w:firstLine="0" w:firstLineChars="0"/>
              <w:jc w:val="center"/>
              <w:rPr>
                <w:color w:val="000000"/>
                <w:sz w:val="24"/>
                <w:szCs w:val="24"/>
              </w:rPr>
            </w:pPr>
            <w:r>
              <w:rPr>
                <w:rFonts w:hint="eastAsia"/>
                <w:color w:val="000000"/>
                <w:sz w:val="24"/>
                <w:szCs w:val="24"/>
              </w:rPr>
              <w:t>2</w:t>
            </w:r>
            <w:r>
              <w:rPr>
                <w:color w:val="000000"/>
                <w:sz w:val="24"/>
                <w:szCs w:val="24"/>
              </w:rPr>
              <w:t>05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1</w:t>
            </w:r>
            <w:r>
              <w:rPr>
                <w:color w:val="000000"/>
                <w:sz w:val="24"/>
                <w:szCs w:val="24"/>
              </w:rPr>
              <w:t>13.5</w:t>
            </w:r>
          </w:p>
        </w:tc>
        <w:tc>
          <w:tcPr>
            <w:tcW w:w="554" w:type="pct"/>
            <w:shd w:val="clear" w:color="FFFFFF" w:fill="FFFFFF"/>
            <w:vAlign w:val="center"/>
          </w:tcPr>
          <w:p>
            <w:pPr>
              <w:ind w:firstLine="0" w:firstLineChars="0"/>
              <w:jc w:val="center"/>
              <w:rPr>
                <w:color w:val="000000"/>
                <w:sz w:val="24"/>
                <w:szCs w:val="24"/>
              </w:rPr>
            </w:pPr>
            <w:r>
              <w:rPr>
                <w:rFonts w:hint="eastAsia"/>
                <w:color w:val="000000"/>
                <w:sz w:val="24"/>
                <w:szCs w:val="24"/>
              </w:rPr>
              <w:t>6</w:t>
            </w:r>
            <w:r>
              <w:rPr>
                <w:color w:val="000000"/>
                <w:sz w:val="24"/>
                <w:szCs w:val="24"/>
              </w:rPr>
              <w:t>0</w:t>
            </w:r>
          </w:p>
        </w:tc>
        <w:tc>
          <w:tcPr>
            <w:tcW w:w="593" w:type="pct"/>
            <w:shd w:val="clear" w:color="FFFFFF" w:fill="FFFFFF"/>
            <w:vAlign w:val="center"/>
          </w:tcPr>
          <w:p>
            <w:pPr>
              <w:ind w:firstLine="0" w:firstLineChars="0"/>
              <w:jc w:val="center"/>
              <w:rPr>
                <w:color w:val="000000"/>
                <w:sz w:val="24"/>
                <w:szCs w:val="24"/>
              </w:rPr>
            </w:pPr>
            <w:r>
              <w:rPr>
                <w:rFonts w:hint="eastAsia"/>
                <w:color w:val="000000"/>
                <w:sz w:val="24"/>
                <w:szCs w:val="24"/>
              </w:rPr>
              <w:t>6</w:t>
            </w:r>
            <w:r>
              <w:rPr>
                <w:color w:val="000000"/>
                <w:sz w:val="24"/>
                <w:szCs w:val="24"/>
              </w:rPr>
              <w:t>5</w:t>
            </w:r>
          </w:p>
        </w:tc>
        <w:tc>
          <w:tcPr>
            <w:tcW w:w="590" w:type="pct"/>
            <w:shd w:val="clear" w:color="FFFFFF" w:fill="FFFFFF"/>
            <w:vAlign w:val="center"/>
          </w:tcPr>
          <w:p>
            <w:pPr>
              <w:ind w:firstLine="0" w:firstLineChars="0"/>
              <w:jc w:val="center"/>
              <w:rPr>
                <w:color w:val="000000"/>
                <w:sz w:val="24"/>
                <w:szCs w:val="24"/>
              </w:rPr>
            </w:pPr>
          </w:p>
        </w:tc>
      </w:tr>
    </w:tbl>
    <w:p>
      <w:pPr>
        <w:pStyle w:val="3"/>
        <w:ind w:firstLine="640"/>
        <w:rPr>
          <w:rFonts w:eastAsia="方正楷体简体" w:cs="Times New Roman"/>
          <w:bCs w:val="0"/>
        </w:rPr>
      </w:pPr>
      <w:bookmarkStart w:id="181" w:name="_Toc49243423"/>
      <w:bookmarkStart w:id="182" w:name="_Toc49243349"/>
      <w:r>
        <w:rPr>
          <w:rFonts w:eastAsia="方正楷体简体" w:cs="Times New Roman"/>
          <w:bCs w:val="0"/>
        </w:rPr>
        <w:t>用地规模</w:t>
      </w:r>
      <w:bookmarkEnd w:id="181"/>
      <w:bookmarkEnd w:id="182"/>
    </w:p>
    <w:p>
      <w:pPr>
        <w:ind w:firstLine="640"/>
        <w:rPr>
          <w:rFonts w:cs="Times New Roman"/>
        </w:rPr>
      </w:pPr>
      <w:r>
        <w:rPr>
          <w:rFonts w:hint="eastAsia" w:cs="Times New Roman"/>
        </w:rPr>
        <w:t>由附表可知，根据新建及改建项目公路技术等级和里程匡算出用地规模约为</w:t>
      </w:r>
      <w:r>
        <w:rPr>
          <w:rFonts w:cs="Times New Roman"/>
        </w:rPr>
        <w:t>155</w:t>
      </w:r>
      <w:r>
        <w:rPr>
          <w:rFonts w:hint="eastAsia" w:cs="Times New Roman"/>
        </w:rPr>
        <w:t>公顷。</w:t>
      </w:r>
    </w:p>
    <w:p>
      <w:pPr>
        <w:pStyle w:val="3"/>
        <w:ind w:firstLine="640"/>
        <w:rPr>
          <w:rFonts w:eastAsia="方正楷体简体" w:cs="Times New Roman"/>
          <w:bCs w:val="0"/>
        </w:rPr>
      </w:pPr>
      <w:bookmarkStart w:id="183" w:name="_Toc49243350"/>
      <w:bookmarkStart w:id="184" w:name="_Toc49243424"/>
      <w:r>
        <w:rPr>
          <w:rFonts w:eastAsia="方正楷体简体" w:cs="Times New Roman"/>
          <w:bCs w:val="0"/>
        </w:rPr>
        <w:t>资金需求</w:t>
      </w:r>
      <w:bookmarkEnd w:id="183"/>
      <w:bookmarkEnd w:id="184"/>
    </w:p>
    <w:p>
      <w:pPr>
        <w:ind w:firstLine="640"/>
      </w:pPr>
      <w:r>
        <w:rPr>
          <w:rFonts w:hint="eastAsia"/>
        </w:rPr>
        <w:t>根据规划布局中确定的规划期内建设道路拟采用的技术标准和建设规模，分新建、改造项目及路面改造项目，具体每个项目所需资金见附表。</w:t>
      </w:r>
    </w:p>
    <w:p>
      <w:pPr>
        <w:ind w:firstLine="640"/>
      </w:pPr>
      <w:r>
        <w:rPr>
          <w:rFonts w:hint="eastAsia"/>
        </w:rPr>
        <w:t>本规划项目所需资金合计为</w:t>
      </w:r>
      <w:r>
        <w:t>10.51705</w:t>
      </w:r>
      <w:r>
        <w:rPr>
          <w:rFonts w:hint="eastAsia"/>
        </w:rPr>
        <w:t>亿元，为解决资金瓶颈，确保应县农村公路网规划的顺利实施，除加大政府的投资外，还应对公路建设给予更多的优惠政策；运用市场机制和价值规律，引导和推动交通的投资、建设、经营和管理；同时采用适宜的投融资体制，开辟各种渠道筹集资金。</w:t>
      </w:r>
    </w:p>
    <w:p>
      <w:pPr>
        <w:ind w:firstLine="173" w:firstLineChars="62"/>
        <w:jc w:val="center"/>
      </w:pPr>
      <w:r>
        <w:rPr>
          <w:rFonts w:hint="eastAsia" w:cs="Times New Roman"/>
          <w:sz w:val="28"/>
          <w:szCs w:val="28"/>
        </w:rPr>
        <w:t>表</w:t>
      </w:r>
      <w:r>
        <w:rPr>
          <w:rFonts w:cs="Times New Roman"/>
          <w:sz w:val="28"/>
          <w:szCs w:val="28"/>
        </w:rPr>
        <w:t xml:space="preserve">8-4 </w:t>
      </w:r>
      <w:r>
        <w:rPr>
          <w:rFonts w:hint="eastAsia" w:cs="Times New Roman"/>
          <w:sz w:val="28"/>
          <w:szCs w:val="28"/>
        </w:rPr>
        <w:t>阳城县农村公路“十四五”建设项目分年度实施一览表</w:t>
      </w:r>
    </w:p>
    <w:tbl>
      <w:tblPr>
        <w:tblStyle w:val="13"/>
        <w:tblW w:w="4824" w:type="pct"/>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0"/>
        <w:gridCol w:w="1603"/>
        <w:gridCol w:w="3697"/>
        <w:gridCol w:w="21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761" w:type="pct"/>
            <w:shd w:val="clear" w:color="auto" w:fill="auto"/>
            <w:noWrap/>
            <w:vAlign w:val="center"/>
          </w:tcPr>
          <w:p>
            <w:pPr>
              <w:pStyle w:val="28"/>
            </w:pPr>
            <w:r>
              <w:rPr>
                <w:rFonts w:hint="eastAsia"/>
              </w:rPr>
              <w:t>序号</w:t>
            </w:r>
          </w:p>
        </w:tc>
        <w:tc>
          <w:tcPr>
            <w:tcW w:w="917" w:type="pct"/>
            <w:shd w:val="clear" w:color="auto" w:fill="auto"/>
            <w:noWrap/>
            <w:vAlign w:val="center"/>
          </w:tcPr>
          <w:p>
            <w:pPr>
              <w:pStyle w:val="28"/>
            </w:pPr>
            <w:r>
              <w:rPr>
                <w:rFonts w:hint="eastAsia"/>
              </w:rPr>
              <w:t>年份</w:t>
            </w:r>
          </w:p>
        </w:tc>
        <w:tc>
          <w:tcPr>
            <w:tcW w:w="2115" w:type="pct"/>
            <w:tcBorders>
              <w:top w:val="single" w:color="auto" w:sz="12" w:space="0"/>
              <w:bottom w:val="single" w:color="auto" w:sz="6" w:space="0"/>
            </w:tcBorders>
            <w:shd w:val="clear" w:color="auto" w:fill="auto"/>
            <w:noWrap/>
            <w:vAlign w:val="center"/>
          </w:tcPr>
          <w:p>
            <w:pPr>
              <w:pStyle w:val="28"/>
              <w:rPr>
                <w:rFonts w:cs="Times New Roman"/>
              </w:rPr>
            </w:pPr>
            <w:r>
              <w:rPr>
                <w:rFonts w:cs="Times New Roman"/>
              </w:rPr>
              <w:t>合计（万元）</w:t>
            </w:r>
          </w:p>
        </w:tc>
        <w:tc>
          <w:tcPr>
            <w:tcW w:w="1207" w:type="pct"/>
            <w:tcBorders>
              <w:top w:val="single" w:color="auto" w:sz="12" w:space="0"/>
              <w:bottom w:val="single" w:color="auto" w:sz="6" w:space="0"/>
            </w:tcBorders>
            <w:noWrap/>
            <w:vAlign w:val="center"/>
          </w:tcPr>
          <w:p>
            <w:pPr>
              <w:pStyle w:val="28"/>
              <w:rPr>
                <w:rFonts w:cs="Times New Roman"/>
              </w:rPr>
            </w:pPr>
            <w:r>
              <w:rPr>
                <w:rFonts w:cs="Times New Roma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t>1</w:t>
            </w:r>
          </w:p>
        </w:tc>
        <w:tc>
          <w:tcPr>
            <w:tcW w:w="917" w:type="pct"/>
            <w:shd w:val="clear" w:color="auto" w:fill="auto"/>
            <w:noWrap/>
            <w:vAlign w:val="center"/>
          </w:tcPr>
          <w:p>
            <w:pPr>
              <w:pStyle w:val="28"/>
            </w:pPr>
            <w:r>
              <w:rPr>
                <w:rFonts w:hint="eastAsia"/>
              </w:rPr>
              <w:t>20</w:t>
            </w:r>
            <w:r>
              <w:t>21</w:t>
            </w:r>
          </w:p>
        </w:tc>
        <w:tc>
          <w:tcPr>
            <w:tcW w:w="2115" w:type="pct"/>
            <w:tcBorders>
              <w:top w:val="nil"/>
              <w:left w:val="nil"/>
              <w:bottom w:val="single" w:color="auto" w:sz="8" w:space="0"/>
              <w:right w:val="single" w:color="auto" w:sz="8" w:space="0"/>
            </w:tcBorders>
            <w:shd w:val="clear" w:color="auto" w:fill="auto"/>
            <w:noWrap/>
            <w:vAlign w:val="center"/>
          </w:tcPr>
          <w:p>
            <w:pPr>
              <w:ind w:firstLine="0" w:firstLineChars="0"/>
              <w:jc w:val="center"/>
              <w:rPr>
                <w:sz w:val="24"/>
                <w:szCs w:val="24"/>
              </w:rPr>
            </w:pPr>
            <w:r>
              <w:rPr>
                <w:sz w:val="24"/>
                <w:szCs w:val="24"/>
              </w:rPr>
              <w:t>42855</w:t>
            </w:r>
          </w:p>
        </w:tc>
        <w:tc>
          <w:tcPr>
            <w:tcW w:w="1207" w:type="pct"/>
            <w:tcBorders>
              <w:top w:val="single" w:color="auto" w:sz="6" w:space="0"/>
              <w:left w:val="nil"/>
              <w:bottom w:val="single" w:color="auto" w:sz="8" w:space="0"/>
              <w:right w:val="single" w:color="auto" w:sz="12" w:space="0"/>
            </w:tcBorders>
            <w:shd w:val="clear" w:color="auto" w:fill="auto"/>
            <w:noWrap/>
            <w:vAlign w:val="center"/>
          </w:tcPr>
          <w:p>
            <w:pPr>
              <w:ind w:firstLine="0" w:firstLineChars="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t>2</w:t>
            </w:r>
          </w:p>
        </w:tc>
        <w:tc>
          <w:tcPr>
            <w:tcW w:w="917" w:type="pct"/>
            <w:shd w:val="clear" w:color="auto" w:fill="auto"/>
            <w:noWrap/>
            <w:vAlign w:val="center"/>
          </w:tcPr>
          <w:p>
            <w:pPr>
              <w:pStyle w:val="28"/>
            </w:pPr>
            <w:r>
              <w:rPr>
                <w:rFonts w:hint="eastAsia"/>
              </w:rPr>
              <w:t>20</w:t>
            </w:r>
            <w:r>
              <w:t>22</w:t>
            </w:r>
          </w:p>
        </w:tc>
        <w:tc>
          <w:tcPr>
            <w:tcW w:w="2115" w:type="pct"/>
            <w:tcBorders>
              <w:top w:val="nil"/>
              <w:left w:val="nil"/>
              <w:bottom w:val="single" w:color="auto" w:sz="8" w:space="0"/>
              <w:right w:val="single" w:color="auto" w:sz="8" w:space="0"/>
            </w:tcBorders>
            <w:shd w:val="clear" w:color="auto" w:fill="auto"/>
            <w:noWrap/>
            <w:vAlign w:val="center"/>
          </w:tcPr>
          <w:p>
            <w:pPr>
              <w:ind w:firstLine="0" w:firstLineChars="0"/>
              <w:jc w:val="center"/>
              <w:rPr>
                <w:sz w:val="24"/>
                <w:szCs w:val="24"/>
              </w:rPr>
            </w:pPr>
            <w:r>
              <w:rPr>
                <w:sz w:val="24"/>
                <w:szCs w:val="24"/>
              </w:rPr>
              <w:t>20304.5</w:t>
            </w:r>
          </w:p>
        </w:tc>
        <w:tc>
          <w:tcPr>
            <w:tcW w:w="1207" w:type="pct"/>
            <w:tcBorders>
              <w:top w:val="single" w:color="auto" w:sz="8" w:space="0"/>
              <w:left w:val="nil"/>
              <w:bottom w:val="single" w:color="auto" w:sz="8" w:space="0"/>
              <w:right w:val="single" w:color="auto" w:sz="12" w:space="0"/>
            </w:tcBorders>
            <w:shd w:val="clear" w:color="auto" w:fill="auto"/>
            <w:noWrap/>
            <w:vAlign w:val="center"/>
          </w:tcPr>
          <w:p>
            <w:pPr>
              <w:ind w:firstLine="0" w:firstLineChars="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rPr>
                <w:rFonts w:hint="eastAsia"/>
              </w:rPr>
              <w:t>3</w:t>
            </w:r>
          </w:p>
        </w:tc>
        <w:tc>
          <w:tcPr>
            <w:tcW w:w="917" w:type="pct"/>
            <w:shd w:val="clear" w:color="auto" w:fill="auto"/>
            <w:noWrap/>
            <w:vAlign w:val="center"/>
          </w:tcPr>
          <w:p>
            <w:pPr>
              <w:pStyle w:val="28"/>
            </w:pPr>
            <w:r>
              <w:rPr>
                <w:rFonts w:hint="eastAsia"/>
              </w:rPr>
              <w:t>20</w:t>
            </w:r>
            <w:r>
              <w:t>23</w:t>
            </w:r>
          </w:p>
        </w:tc>
        <w:tc>
          <w:tcPr>
            <w:tcW w:w="2115" w:type="pct"/>
            <w:tcBorders>
              <w:top w:val="nil"/>
              <w:left w:val="nil"/>
              <w:bottom w:val="single" w:color="auto" w:sz="8" w:space="0"/>
              <w:right w:val="single" w:color="auto" w:sz="8" w:space="0"/>
            </w:tcBorders>
            <w:shd w:val="clear" w:color="auto" w:fill="auto"/>
            <w:noWrap/>
            <w:vAlign w:val="center"/>
          </w:tcPr>
          <w:p>
            <w:pPr>
              <w:ind w:firstLine="0" w:firstLineChars="0"/>
              <w:jc w:val="center"/>
              <w:rPr>
                <w:sz w:val="24"/>
                <w:szCs w:val="24"/>
              </w:rPr>
            </w:pPr>
            <w:r>
              <w:rPr>
                <w:sz w:val="24"/>
                <w:szCs w:val="24"/>
              </w:rPr>
              <w:t>19321</w:t>
            </w:r>
          </w:p>
        </w:tc>
        <w:tc>
          <w:tcPr>
            <w:tcW w:w="1207" w:type="pct"/>
            <w:tcBorders>
              <w:top w:val="single" w:color="auto" w:sz="8" w:space="0"/>
              <w:left w:val="nil"/>
              <w:bottom w:val="single" w:color="auto" w:sz="8" w:space="0"/>
              <w:right w:val="single" w:color="auto" w:sz="12" w:space="0"/>
            </w:tcBorders>
            <w:shd w:val="clear" w:color="auto" w:fill="auto"/>
            <w:noWrap/>
            <w:vAlign w:val="center"/>
          </w:tcPr>
          <w:p>
            <w:pPr>
              <w:ind w:firstLine="0" w:firstLineChars="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t>4</w:t>
            </w:r>
          </w:p>
        </w:tc>
        <w:tc>
          <w:tcPr>
            <w:tcW w:w="917" w:type="pct"/>
            <w:shd w:val="clear" w:color="auto" w:fill="auto"/>
            <w:noWrap/>
            <w:vAlign w:val="center"/>
          </w:tcPr>
          <w:p>
            <w:pPr>
              <w:pStyle w:val="28"/>
            </w:pPr>
            <w:r>
              <w:rPr>
                <w:rFonts w:hint="eastAsia"/>
              </w:rPr>
              <w:t>202</w:t>
            </w:r>
            <w:r>
              <w:t>4</w:t>
            </w:r>
          </w:p>
        </w:tc>
        <w:tc>
          <w:tcPr>
            <w:tcW w:w="2115" w:type="pct"/>
            <w:tcBorders>
              <w:top w:val="nil"/>
              <w:left w:val="nil"/>
              <w:bottom w:val="single" w:color="auto" w:sz="8" w:space="0"/>
              <w:right w:val="single" w:color="auto" w:sz="8" w:space="0"/>
            </w:tcBorders>
            <w:shd w:val="clear" w:color="auto" w:fill="auto"/>
            <w:noWrap/>
            <w:vAlign w:val="center"/>
          </w:tcPr>
          <w:p>
            <w:pPr>
              <w:ind w:firstLine="0" w:firstLineChars="0"/>
              <w:jc w:val="center"/>
              <w:rPr>
                <w:sz w:val="24"/>
                <w:szCs w:val="24"/>
              </w:rPr>
            </w:pPr>
            <w:r>
              <w:rPr>
                <w:sz w:val="24"/>
                <w:szCs w:val="24"/>
              </w:rPr>
              <w:t>16103</w:t>
            </w:r>
          </w:p>
        </w:tc>
        <w:tc>
          <w:tcPr>
            <w:tcW w:w="1207" w:type="pct"/>
            <w:tcBorders>
              <w:top w:val="single" w:color="auto" w:sz="8" w:space="0"/>
              <w:left w:val="nil"/>
              <w:bottom w:val="single" w:color="auto" w:sz="8" w:space="0"/>
              <w:right w:val="single" w:color="auto" w:sz="12" w:space="0"/>
            </w:tcBorders>
            <w:shd w:val="clear" w:color="auto" w:fill="auto"/>
            <w:noWrap/>
            <w:vAlign w:val="center"/>
          </w:tcPr>
          <w:p>
            <w:pPr>
              <w:ind w:firstLine="0" w:firstLineChars="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t>5</w:t>
            </w:r>
          </w:p>
        </w:tc>
        <w:tc>
          <w:tcPr>
            <w:tcW w:w="917" w:type="pct"/>
            <w:shd w:val="clear" w:color="auto" w:fill="auto"/>
            <w:noWrap/>
            <w:vAlign w:val="center"/>
          </w:tcPr>
          <w:p>
            <w:pPr>
              <w:pStyle w:val="28"/>
            </w:pPr>
            <w:r>
              <w:rPr>
                <w:rFonts w:hint="eastAsia"/>
              </w:rPr>
              <w:t>2</w:t>
            </w:r>
            <w:r>
              <w:t>025</w:t>
            </w:r>
          </w:p>
        </w:tc>
        <w:tc>
          <w:tcPr>
            <w:tcW w:w="2115" w:type="pct"/>
            <w:tcBorders>
              <w:top w:val="nil"/>
              <w:left w:val="nil"/>
              <w:bottom w:val="single" w:color="auto" w:sz="8" w:space="0"/>
              <w:right w:val="single" w:color="auto" w:sz="8" w:space="0"/>
            </w:tcBorders>
            <w:shd w:val="clear" w:color="auto" w:fill="auto"/>
            <w:noWrap/>
            <w:vAlign w:val="center"/>
          </w:tcPr>
          <w:p>
            <w:pPr>
              <w:ind w:firstLine="0" w:firstLineChars="0"/>
              <w:jc w:val="center"/>
              <w:rPr>
                <w:sz w:val="24"/>
                <w:szCs w:val="24"/>
              </w:rPr>
            </w:pPr>
            <w:r>
              <w:rPr>
                <w:sz w:val="24"/>
                <w:szCs w:val="24"/>
              </w:rPr>
              <w:t>6587</w:t>
            </w:r>
          </w:p>
        </w:tc>
        <w:tc>
          <w:tcPr>
            <w:tcW w:w="1207" w:type="pct"/>
            <w:tcBorders>
              <w:top w:val="single" w:color="auto" w:sz="8" w:space="0"/>
              <w:left w:val="nil"/>
              <w:bottom w:val="single" w:color="auto" w:sz="8" w:space="0"/>
              <w:right w:val="single" w:color="auto" w:sz="12" w:space="0"/>
            </w:tcBorders>
            <w:shd w:val="clear" w:color="auto" w:fill="auto"/>
            <w:noWrap/>
            <w:vAlign w:val="center"/>
          </w:tcPr>
          <w:p>
            <w:pPr>
              <w:ind w:firstLine="0" w:firstLineChars="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61" w:type="pct"/>
            <w:shd w:val="clear" w:color="auto" w:fill="auto"/>
            <w:noWrap/>
            <w:vAlign w:val="center"/>
          </w:tcPr>
          <w:p>
            <w:pPr>
              <w:pStyle w:val="28"/>
            </w:pPr>
            <w:r>
              <w:rPr>
                <w:rFonts w:hint="eastAsia"/>
              </w:rPr>
              <w:t>合计</w:t>
            </w:r>
          </w:p>
        </w:tc>
        <w:tc>
          <w:tcPr>
            <w:tcW w:w="917" w:type="pct"/>
            <w:shd w:val="clear" w:color="auto" w:fill="auto"/>
            <w:noWrap/>
            <w:vAlign w:val="center"/>
          </w:tcPr>
          <w:p>
            <w:pPr>
              <w:pStyle w:val="28"/>
            </w:pPr>
            <w:r>
              <w:rPr>
                <w:rFonts w:hint="eastAsia"/>
              </w:rPr>
              <w:t>合计</w:t>
            </w:r>
          </w:p>
        </w:tc>
        <w:tc>
          <w:tcPr>
            <w:tcW w:w="2115" w:type="pct"/>
            <w:tcBorders>
              <w:top w:val="nil"/>
              <w:left w:val="nil"/>
              <w:bottom w:val="single" w:color="auto" w:sz="12" w:space="0"/>
              <w:right w:val="single" w:color="auto" w:sz="8" w:space="0"/>
            </w:tcBorders>
            <w:shd w:val="clear" w:color="auto" w:fill="auto"/>
            <w:noWrap/>
            <w:vAlign w:val="center"/>
          </w:tcPr>
          <w:p>
            <w:pPr>
              <w:ind w:firstLine="0" w:firstLineChars="0"/>
              <w:jc w:val="center"/>
              <w:rPr>
                <w:sz w:val="24"/>
                <w:szCs w:val="24"/>
              </w:rPr>
            </w:pPr>
            <w:r>
              <w:rPr>
                <w:sz w:val="24"/>
                <w:szCs w:val="24"/>
              </w:rPr>
              <w:t>105170.5</w:t>
            </w:r>
          </w:p>
        </w:tc>
        <w:tc>
          <w:tcPr>
            <w:tcW w:w="1207" w:type="pct"/>
            <w:tcBorders>
              <w:top w:val="single" w:color="auto" w:sz="8" w:space="0"/>
              <w:left w:val="nil"/>
              <w:bottom w:val="single" w:color="auto" w:sz="12" w:space="0"/>
              <w:right w:val="single" w:color="auto" w:sz="12" w:space="0"/>
            </w:tcBorders>
            <w:shd w:val="clear" w:color="auto" w:fill="auto"/>
            <w:noWrap/>
            <w:vAlign w:val="center"/>
          </w:tcPr>
          <w:p>
            <w:pPr>
              <w:ind w:firstLine="0" w:firstLineChars="0"/>
              <w:jc w:val="center"/>
              <w:rPr>
                <w:sz w:val="24"/>
                <w:szCs w:val="24"/>
              </w:rPr>
            </w:pPr>
          </w:p>
        </w:tc>
      </w:tr>
    </w:tbl>
    <w:p>
      <w:pPr>
        <w:ind w:firstLine="0" w:firstLineChars="0"/>
        <w:rPr>
          <w:rFonts w:cs="Times New Roman"/>
        </w:rPr>
      </w:pPr>
    </w:p>
    <w:p>
      <w:pPr>
        <w:pStyle w:val="3"/>
        <w:ind w:firstLine="640"/>
        <w:rPr>
          <w:rFonts w:cs="Times New Roman"/>
        </w:rPr>
        <w:sectPr>
          <w:headerReference r:id="rId21" w:type="default"/>
          <w:pgSz w:w="11906" w:h="16838"/>
          <w:pgMar w:top="1701" w:right="1531" w:bottom="1531" w:left="1531" w:header="851" w:footer="992" w:gutter="0"/>
          <w:cols w:space="425" w:num="1"/>
          <w:docGrid w:type="lines" w:linePitch="312" w:charSpace="0"/>
        </w:sectPr>
      </w:pPr>
    </w:p>
    <w:p>
      <w:pPr>
        <w:pStyle w:val="2"/>
        <w:spacing w:before="156" w:after="156"/>
        <w:ind w:left="1162"/>
        <w:rPr>
          <w:rFonts w:cs="Times New Roman"/>
          <w:bCs w:val="0"/>
        </w:rPr>
      </w:pPr>
      <w:bookmarkStart w:id="185" w:name="_Toc49243351"/>
      <w:bookmarkStart w:id="186" w:name="_Toc49243425"/>
      <w:r>
        <w:rPr>
          <w:rFonts w:cs="Times New Roman"/>
          <w:bCs w:val="0"/>
        </w:rPr>
        <w:t>保障措施</w:t>
      </w:r>
      <w:bookmarkEnd w:id="185"/>
      <w:bookmarkEnd w:id="186"/>
    </w:p>
    <w:p>
      <w:pPr>
        <w:pStyle w:val="3"/>
        <w:keepNext w:val="0"/>
        <w:keepLines w:val="0"/>
        <w:ind w:firstLine="640"/>
      </w:pPr>
      <w:bookmarkStart w:id="187" w:name="_Toc49243426"/>
      <w:bookmarkStart w:id="188" w:name="_Toc49243352"/>
      <w:r>
        <w:rPr>
          <w:rFonts w:hint="eastAsia"/>
        </w:rPr>
        <w:t>强化组织保障</w:t>
      </w:r>
      <w:bookmarkEnd w:id="187"/>
      <w:bookmarkEnd w:id="188"/>
    </w:p>
    <w:p>
      <w:pPr>
        <w:ind w:firstLine="640"/>
        <w:rPr>
          <w:rFonts w:cs="Times New Roman"/>
        </w:rPr>
      </w:pPr>
      <w:r>
        <w:rPr>
          <w:rFonts w:cs="Times New Roman"/>
        </w:rPr>
        <w:t>1、加强组织领导。成立阳城县创建农村公路工作领导小组，组长由县长挂帅，副组长由分管副县长兼任，成员由各有关职能部门和各乡镇组成，办公室设在县交通运输局。各乡镇也设立创建农村公路工作领导小组，由乡镇长亲自主抓，农村公路工作领导小组负责统筹协调和组织指导</w:t>
      </w:r>
      <w:r>
        <w:rPr>
          <w:rFonts w:hint="eastAsia" w:cs="Times New Roman"/>
        </w:rPr>
        <w:t>农村公路“十四五”发展</w:t>
      </w:r>
      <w:r>
        <w:rPr>
          <w:rFonts w:cs="Times New Roman"/>
        </w:rPr>
        <w:t>建设工作，制订工作方案，抓好组织落实，做到任务清晰、责任明确、落实有力。同时，各部门高度重视新闻宣传和舆论引导，大力宣传</w:t>
      </w:r>
      <w:r>
        <w:rPr>
          <w:rFonts w:hint="eastAsia" w:cs="Times New Roman"/>
        </w:rPr>
        <w:t>农村公路发展规划</w:t>
      </w:r>
      <w:r>
        <w:rPr>
          <w:rFonts w:cs="Times New Roman"/>
        </w:rPr>
        <w:t>建设的好经验、好做法以及涌现出的先进集体和先进个人。注重解决好农民群众反映的突出问题，维护好农民群众的合法权益，为农村公路发展创造良好环境。</w:t>
      </w:r>
    </w:p>
    <w:p>
      <w:pPr>
        <w:ind w:firstLine="640"/>
        <w:rPr>
          <w:rFonts w:cs="Times New Roman"/>
        </w:rPr>
      </w:pPr>
      <w:r>
        <w:rPr>
          <w:rFonts w:cs="Times New Roman"/>
        </w:rPr>
        <w:t>2、夯实工作责任。</w:t>
      </w:r>
    </w:p>
    <w:p>
      <w:pPr>
        <w:ind w:firstLine="640"/>
        <w:rPr>
          <w:rFonts w:cs="Times New Roman"/>
        </w:rPr>
      </w:pPr>
      <w:r>
        <w:rPr>
          <w:rFonts w:cs="Times New Roman"/>
        </w:rPr>
        <w:t>争取以政府名义出台推进农村公路建管养运协</w:t>
      </w:r>
      <w:r>
        <w:rPr>
          <w:rFonts w:hint="eastAsia" w:cs="Times New Roman"/>
        </w:rPr>
        <w:t>同</w:t>
      </w:r>
      <w:r>
        <w:rPr>
          <w:rFonts w:cs="Times New Roman"/>
        </w:rPr>
        <w:t>发展的政策措施，争取将</w:t>
      </w:r>
      <w:r>
        <w:rPr>
          <w:rFonts w:hint="eastAsia" w:cs="Times New Roman"/>
        </w:rPr>
        <w:t>农村公路</w:t>
      </w:r>
      <w:r>
        <w:rPr>
          <w:rFonts w:cs="Times New Roman"/>
        </w:rPr>
        <w:t>建设工作纳入政府年度考核范围，为工作开展创造良好的政策环境。同时，要落实工作责任，分解工作任务，细化建设目标，充实工作力量，落实资金、机构、人员和保障措施，确保顺利实现</w:t>
      </w:r>
      <w:r>
        <w:rPr>
          <w:rFonts w:hint="eastAsia" w:cs="Times New Roman"/>
        </w:rPr>
        <w:t>农村公路</w:t>
      </w:r>
      <w:r>
        <w:rPr>
          <w:rFonts w:cs="Times New Roman"/>
        </w:rPr>
        <w:t>建设各项目标。</w:t>
      </w:r>
    </w:p>
    <w:p>
      <w:pPr>
        <w:ind w:firstLine="640"/>
        <w:rPr>
          <w:rFonts w:cs="Times New Roman"/>
        </w:rPr>
      </w:pPr>
      <w:r>
        <w:rPr>
          <w:rFonts w:cs="Times New Roman"/>
        </w:rPr>
        <w:t>3、开展示范县创建活动。</w:t>
      </w:r>
    </w:p>
    <w:p>
      <w:pPr>
        <w:ind w:firstLine="640"/>
        <w:rPr>
          <w:rFonts w:cs="Times New Roman"/>
        </w:rPr>
      </w:pPr>
      <w:r>
        <w:rPr>
          <w:rFonts w:cs="Times New Roman"/>
        </w:rPr>
        <w:t>及时总结推广全县</w:t>
      </w:r>
      <w:r>
        <w:rPr>
          <w:rFonts w:hint="eastAsia" w:cs="Times New Roman"/>
        </w:rPr>
        <w:t>农村公路建设</w:t>
      </w:r>
      <w:r>
        <w:rPr>
          <w:rFonts w:cs="Times New Roman"/>
        </w:rPr>
        <w:t>活动开展经验，通报各乡镇工作进展情况，适时召开现场交流会议，对完成创建指标，且取得显著效果的乡镇，进行通报表彰，并在各乡镇逐步推广，以核心引领，以点带面，争取做到全面提升、优中更有，将示范创建活动不断引向深入。</w:t>
      </w:r>
    </w:p>
    <w:p>
      <w:pPr>
        <w:ind w:firstLine="640"/>
        <w:rPr>
          <w:rFonts w:cs="Times New Roman"/>
        </w:rPr>
      </w:pPr>
      <w:r>
        <w:rPr>
          <w:rFonts w:cs="Times New Roman"/>
        </w:rPr>
        <w:t>4、加强监督考核。</w:t>
      </w:r>
    </w:p>
    <w:p>
      <w:pPr>
        <w:ind w:firstLine="640"/>
        <w:rPr>
          <w:rFonts w:cs="Times New Roman"/>
        </w:rPr>
      </w:pPr>
      <w:r>
        <w:rPr>
          <w:rFonts w:cs="Times New Roman"/>
        </w:rPr>
        <w:t>加强监督考核工作，重点对责任落实、建设质量、工作进度、资金到位等情况进行检查指导，及时发现和解决存在的问题。要按照</w:t>
      </w:r>
      <w:r>
        <w:rPr>
          <w:rFonts w:hint="eastAsia" w:cs="Times New Roman"/>
        </w:rPr>
        <w:t>农村公路“十四五”发展规划</w:t>
      </w:r>
      <w:r>
        <w:rPr>
          <w:rFonts w:cs="Times New Roman"/>
        </w:rPr>
        <w:t>建设的各项工作目标和任务，强化上级交通运输主管部门对下级交通运输主管部门的考核，建立健全考核结果与投资挂钩的奖惩机制。县级交通运输主管部门要加强对乡政府、村委会的督导，充分发挥基层政府和组织在农村公路发展中的作用。</w:t>
      </w:r>
    </w:p>
    <w:p>
      <w:pPr>
        <w:ind w:firstLine="640"/>
        <w:rPr>
          <w:rFonts w:cs="Times New Roman"/>
        </w:rPr>
      </w:pPr>
      <w:r>
        <w:rPr>
          <w:rFonts w:cs="Times New Roman"/>
        </w:rPr>
        <w:t>5、加强资金保障。</w:t>
      </w:r>
    </w:p>
    <w:p>
      <w:pPr>
        <w:ind w:firstLine="640"/>
        <w:rPr>
          <w:rFonts w:cs="Times New Roman"/>
        </w:rPr>
      </w:pPr>
      <w:r>
        <w:rPr>
          <w:rFonts w:cs="Times New Roman"/>
        </w:rPr>
        <w:t>要加快建立以公共财政分级投入为主，多渠道筹措为辅的农村公路建设资金筹措机制。努力争取政府债券、各种扶贫和涉农资金用于农村公路发展。建立省、市级补助资金与绩效考核、地方配套等挂钩制度，充分发挥上级补助资金的引导和激励作用。加强资金使用情况监督检查，提高资金使用效益。继续鼓励企业和个人捐款，以及利用道路冠名权、路边资源开发权、绿化权等多种方式筹集社会资金用于农村公路发展。</w:t>
      </w:r>
    </w:p>
    <w:p>
      <w:pPr>
        <w:pStyle w:val="3"/>
        <w:keepNext w:val="0"/>
        <w:keepLines w:val="0"/>
        <w:ind w:firstLine="640" w:firstLineChars="200"/>
      </w:pPr>
      <w:bookmarkStart w:id="189" w:name="_Toc49243427"/>
      <w:bookmarkStart w:id="190" w:name="_Toc49243353"/>
      <w:r>
        <w:t>资金</w:t>
      </w:r>
      <w:r>
        <w:rPr>
          <w:rFonts w:hint="eastAsia"/>
        </w:rPr>
        <w:t>、土地</w:t>
      </w:r>
      <w:r>
        <w:t>保障</w:t>
      </w:r>
      <w:bookmarkEnd w:id="189"/>
      <w:bookmarkEnd w:id="190"/>
    </w:p>
    <w:p>
      <w:pPr>
        <w:ind w:firstLine="640"/>
        <w:rPr>
          <w:rFonts w:cs="Times New Roman"/>
        </w:rPr>
      </w:pPr>
      <w:r>
        <w:rPr>
          <w:rFonts w:cs="Times New Roman"/>
        </w:rPr>
        <w:t>1、建立以公共财政为基础的农村公路资金保障机制。</w:t>
      </w:r>
    </w:p>
    <w:p>
      <w:pPr>
        <w:ind w:firstLine="640"/>
        <w:rPr>
          <w:rFonts w:cs="Times New Roman"/>
        </w:rPr>
      </w:pPr>
      <w:r>
        <w:rPr>
          <w:rFonts w:cs="Times New Roman"/>
        </w:rPr>
        <w:t>由于农村公路主要实现全县范围的通达，提供均等化和普遍化的交通服务，应以政府公共财政投入为主。要建立以公共财政分级投入为主，多渠道筹措为辅的农村公路多元筹资机制。坚持“国家投资、地方筹资、社会融资、利用外资”的交通建设投融资机制，加大交通建设领域的开放合作力度，形成多层次、多元化的投入格局。</w:t>
      </w:r>
    </w:p>
    <w:p>
      <w:pPr>
        <w:ind w:firstLine="640"/>
        <w:rPr>
          <w:rFonts w:cs="Times New Roman"/>
        </w:rPr>
      </w:pPr>
      <w:r>
        <w:rPr>
          <w:rFonts w:cs="Times New Roman"/>
        </w:rPr>
        <w:t>要进一步加大财政性资金对交通运输公益性事业的支持力度，进一步落实政府的支出责任。加大阳城县公共财政对普通公路的投入力度，同时要积极争取省、市对农村公路投入的资金，将农村公路的发展纳入政府保障的重要民生工程中。要积极探索、开辟新的融资渠道，努力将交通基础设施建设纳入金融政策支持的重点领域。推进多元化融资体制，运用宏观政策和市场有效的运行机制，深层化解农村公路建设资金供需矛盾，加大农村公路建设养护投资力度，充分发挥投资效益。要按照公路管理事权调整方案，科学调整政府各部门的职能配置，把普通干线公路发展等筹资的责任回归到公共财政的管理部门，改变目前公路交通部门“既要做事、又要筹钱”的不合理做法，实现农村公路的持续健康发展。</w:t>
      </w:r>
    </w:p>
    <w:p>
      <w:pPr>
        <w:ind w:firstLine="640"/>
        <w:rPr>
          <w:rFonts w:cs="Times New Roman"/>
        </w:rPr>
      </w:pPr>
      <w:r>
        <w:rPr>
          <w:rFonts w:cs="Times New Roman"/>
        </w:rPr>
        <w:t>农村公路建设资金的筹集坚持“政府投资为主、其它投资为辅”的原则，除了省、市的定额补助外，其余配套资金需要多方筹集。可动员社会各方面从加强农业基础地位、改善农业生产条件和发展农村基础设施出发，从人力、物资、资金、技术上支持农村公路建设。为体现政府公共服务责任，各级政府要继续加大对农村公路的投入。地方配套资金除各级财政安排外，还可以采取社会各界捐赠、个人自愿捐资等途径解决。</w:t>
      </w:r>
    </w:p>
    <w:p>
      <w:pPr>
        <w:ind w:firstLine="640"/>
        <w:rPr>
          <w:rFonts w:cs="Times New Roman"/>
        </w:rPr>
      </w:pPr>
      <w:r>
        <w:rPr>
          <w:rFonts w:cs="Times New Roman"/>
        </w:rPr>
        <w:t>2、创新融资方式，全方位拓宽融资渠道。</w:t>
      </w:r>
    </w:p>
    <w:p>
      <w:pPr>
        <w:ind w:firstLine="640"/>
        <w:rPr>
          <w:rFonts w:cs="Times New Roman"/>
        </w:rPr>
      </w:pPr>
      <w:r>
        <w:rPr>
          <w:rFonts w:cs="Times New Roman"/>
        </w:rPr>
        <w:t>确立以省、市、县三级公共财政保障为主的农村公路建设资金渠道，积极争取各级财政预算内资金投入。</w:t>
      </w:r>
    </w:p>
    <w:p>
      <w:pPr>
        <w:ind w:firstLine="640"/>
        <w:rPr>
          <w:rFonts w:cs="Times New Roman"/>
        </w:rPr>
      </w:pPr>
      <w:r>
        <w:rPr>
          <w:rFonts w:hint="eastAsia" w:cs="Times New Roman"/>
        </w:rPr>
        <w:t>加大融资筹措力度，推广PPP等融资新模式，引导和鼓励社会资本通过特许经营等方式，参与公路交通基础设施建设、养护和运营。“建养一体化”政府和社会资本合作PPP模式。在城市公交客运上积极实施PPP融资，以解决财政资金困难的问题。推动各级政府建立根据物价增长、里程和财力增加等因素的养护管理资金投入增长机制。努力争取政府债券、各种扶贫和涉农资金用于农村公路发展。完善“以奖代补”政策，发挥好“一事一议”在农村公路发展中的作用。建立省级补助资金与绩效考核、地方配套等挂钩制度，充分发挥上级补助资金的引导和激励作用。加强资金使用情况监督检查，提高资金使用效益。继续鼓励企业和个人捐款，以及利用道路冠名权、路边资源开发权、绿化权等多种方式筹集社会资金用于农村公路发展。按照国务院关于地方债管理的要求，规范交通建设投融资平台的经营行为，逐步建立地方政府支持交通发展的规范化举债新机制，积极防控债务风险。利用好财税体制改革的过渡期政策，继续积极争取银行等金融机构的支持。</w:t>
      </w:r>
    </w:p>
    <w:p>
      <w:pPr>
        <w:ind w:firstLine="640"/>
        <w:rPr>
          <w:rFonts w:cs="Times New Roman"/>
        </w:rPr>
      </w:pPr>
      <w:r>
        <w:rPr>
          <w:rFonts w:cs="Times New Roman"/>
        </w:rPr>
        <w:t>3、交通投资基金方案。</w:t>
      </w:r>
    </w:p>
    <w:p>
      <w:pPr>
        <w:ind w:firstLine="640"/>
        <w:rPr>
          <w:rFonts w:cs="Times New Roman"/>
        </w:rPr>
      </w:pPr>
      <w:r>
        <w:rPr>
          <w:rFonts w:cs="Times New Roman"/>
        </w:rPr>
        <w:t>由县财政局和县交通运输局作为基金发起人，面向金融机构（银行、保险和信托）和专业投资者市场化募集。机构投资人通过比选、招投标、合作谈判等方式，优先选择与山西省交通基础设施投资有良好合作关系的商业银行等金融机构。在整个基金存续期，可按当时市场利率合理设定投资回报率以吸引后续投资者，并妥善解决即期所需相关资金成本费用支出的资金供给渠道，确保基金运行正常，处于良性循环状态，实现可持续发展。基金投资采用股权和债权投资相结合的方式，优先用于支持山西省农村公路发展规划内的相关农村公路项目。</w:t>
      </w:r>
    </w:p>
    <w:p>
      <w:pPr>
        <w:ind w:firstLine="640"/>
        <w:rPr>
          <w:rFonts w:cs="Times New Roman"/>
        </w:rPr>
      </w:pPr>
      <w:r>
        <w:rPr>
          <w:rFonts w:cs="Times New Roman"/>
        </w:rPr>
        <w:t>统筹多部门资金集中使用，多元素逐步打造标准生态农村公路。农村公路补助资金来源有多种渠道，包括发改委、旅游局、战备系统、农业厅等系统。部门对于农村公路，有不同的资金补助，集中使用。针对城镇化进程的不断发展，将来有相当多的农村公路将转改变为城区道路，因此，能将农村公路养护和建设资金预算在市、县（区管理区）两级政府市政建设资金中进行列支部分资金。</w:t>
      </w:r>
    </w:p>
    <w:p>
      <w:pPr>
        <w:ind w:firstLine="640"/>
        <w:rPr>
          <w:rFonts w:cs="Times New Roman"/>
        </w:rPr>
      </w:pPr>
      <w:r>
        <w:rPr>
          <w:rFonts w:cs="Times New Roman"/>
        </w:rPr>
        <w:t>4</w:t>
      </w:r>
      <w:r>
        <w:rPr>
          <w:rFonts w:hint="eastAsia" w:cs="Times New Roman"/>
        </w:rPr>
        <w:t>、加强土地利用规划和农村公路网规划的协调性。</w:t>
      </w:r>
    </w:p>
    <w:p>
      <w:pPr>
        <w:ind w:firstLine="640"/>
        <w:rPr>
          <w:rFonts w:cs="Times New Roman"/>
        </w:rPr>
      </w:pPr>
      <w:r>
        <w:rPr>
          <w:rFonts w:hint="eastAsia" w:cs="Times New Roman"/>
        </w:rPr>
        <w:t>为了提高两个规划的协调性和一致性，建议在土地利用规划编制之前开展农村公路网规划，规划的结果直接纳入土地利用规划。为了实现两个规划的协调性，必须创造合适的外部条件，建立协调的内部运作机制，实现农村公路网土地利用的整体优化，发挥两者的优势。</w:t>
      </w:r>
    </w:p>
    <w:p>
      <w:pPr>
        <w:ind w:firstLine="640"/>
        <w:rPr>
          <w:rFonts w:cs="Times New Roman"/>
        </w:rPr>
      </w:pPr>
      <w:r>
        <w:rPr>
          <w:rFonts w:cs="Times New Roman"/>
        </w:rPr>
        <w:t>5</w:t>
      </w:r>
      <w:r>
        <w:rPr>
          <w:rFonts w:hint="eastAsia" w:cs="Times New Roman"/>
        </w:rPr>
        <w:t>、合理控制公路建设用地规模，节约集约用地</w:t>
      </w:r>
    </w:p>
    <w:p>
      <w:pPr>
        <w:ind w:firstLine="640"/>
        <w:rPr>
          <w:rFonts w:cs="Times New Roman"/>
        </w:rPr>
      </w:pPr>
      <w:r>
        <w:rPr>
          <w:rFonts w:hint="eastAsia" w:cs="Times New Roman"/>
        </w:rPr>
        <w:t>当前我国耕地保护形势严峻，威胁国家粮食安全问题。为此国家制定了严格的耕地保护政策，国家和各省在制定土地利用总体规划时，均严格控制耕地指标。农村公路建设必须充分考虑到资源的国情和省情，合理控制用地规模，尽量利用旧路，减少新增用地。此外，在农村公路发展过程中，无论是未来节约资源还是降低造价，都必须充分做到节约集约用地。</w:t>
      </w:r>
    </w:p>
    <w:p>
      <w:pPr>
        <w:ind w:firstLine="640"/>
        <w:rPr>
          <w:rFonts w:cs="Times New Roman"/>
        </w:rPr>
      </w:pPr>
      <w:r>
        <w:rPr>
          <w:rFonts w:hint="eastAsia" w:cs="Times New Roman"/>
        </w:rPr>
        <w:t>6、强化用地保障</w:t>
      </w:r>
    </w:p>
    <w:p>
      <w:pPr>
        <w:ind w:firstLine="640"/>
        <w:rPr>
          <w:rFonts w:cs="Times New Roman"/>
        </w:rPr>
      </w:pPr>
      <w:r>
        <w:rPr>
          <w:rFonts w:hint="eastAsia" w:cs="Times New Roman"/>
        </w:rPr>
        <w:t>加强基础设施布局规划与国土空间控制、生态环境保护等规划的衔接，为项目落地实施预留空间。市县新增建设用地规模指标优先用于保障交通强国建设项目，帮助协调落实耕地占补平衡，确保建设项目的需要。</w:t>
      </w:r>
    </w:p>
    <w:p>
      <w:pPr>
        <w:pStyle w:val="3"/>
        <w:keepNext w:val="0"/>
        <w:keepLines w:val="0"/>
        <w:ind w:firstLine="640" w:firstLineChars="200"/>
      </w:pPr>
      <w:bookmarkStart w:id="191" w:name="_Toc49243354"/>
      <w:bookmarkStart w:id="192" w:name="_Toc49243428"/>
      <w:r>
        <w:rPr>
          <w:rFonts w:hint="eastAsia"/>
        </w:rPr>
        <w:t>建立“建管养运”长效机制</w:t>
      </w:r>
      <w:bookmarkEnd w:id="191"/>
      <w:bookmarkEnd w:id="192"/>
    </w:p>
    <w:p>
      <w:pPr>
        <w:ind w:firstLine="640"/>
      </w:pPr>
      <w:r>
        <w:rPr>
          <w:rFonts w:hint="eastAsia"/>
        </w:rPr>
        <w:t>深化农村公路管养体制改革，加快推进城乡交通运输一体化，进一步完善农村公路客运网络体系和农村物流网络体系。建立“市为主体、行业指导、部门协作、社会参与”的农村公路发展长效机制，充分发挥乡镇人民政府、村委会和村民作用，完善村规民约，增强村民爱路护路主人翁意识。</w:t>
      </w:r>
    </w:p>
    <w:p>
      <w:pPr>
        <w:ind w:firstLine="640"/>
      </w:pPr>
      <w:r>
        <w:rPr>
          <w:rFonts w:hint="eastAsia"/>
        </w:rPr>
        <w:t>完善农村公路保护措施，努力预防、及时制止和查处违法超限运输及其他各类破坏、损坏农村公路设施等行为。开展路域环境整治，推动农村公路用地和建筑控制区的划定工作，实施“路田分家”“路宅分家”打造“美丽农村路”，营造“畅安舒美”的农村交通环境。</w:t>
      </w:r>
    </w:p>
    <w:sectPr>
      <w:headerReference r:id="rId22" w:type="default"/>
      <w:pgSz w:w="11906" w:h="16838"/>
      <w:pgMar w:top="1701" w:right="1531" w:bottom="1531"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方正楷体简体">
    <w:altName w:val="楷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wordWrap w:val="0"/>
      <w:ind w:firstLine="360"/>
      <w:jc w:val="right"/>
    </w:pPr>
    <w:r>
      <w:rPr>
        <w:rFonts w:ascii="仿宋_GB2312" w:hAnsi="华文细黑"/>
      </w:rPr>
      <w:fldChar w:fldCharType="begin"/>
    </w:r>
    <w:r>
      <w:rPr>
        <w:rFonts w:ascii="仿宋_GB2312" w:hAnsi="华文细黑"/>
      </w:rPr>
      <w:instrText xml:space="preserve">PAGE   \* MERGEFORMAT</w:instrText>
    </w:r>
    <w:r>
      <w:rPr>
        <w:rFonts w:ascii="仿宋_GB2312" w:hAnsi="华文细黑"/>
      </w:rPr>
      <w:fldChar w:fldCharType="separate"/>
    </w:r>
    <w:r>
      <w:rPr>
        <w:rFonts w:ascii="仿宋_GB2312" w:hAnsi="华文细黑"/>
        <w:lang w:val="zh-CN"/>
      </w:rPr>
      <w:t>83</w:t>
    </w:r>
    <w:r>
      <w:rPr>
        <w:rFonts w:ascii="仿宋_GB2312" w:hAnsi="华文细黑"/>
      </w:rPr>
      <w:fldChar w:fldCharType="end"/>
    </w:r>
    <w:r>
      <w:rPr>
        <w:rFonts w:ascii="仿宋_GB2312" w:hAnsi="华文细黑"/>
      </w:rPr>
      <w:t xml:space="preserve">         </w:t>
    </w:r>
    <w:r>
      <w:rPr>
        <w:rFonts w:hint="eastAsia" w:ascii="仿宋_GB2312"/>
      </w:rPr>
      <w:drawing>
        <wp:inline distT="0" distB="0" distL="0" distR="0">
          <wp:extent cx="201930" cy="130810"/>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930" cy="130810"/>
                  </a:xfrm>
                  <a:prstGeom prst="rect">
                    <a:avLst/>
                  </a:prstGeom>
                  <a:noFill/>
                  <a:ln>
                    <a:noFill/>
                  </a:ln>
                </pic:spPr>
              </pic:pic>
            </a:graphicData>
          </a:graphic>
        </wp:inline>
      </w:drawing>
    </w:r>
    <w:r>
      <w:rPr>
        <w:rFonts w:hint="eastAsia" w:ascii="仿宋_GB2312" w:hAnsi="华文细黑"/>
      </w:rPr>
      <w:t>山西省交通规划勘察设计院有限公司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p>
    <w:pPr>
      <w:ind w:firstLine="64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第6章 养护、运营与管理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7</w:t>
    </w:r>
    <w:r>
      <w:rPr>
        <w:rFonts w:hint="eastAsia" w:ascii="仿宋_GB2312" w:hAnsi="华文细黑"/>
      </w:rPr>
      <w:t>章 效果分析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8</w:t>
    </w:r>
    <w:r>
      <w:rPr>
        <w:rFonts w:hint="eastAsia" w:ascii="仿宋_GB2312" w:hAnsi="华文细黑"/>
      </w:rPr>
      <w:t>章 实施安排</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第9章 保障措施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p>
    <w:pPr>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第1章 概述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第</w:t>
    </w:r>
    <w:r>
      <w:rPr>
        <w:rFonts w:ascii="仿宋_GB2312" w:hAnsi="华文细黑"/>
      </w:rPr>
      <w:t>2</w:t>
    </w:r>
    <w:r>
      <w:rPr>
        <w:rFonts w:hint="eastAsia" w:ascii="仿宋_GB2312" w:hAnsi="华文细黑"/>
      </w:rPr>
      <w:t>章 经济社会及交通运输发展现状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3</w:t>
    </w:r>
    <w:r>
      <w:rPr>
        <w:rFonts w:hint="eastAsia" w:ascii="仿宋_GB2312" w:hAnsi="华文细黑"/>
      </w:rPr>
      <w:t xml:space="preserve">章 </w:t>
    </w:r>
    <w:r>
      <w:rPr>
        <w:rFonts w:hint="eastAsia"/>
      </w:rPr>
      <w:t>发展形势</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4</w:t>
    </w:r>
    <w:r>
      <w:rPr>
        <w:rFonts w:hint="eastAsia" w:ascii="仿宋_GB2312" w:hAnsi="华文细黑"/>
      </w:rPr>
      <w:t xml:space="preserve">章 </w:t>
    </w:r>
    <w:r>
      <w:rPr>
        <w:rFonts w:hint="eastAsia"/>
      </w:rPr>
      <w:t>发展思路与目标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left"/>
      <w:rPr>
        <w:rFonts w:ascii="仿宋_GB2312"/>
      </w:rPr>
    </w:pPr>
    <w:r>
      <w:rPr>
        <w:rFonts w:hint="eastAsia" w:ascii="仿宋_GB2312" w:hAnsi="华文细黑"/>
      </w:rPr>
      <w:t>阳城县农村</w:t>
    </w:r>
    <w:r>
      <w:rPr>
        <w:rFonts w:ascii="仿宋_GB2312" w:hAnsi="华文细黑"/>
      </w:rPr>
      <w:t>公路</w:t>
    </w:r>
    <w:r>
      <w:rPr>
        <w:rFonts w:hint="eastAsia" w:ascii="仿宋_GB2312" w:hAnsi="华文细黑"/>
      </w:rPr>
      <w:t>“十四五”发展</w:t>
    </w:r>
    <w:r>
      <w:rPr>
        <w:rFonts w:ascii="仿宋_GB2312" w:hAnsi="华文细黑"/>
      </w:rPr>
      <w:t>规划</w:t>
    </w:r>
    <w:r>
      <w:rPr>
        <w:rFonts w:hint="eastAsia" w:ascii="仿宋_GB2312" w:hAnsi="华文细黑"/>
      </w:rPr>
      <w:t xml:space="preserve">                                 </w:t>
    </w:r>
    <w:r>
      <w:rPr>
        <w:rFonts w:ascii="仿宋_GB2312" w:hAnsi="华文细黑"/>
      </w:rPr>
      <w:t xml:space="preserve">        </w:t>
    </w:r>
    <w:r>
      <w:rPr>
        <w:rFonts w:hint="eastAsia" w:ascii="仿宋_GB2312" w:hAnsi="华文细黑"/>
      </w:rPr>
      <w:t>第</w:t>
    </w:r>
    <w:r>
      <w:rPr>
        <w:rFonts w:ascii="仿宋_GB2312" w:hAnsi="华文细黑"/>
      </w:rPr>
      <w:t>5</w:t>
    </w:r>
    <w:r>
      <w:rPr>
        <w:rFonts w:hint="eastAsia" w:ascii="仿宋_GB2312" w:hAnsi="华文细黑"/>
      </w:rPr>
      <w:t xml:space="preserve">章 </w:t>
    </w:r>
    <w:r>
      <w:rPr>
        <w:rFonts w:hint="eastAsia"/>
      </w:rPr>
      <w:t>路网布局与建设方案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12EC1"/>
    <w:multiLevelType w:val="multilevel"/>
    <w:tmpl w:val="17A12EC1"/>
    <w:lvl w:ilvl="0" w:tentative="0">
      <w:start w:val="1"/>
      <w:numFmt w:val="decimal"/>
      <w:pStyle w:val="2"/>
      <w:suff w:val="space"/>
      <w:lvlText w:val="第%1章"/>
      <w:lvlJc w:val="center"/>
      <w:pPr>
        <w:ind w:left="3544" w:firstLine="0"/>
      </w:pPr>
      <w:rPr>
        <w:rFonts w:hint="default" w:ascii="Times New Roman" w:hAnsi="Times New Roman" w:eastAsia="黑体"/>
        <w:sz w:val="32"/>
      </w:rPr>
    </w:lvl>
    <w:lvl w:ilvl="1" w:tentative="0">
      <w:start w:val="1"/>
      <w:numFmt w:val="decimal"/>
      <w:pStyle w:val="3"/>
      <w:suff w:val="space"/>
      <w:lvlText w:val="%1.%2"/>
      <w:lvlJc w:val="left"/>
      <w:pPr>
        <w:ind w:left="0" w:firstLine="400"/>
      </w:pPr>
      <w:rPr>
        <w:rFonts w:hint="default" w:ascii="Times New Roman" w:hAnsi="Times New Roman" w:eastAsia="楷体_GB2312"/>
        <w:sz w:val="32"/>
      </w:rPr>
    </w:lvl>
    <w:lvl w:ilvl="2" w:tentative="0">
      <w:start w:val="1"/>
      <w:numFmt w:val="decimal"/>
      <w:pStyle w:val="4"/>
      <w:suff w:val="space"/>
      <w:lvlText w:val="%1.%2.%3"/>
      <w:lvlJc w:val="left"/>
      <w:pPr>
        <w:ind w:left="167" w:firstLine="400"/>
      </w:pPr>
      <w:rPr>
        <w:rFonts w:hint="default" w:ascii="Times New Roman" w:hAnsi="Times New Roman" w:eastAsia="仿宋_GB2312"/>
        <w:b/>
        <w:i w:val="0"/>
        <w:sz w:val="30"/>
      </w:rPr>
    </w:lvl>
    <w:lvl w:ilvl="3" w:tentative="0">
      <w:start w:val="1"/>
      <w:numFmt w:val="decimal"/>
      <w:lvlText w:val="%1.%2.%3.%4"/>
      <w:lvlJc w:val="left"/>
      <w:pPr>
        <w:tabs>
          <w:tab w:val="left" w:pos="425"/>
        </w:tabs>
        <w:ind w:left="0" w:firstLine="0"/>
      </w:pPr>
      <w:rPr>
        <w:rFonts w:hint="eastAsia"/>
      </w:rPr>
    </w:lvl>
    <w:lvl w:ilvl="4" w:tentative="0">
      <w:start w:val="1"/>
      <w:numFmt w:val="decimal"/>
      <w:lvlText w:val="%1.%2.%3.%4.%5"/>
      <w:lvlJc w:val="left"/>
      <w:pPr>
        <w:tabs>
          <w:tab w:val="left" w:pos="425"/>
        </w:tabs>
        <w:ind w:left="0"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1">
    <w:nsid w:val="5A430D1A"/>
    <w:multiLevelType w:val="singleLevel"/>
    <w:tmpl w:val="5A430D1A"/>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3YjJkOWRlZTk0YTczYzkyN2YyNDM1ZjE4YzdiZTAifQ=="/>
  </w:docVars>
  <w:rsids>
    <w:rsidRoot w:val="0083061D"/>
    <w:rsid w:val="000077DE"/>
    <w:rsid w:val="00007BFB"/>
    <w:rsid w:val="00010E8A"/>
    <w:rsid w:val="0002111C"/>
    <w:rsid w:val="00022753"/>
    <w:rsid w:val="0002383D"/>
    <w:rsid w:val="000238F6"/>
    <w:rsid w:val="00026BC3"/>
    <w:rsid w:val="0002752C"/>
    <w:rsid w:val="000316F7"/>
    <w:rsid w:val="0003203A"/>
    <w:rsid w:val="0004037E"/>
    <w:rsid w:val="00040D4F"/>
    <w:rsid w:val="00042D2F"/>
    <w:rsid w:val="0004705E"/>
    <w:rsid w:val="00047859"/>
    <w:rsid w:val="00050488"/>
    <w:rsid w:val="000504EC"/>
    <w:rsid w:val="00051F0F"/>
    <w:rsid w:val="000557C5"/>
    <w:rsid w:val="00055EA6"/>
    <w:rsid w:val="00057505"/>
    <w:rsid w:val="00057D2F"/>
    <w:rsid w:val="00062A02"/>
    <w:rsid w:val="00063E78"/>
    <w:rsid w:val="0006416B"/>
    <w:rsid w:val="000653C3"/>
    <w:rsid w:val="00071F84"/>
    <w:rsid w:val="00072180"/>
    <w:rsid w:val="000733A8"/>
    <w:rsid w:val="00074743"/>
    <w:rsid w:val="00074C36"/>
    <w:rsid w:val="00082557"/>
    <w:rsid w:val="00087700"/>
    <w:rsid w:val="00091386"/>
    <w:rsid w:val="00091416"/>
    <w:rsid w:val="00092581"/>
    <w:rsid w:val="00095D61"/>
    <w:rsid w:val="0009705D"/>
    <w:rsid w:val="000A001C"/>
    <w:rsid w:val="000A1904"/>
    <w:rsid w:val="000A4354"/>
    <w:rsid w:val="000A50E5"/>
    <w:rsid w:val="000A5281"/>
    <w:rsid w:val="000A660D"/>
    <w:rsid w:val="000A6AA0"/>
    <w:rsid w:val="000A7377"/>
    <w:rsid w:val="000A7F7E"/>
    <w:rsid w:val="000B305D"/>
    <w:rsid w:val="000B35FE"/>
    <w:rsid w:val="000B40E8"/>
    <w:rsid w:val="000B5D6C"/>
    <w:rsid w:val="000B75F0"/>
    <w:rsid w:val="000C084B"/>
    <w:rsid w:val="000C2376"/>
    <w:rsid w:val="000C2954"/>
    <w:rsid w:val="000C7716"/>
    <w:rsid w:val="000C78D0"/>
    <w:rsid w:val="000D0819"/>
    <w:rsid w:val="000D0D66"/>
    <w:rsid w:val="000D2A7B"/>
    <w:rsid w:val="000D3484"/>
    <w:rsid w:val="000D660D"/>
    <w:rsid w:val="000E47F1"/>
    <w:rsid w:val="000E5D42"/>
    <w:rsid w:val="000E71E5"/>
    <w:rsid w:val="000F3A56"/>
    <w:rsid w:val="000F5FFB"/>
    <w:rsid w:val="000F6017"/>
    <w:rsid w:val="000F70E5"/>
    <w:rsid w:val="00100AB0"/>
    <w:rsid w:val="00102FB9"/>
    <w:rsid w:val="001040B3"/>
    <w:rsid w:val="0010687F"/>
    <w:rsid w:val="00106E2D"/>
    <w:rsid w:val="00107A37"/>
    <w:rsid w:val="00107E3C"/>
    <w:rsid w:val="001102F6"/>
    <w:rsid w:val="001131F3"/>
    <w:rsid w:val="00114EAE"/>
    <w:rsid w:val="00114EC3"/>
    <w:rsid w:val="001205B7"/>
    <w:rsid w:val="001229F6"/>
    <w:rsid w:val="00123DE8"/>
    <w:rsid w:val="0012453A"/>
    <w:rsid w:val="00124E2A"/>
    <w:rsid w:val="00125036"/>
    <w:rsid w:val="001272FD"/>
    <w:rsid w:val="00134CFC"/>
    <w:rsid w:val="00137063"/>
    <w:rsid w:val="001372D8"/>
    <w:rsid w:val="0013762C"/>
    <w:rsid w:val="00141BB6"/>
    <w:rsid w:val="00143BAE"/>
    <w:rsid w:val="00145281"/>
    <w:rsid w:val="00146E77"/>
    <w:rsid w:val="001500B3"/>
    <w:rsid w:val="00150F85"/>
    <w:rsid w:val="001527DF"/>
    <w:rsid w:val="00154754"/>
    <w:rsid w:val="00156801"/>
    <w:rsid w:val="00157E2A"/>
    <w:rsid w:val="00166166"/>
    <w:rsid w:val="001675EB"/>
    <w:rsid w:val="0016771C"/>
    <w:rsid w:val="0017214E"/>
    <w:rsid w:val="00174541"/>
    <w:rsid w:val="00181160"/>
    <w:rsid w:val="00181241"/>
    <w:rsid w:val="00183EB6"/>
    <w:rsid w:val="00185053"/>
    <w:rsid w:val="00191EFB"/>
    <w:rsid w:val="00192CA8"/>
    <w:rsid w:val="001937B9"/>
    <w:rsid w:val="0019675F"/>
    <w:rsid w:val="00196A6A"/>
    <w:rsid w:val="001A0568"/>
    <w:rsid w:val="001A47C0"/>
    <w:rsid w:val="001A7D3C"/>
    <w:rsid w:val="001B0298"/>
    <w:rsid w:val="001B1DD9"/>
    <w:rsid w:val="001B2B47"/>
    <w:rsid w:val="001C1269"/>
    <w:rsid w:val="001C268E"/>
    <w:rsid w:val="001C5D48"/>
    <w:rsid w:val="001D2A06"/>
    <w:rsid w:val="001D5DEA"/>
    <w:rsid w:val="001E056B"/>
    <w:rsid w:val="001E225B"/>
    <w:rsid w:val="001E4D80"/>
    <w:rsid w:val="001E6E2A"/>
    <w:rsid w:val="001E7DD4"/>
    <w:rsid w:val="001F2EDC"/>
    <w:rsid w:val="001F35B7"/>
    <w:rsid w:val="001F69B4"/>
    <w:rsid w:val="001F7C64"/>
    <w:rsid w:val="00202139"/>
    <w:rsid w:val="00205C73"/>
    <w:rsid w:val="00207B5C"/>
    <w:rsid w:val="00212745"/>
    <w:rsid w:val="002150F8"/>
    <w:rsid w:val="00215113"/>
    <w:rsid w:val="0021617D"/>
    <w:rsid w:val="00222FCD"/>
    <w:rsid w:val="00223170"/>
    <w:rsid w:val="00223C38"/>
    <w:rsid w:val="002258DA"/>
    <w:rsid w:val="002276CF"/>
    <w:rsid w:val="002277BF"/>
    <w:rsid w:val="0023089C"/>
    <w:rsid w:val="00231D4A"/>
    <w:rsid w:val="00232310"/>
    <w:rsid w:val="00232B8A"/>
    <w:rsid w:val="0023527A"/>
    <w:rsid w:val="002401B2"/>
    <w:rsid w:val="002469C2"/>
    <w:rsid w:val="00246ABE"/>
    <w:rsid w:val="0024782D"/>
    <w:rsid w:val="00252676"/>
    <w:rsid w:val="002563D4"/>
    <w:rsid w:val="002565EB"/>
    <w:rsid w:val="00257F03"/>
    <w:rsid w:val="00261039"/>
    <w:rsid w:val="002621C5"/>
    <w:rsid w:val="0026368B"/>
    <w:rsid w:val="002655D8"/>
    <w:rsid w:val="00265808"/>
    <w:rsid w:val="0026749B"/>
    <w:rsid w:val="00272F22"/>
    <w:rsid w:val="00281F78"/>
    <w:rsid w:val="00284F02"/>
    <w:rsid w:val="00285F38"/>
    <w:rsid w:val="0028631A"/>
    <w:rsid w:val="00290709"/>
    <w:rsid w:val="002916DE"/>
    <w:rsid w:val="00292B46"/>
    <w:rsid w:val="00292EE8"/>
    <w:rsid w:val="00293801"/>
    <w:rsid w:val="00294878"/>
    <w:rsid w:val="00294F1C"/>
    <w:rsid w:val="002954AC"/>
    <w:rsid w:val="002965EC"/>
    <w:rsid w:val="00296ABE"/>
    <w:rsid w:val="002A116F"/>
    <w:rsid w:val="002A2745"/>
    <w:rsid w:val="002A30B4"/>
    <w:rsid w:val="002A321F"/>
    <w:rsid w:val="002A368D"/>
    <w:rsid w:val="002A3CC0"/>
    <w:rsid w:val="002A42A5"/>
    <w:rsid w:val="002A47CA"/>
    <w:rsid w:val="002A566B"/>
    <w:rsid w:val="002B1D4E"/>
    <w:rsid w:val="002B747B"/>
    <w:rsid w:val="002B7832"/>
    <w:rsid w:val="002C3FB0"/>
    <w:rsid w:val="002C49CE"/>
    <w:rsid w:val="002C56B1"/>
    <w:rsid w:val="002C5D4D"/>
    <w:rsid w:val="002D0282"/>
    <w:rsid w:val="002D0CD5"/>
    <w:rsid w:val="002D4394"/>
    <w:rsid w:val="002E091D"/>
    <w:rsid w:val="002E36E7"/>
    <w:rsid w:val="002F14A7"/>
    <w:rsid w:val="00300D36"/>
    <w:rsid w:val="0030175A"/>
    <w:rsid w:val="00301ECA"/>
    <w:rsid w:val="0030203D"/>
    <w:rsid w:val="00303C53"/>
    <w:rsid w:val="003042A1"/>
    <w:rsid w:val="00305E10"/>
    <w:rsid w:val="003102C7"/>
    <w:rsid w:val="0031038D"/>
    <w:rsid w:val="00311103"/>
    <w:rsid w:val="003114C0"/>
    <w:rsid w:val="003117F2"/>
    <w:rsid w:val="00311EDD"/>
    <w:rsid w:val="00315239"/>
    <w:rsid w:val="003176AF"/>
    <w:rsid w:val="00321281"/>
    <w:rsid w:val="003241F9"/>
    <w:rsid w:val="00324379"/>
    <w:rsid w:val="00330BF3"/>
    <w:rsid w:val="003358DF"/>
    <w:rsid w:val="00341B7E"/>
    <w:rsid w:val="00343928"/>
    <w:rsid w:val="003507E7"/>
    <w:rsid w:val="00352A06"/>
    <w:rsid w:val="00354472"/>
    <w:rsid w:val="0035458F"/>
    <w:rsid w:val="0035470C"/>
    <w:rsid w:val="0035527F"/>
    <w:rsid w:val="003555B7"/>
    <w:rsid w:val="003556B4"/>
    <w:rsid w:val="00360585"/>
    <w:rsid w:val="003615E8"/>
    <w:rsid w:val="00363DD9"/>
    <w:rsid w:val="00364BDD"/>
    <w:rsid w:val="00365711"/>
    <w:rsid w:val="0037171D"/>
    <w:rsid w:val="0038048F"/>
    <w:rsid w:val="00381C84"/>
    <w:rsid w:val="0038305E"/>
    <w:rsid w:val="003837D7"/>
    <w:rsid w:val="003855E8"/>
    <w:rsid w:val="00385F39"/>
    <w:rsid w:val="003865AB"/>
    <w:rsid w:val="0039034B"/>
    <w:rsid w:val="00391485"/>
    <w:rsid w:val="00391E01"/>
    <w:rsid w:val="00393E1D"/>
    <w:rsid w:val="003945BB"/>
    <w:rsid w:val="003948EF"/>
    <w:rsid w:val="003949E3"/>
    <w:rsid w:val="003A0322"/>
    <w:rsid w:val="003A0BE2"/>
    <w:rsid w:val="003A2536"/>
    <w:rsid w:val="003A259C"/>
    <w:rsid w:val="003A4FF3"/>
    <w:rsid w:val="003B02EB"/>
    <w:rsid w:val="003B05DB"/>
    <w:rsid w:val="003B2462"/>
    <w:rsid w:val="003B3F07"/>
    <w:rsid w:val="003B4082"/>
    <w:rsid w:val="003B4BC2"/>
    <w:rsid w:val="003B5D11"/>
    <w:rsid w:val="003B6523"/>
    <w:rsid w:val="003C0E2C"/>
    <w:rsid w:val="003C15A0"/>
    <w:rsid w:val="003C1F2F"/>
    <w:rsid w:val="003C5C17"/>
    <w:rsid w:val="003C6968"/>
    <w:rsid w:val="003C6CE4"/>
    <w:rsid w:val="003D2738"/>
    <w:rsid w:val="003D5A69"/>
    <w:rsid w:val="003D5B0A"/>
    <w:rsid w:val="003D63B9"/>
    <w:rsid w:val="003D6BD4"/>
    <w:rsid w:val="003D70A3"/>
    <w:rsid w:val="003E096E"/>
    <w:rsid w:val="003E4B82"/>
    <w:rsid w:val="003E4BED"/>
    <w:rsid w:val="003F1480"/>
    <w:rsid w:val="003F3078"/>
    <w:rsid w:val="003F4307"/>
    <w:rsid w:val="003F4A1A"/>
    <w:rsid w:val="003F722E"/>
    <w:rsid w:val="00404414"/>
    <w:rsid w:val="0041087A"/>
    <w:rsid w:val="00420AC0"/>
    <w:rsid w:val="004218B9"/>
    <w:rsid w:val="00423499"/>
    <w:rsid w:val="00423DBC"/>
    <w:rsid w:val="00425726"/>
    <w:rsid w:val="00425DB4"/>
    <w:rsid w:val="00426317"/>
    <w:rsid w:val="00427211"/>
    <w:rsid w:val="00430C55"/>
    <w:rsid w:val="00432418"/>
    <w:rsid w:val="00433578"/>
    <w:rsid w:val="00433D5E"/>
    <w:rsid w:val="0043597B"/>
    <w:rsid w:val="0044312C"/>
    <w:rsid w:val="00444C0F"/>
    <w:rsid w:val="00447FF1"/>
    <w:rsid w:val="0045263A"/>
    <w:rsid w:val="0045495F"/>
    <w:rsid w:val="00456700"/>
    <w:rsid w:val="004605D3"/>
    <w:rsid w:val="00460C5B"/>
    <w:rsid w:val="00461120"/>
    <w:rsid w:val="00461786"/>
    <w:rsid w:val="00461A20"/>
    <w:rsid w:val="00461AC6"/>
    <w:rsid w:val="0046211C"/>
    <w:rsid w:val="004621AB"/>
    <w:rsid w:val="00462B7D"/>
    <w:rsid w:val="00464539"/>
    <w:rsid w:val="00465633"/>
    <w:rsid w:val="00466540"/>
    <w:rsid w:val="0047112C"/>
    <w:rsid w:val="00472A85"/>
    <w:rsid w:val="00474000"/>
    <w:rsid w:val="00477251"/>
    <w:rsid w:val="0047755A"/>
    <w:rsid w:val="00481551"/>
    <w:rsid w:val="00481AC7"/>
    <w:rsid w:val="00481CE1"/>
    <w:rsid w:val="00483B7E"/>
    <w:rsid w:val="004853F1"/>
    <w:rsid w:val="00485B2E"/>
    <w:rsid w:val="0048682C"/>
    <w:rsid w:val="00486E4F"/>
    <w:rsid w:val="004870B7"/>
    <w:rsid w:val="00491C07"/>
    <w:rsid w:val="00497DEC"/>
    <w:rsid w:val="004A460C"/>
    <w:rsid w:val="004A52DC"/>
    <w:rsid w:val="004A5C72"/>
    <w:rsid w:val="004A7335"/>
    <w:rsid w:val="004A79AE"/>
    <w:rsid w:val="004B0451"/>
    <w:rsid w:val="004B052C"/>
    <w:rsid w:val="004B4E06"/>
    <w:rsid w:val="004B5740"/>
    <w:rsid w:val="004C11FD"/>
    <w:rsid w:val="004C2CB2"/>
    <w:rsid w:val="004C2EB6"/>
    <w:rsid w:val="004C5D24"/>
    <w:rsid w:val="004C6396"/>
    <w:rsid w:val="004C7DB0"/>
    <w:rsid w:val="004D1316"/>
    <w:rsid w:val="004D3628"/>
    <w:rsid w:val="004D5D23"/>
    <w:rsid w:val="004D5DD3"/>
    <w:rsid w:val="004D7FAF"/>
    <w:rsid w:val="004F0FAF"/>
    <w:rsid w:val="004F28D2"/>
    <w:rsid w:val="004F426E"/>
    <w:rsid w:val="004F713B"/>
    <w:rsid w:val="00507B29"/>
    <w:rsid w:val="00510245"/>
    <w:rsid w:val="00513FA3"/>
    <w:rsid w:val="005172F8"/>
    <w:rsid w:val="005179FC"/>
    <w:rsid w:val="00520AD1"/>
    <w:rsid w:val="00523841"/>
    <w:rsid w:val="005263D0"/>
    <w:rsid w:val="00530EE3"/>
    <w:rsid w:val="00532554"/>
    <w:rsid w:val="005357E0"/>
    <w:rsid w:val="005372A3"/>
    <w:rsid w:val="00541989"/>
    <w:rsid w:val="00541C37"/>
    <w:rsid w:val="0054367A"/>
    <w:rsid w:val="00545075"/>
    <w:rsid w:val="00545B0D"/>
    <w:rsid w:val="005471E2"/>
    <w:rsid w:val="00552A64"/>
    <w:rsid w:val="00553AFB"/>
    <w:rsid w:val="00553EF7"/>
    <w:rsid w:val="005557F2"/>
    <w:rsid w:val="00564E77"/>
    <w:rsid w:val="00566A1F"/>
    <w:rsid w:val="00567D59"/>
    <w:rsid w:val="005731E0"/>
    <w:rsid w:val="0057373F"/>
    <w:rsid w:val="0057560B"/>
    <w:rsid w:val="0057590D"/>
    <w:rsid w:val="0058633F"/>
    <w:rsid w:val="00586DC9"/>
    <w:rsid w:val="005902DC"/>
    <w:rsid w:val="005935A1"/>
    <w:rsid w:val="00595C15"/>
    <w:rsid w:val="00596C8B"/>
    <w:rsid w:val="0059755A"/>
    <w:rsid w:val="00597DC3"/>
    <w:rsid w:val="005A09A3"/>
    <w:rsid w:val="005A1091"/>
    <w:rsid w:val="005A1A54"/>
    <w:rsid w:val="005A26A2"/>
    <w:rsid w:val="005A50BF"/>
    <w:rsid w:val="005B093D"/>
    <w:rsid w:val="005B16FA"/>
    <w:rsid w:val="005B2E2E"/>
    <w:rsid w:val="005B57A7"/>
    <w:rsid w:val="005C05D2"/>
    <w:rsid w:val="005C0898"/>
    <w:rsid w:val="005C2E77"/>
    <w:rsid w:val="005D02A6"/>
    <w:rsid w:val="005D10B2"/>
    <w:rsid w:val="005D2CF2"/>
    <w:rsid w:val="005D45A0"/>
    <w:rsid w:val="005D5F57"/>
    <w:rsid w:val="005D716D"/>
    <w:rsid w:val="005D7B12"/>
    <w:rsid w:val="005E0529"/>
    <w:rsid w:val="005E26B5"/>
    <w:rsid w:val="005E2874"/>
    <w:rsid w:val="005E4729"/>
    <w:rsid w:val="005E7F39"/>
    <w:rsid w:val="005F0C0A"/>
    <w:rsid w:val="005F1C82"/>
    <w:rsid w:val="005F366B"/>
    <w:rsid w:val="005F3C95"/>
    <w:rsid w:val="006057D1"/>
    <w:rsid w:val="00605F22"/>
    <w:rsid w:val="00610CDC"/>
    <w:rsid w:val="006129C1"/>
    <w:rsid w:val="00613B7F"/>
    <w:rsid w:val="00614B27"/>
    <w:rsid w:val="006201B4"/>
    <w:rsid w:val="00620621"/>
    <w:rsid w:val="00621ED8"/>
    <w:rsid w:val="0062497F"/>
    <w:rsid w:val="006255DF"/>
    <w:rsid w:val="00625C41"/>
    <w:rsid w:val="00625CE2"/>
    <w:rsid w:val="00626038"/>
    <w:rsid w:val="0063145E"/>
    <w:rsid w:val="0063374C"/>
    <w:rsid w:val="00633B52"/>
    <w:rsid w:val="00634F4E"/>
    <w:rsid w:val="00635016"/>
    <w:rsid w:val="006350D6"/>
    <w:rsid w:val="00636703"/>
    <w:rsid w:val="006372E7"/>
    <w:rsid w:val="006400A7"/>
    <w:rsid w:val="00643883"/>
    <w:rsid w:val="00643CD7"/>
    <w:rsid w:val="00643EF9"/>
    <w:rsid w:val="0065032E"/>
    <w:rsid w:val="00650F54"/>
    <w:rsid w:val="00652DBC"/>
    <w:rsid w:val="006548BF"/>
    <w:rsid w:val="006569FF"/>
    <w:rsid w:val="00663470"/>
    <w:rsid w:val="0066381B"/>
    <w:rsid w:val="00665EAF"/>
    <w:rsid w:val="00670EDD"/>
    <w:rsid w:val="00675AC7"/>
    <w:rsid w:val="00676D2E"/>
    <w:rsid w:val="006773A5"/>
    <w:rsid w:val="00677D31"/>
    <w:rsid w:val="006806A1"/>
    <w:rsid w:val="00681335"/>
    <w:rsid w:val="00682999"/>
    <w:rsid w:val="00682C0A"/>
    <w:rsid w:val="0068325C"/>
    <w:rsid w:val="00685772"/>
    <w:rsid w:val="0068698D"/>
    <w:rsid w:val="006872A7"/>
    <w:rsid w:val="00687593"/>
    <w:rsid w:val="00690EC6"/>
    <w:rsid w:val="006920A2"/>
    <w:rsid w:val="00693702"/>
    <w:rsid w:val="00693C17"/>
    <w:rsid w:val="006942DD"/>
    <w:rsid w:val="006956B3"/>
    <w:rsid w:val="00697770"/>
    <w:rsid w:val="006A21CA"/>
    <w:rsid w:val="006A27B8"/>
    <w:rsid w:val="006A2CF3"/>
    <w:rsid w:val="006A31DF"/>
    <w:rsid w:val="006A4ABE"/>
    <w:rsid w:val="006A7459"/>
    <w:rsid w:val="006B093D"/>
    <w:rsid w:val="006B10A1"/>
    <w:rsid w:val="006B1A05"/>
    <w:rsid w:val="006B44E4"/>
    <w:rsid w:val="006B6D87"/>
    <w:rsid w:val="006C04DE"/>
    <w:rsid w:val="006C0953"/>
    <w:rsid w:val="006C2B30"/>
    <w:rsid w:val="006C3640"/>
    <w:rsid w:val="006C3E27"/>
    <w:rsid w:val="006C43D3"/>
    <w:rsid w:val="006C5A11"/>
    <w:rsid w:val="006C5B28"/>
    <w:rsid w:val="006C70DB"/>
    <w:rsid w:val="006D6A8C"/>
    <w:rsid w:val="006D776A"/>
    <w:rsid w:val="006E1847"/>
    <w:rsid w:val="006E1F85"/>
    <w:rsid w:val="006E2298"/>
    <w:rsid w:val="006E3489"/>
    <w:rsid w:val="006E3CFC"/>
    <w:rsid w:val="006E45C6"/>
    <w:rsid w:val="006E5A39"/>
    <w:rsid w:val="006E689D"/>
    <w:rsid w:val="006E7B54"/>
    <w:rsid w:val="006F4259"/>
    <w:rsid w:val="006F4FE6"/>
    <w:rsid w:val="006F6AEC"/>
    <w:rsid w:val="006F6D72"/>
    <w:rsid w:val="00700C09"/>
    <w:rsid w:val="00700FDE"/>
    <w:rsid w:val="007027CC"/>
    <w:rsid w:val="007030E2"/>
    <w:rsid w:val="007047C2"/>
    <w:rsid w:val="0070492A"/>
    <w:rsid w:val="00704AFE"/>
    <w:rsid w:val="007058AA"/>
    <w:rsid w:val="00707D0E"/>
    <w:rsid w:val="007114F2"/>
    <w:rsid w:val="00712DB1"/>
    <w:rsid w:val="007153A7"/>
    <w:rsid w:val="007155B0"/>
    <w:rsid w:val="0072144B"/>
    <w:rsid w:val="00722332"/>
    <w:rsid w:val="007228FD"/>
    <w:rsid w:val="00723D03"/>
    <w:rsid w:val="00727458"/>
    <w:rsid w:val="00735551"/>
    <w:rsid w:val="00736FA1"/>
    <w:rsid w:val="00737771"/>
    <w:rsid w:val="007414BD"/>
    <w:rsid w:val="0074539D"/>
    <w:rsid w:val="00745B4A"/>
    <w:rsid w:val="00747C9F"/>
    <w:rsid w:val="00751DE8"/>
    <w:rsid w:val="00756023"/>
    <w:rsid w:val="00760A23"/>
    <w:rsid w:val="00760FBB"/>
    <w:rsid w:val="0076352E"/>
    <w:rsid w:val="0076423A"/>
    <w:rsid w:val="007656EF"/>
    <w:rsid w:val="0076724F"/>
    <w:rsid w:val="00767332"/>
    <w:rsid w:val="00775FE1"/>
    <w:rsid w:val="00776585"/>
    <w:rsid w:val="0077766C"/>
    <w:rsid w:val="00781BB0"/>
    <w:rsid w:val="007822EE"/>
    <w:rsid w:val="00785033"/>
    <w:rsid w:val="00785A19"/>
    <w:rsid w:val="00786D24"/>
    <w:rsid w:val="007916F5"/>
    <w:rsid w:val="007920D8"/>
    <w:rsid w:val="007923EA"/>
    <w:rsid w:val="007942C6"/>
    <w:rsid w:val="00794ABF"/>
    <w:rsid w:val="00796743"/>
    <w:rsid w:val="007978BE"/>
    <w:rsid w:val="007A159B"/>
    <w:rsid w:val="007A65DB"/>
    <w:rsid w:val="007B18AB"/>
    <w:rsid w:val="007B230B"/>
    <w:rsid w:val="007B389F"/>
    <w:rsid w:val="007B4894"/>
    <w:rsid w:val="007B5FA9"/>
    <w:rsid w:val="007C3C03"/>
    <w:rsid w:val="007D171B"/>
    <w:rsid w:val="007D3055"/>
    <w:rsid w:val="007D5EDE"/>
    <w:rsid w:val="007D6146"/>
    <w:rsid w:val="007E0C89"/>
    <w:rsid w:val="007E3122"/>
    <w:rsid w:val="007E4072"/>
    <w:rsid w:val="007E56C5"/>
    <w:rsid w:val="007E60EA"/>
    <w:rsid w:val="007E75B0"/>
    <w:rsid w:val="007F0DBB"/>
    <w:rsid w:val="007F5C21"/>
    <w:rsid w:val="00801655"/>
    <w:rsid w:val="008018A4"/>
    <w:rsid w:val="00804686"/>
    <w:rsid w:val="00806D83"/>
    <w:rsid w:val="00813B3B"/>
    <w:rsid w:val="00813BEB"/>
    <w:rsid w:val="00813D92"/>
    <w:rsid w:val="0082150B"/>
    <w:rsid w:val="008252F5"/>
    <w:rsid w:val="0082577E"/>
    <w:rsid w:val="00827DFA"/>
    <w:rsid w:val="0083061D"/>
    <w:rsid w:val="008324BE"/>
    <w:rsid w:val="008361E8"/>
    <w:rsid w:val="00837222"/>
    <w:rsid w:val="008376D6"/>
    <w:rsid w:val="00840ED4"/>
    <w:rsid w:val="00842E56"/>
    <w:rsid w:val="00842EF2"/>
    <w:rsid w:val="00842F7C"/>
    <w:rsid w:val="0084314A"/>
    <w:rsid w:val="00843622"/>
    <w:rsid w:val="00844572"/>
    <w:rsid w:val="00844CB6"/>
    <w:rsid w:val="00844DC4"/>
    <w:rsid w:val="00845639"/>
    <w:rsid w:val="0084568B"/>
    <w:rsid w:val="00845B3C"/>
    <w:rsid w:val="00845D6A"/>
    <w:rsid w:val="00847379"/>
    <w:rsid w:val="008478CE"/>
    <w:rsid w:val="0086295A"/>
    <w:rsid w:val="00865F3B"/>
    <w:rsid w:val="00874CAF"/>
    <w:rsid w:val="008822F1"/>
    <w:rsid w:val="008854D5"/>
    <w:rsid w:val="00886BA1"/>
    <w:rsid w:val="008873EE"/>
    <w:rsid w:val="00891459"/>
    <w:rsid w:val="0089231F"/>
    <w:rsid w:val="0089266B"/>
    <w:rsid w:val="00897ED8"/>
    <w:rsid w:val="008A1271"/>
    <w:rsid w:val="008A2068"/>
    <w:rsid w:val="008A44CD"/>
    <w:rsid w:val="008A4885"/>
    <w:rsid w:val="008A534E"/>
    <w:rsid w:val="008A5521"/>
    <w:rsid w:val="008A6BD1"/>
    <w:rsid w:val="008B0337"/>
    <w:rsid w:val="008B0B43"/>
    <w:rsid w:val="008B4AF6"/>
    <w:rsid w:val="008B6F60"/>
    <w:rsid w:val="008C05D8"/>
    <w:rsid w:val="008C1FD2"/>
    <w:rsid w:val="008C5681"/>
    <w:rsid w:val="008D1212"/>
    <w:rsid w:val="008D32BE"/>
    <w:rsid w:val="008D3427"/>
    <w:rsid w:val="008D578D"/>
    <w:rsid w:val="008E3733"/>
    <w:rsid w:val="008E4A9E"/>
    <w:rsid w:val="008E5159"/>
    <w:rsid w:val="008E5911"/>
    <w:rsid w:val="008E60DA"/>
    <w:rsid w:val="008E625F"/>
    <w:rsid w:val="008F03CE"/>
    <w:rsid w:val="008F05F4"/>
    <w:rsid w:val="008F0E6D"/>
    <w:rsid w:val="008F2B69"/>
    <w:rsid w:val="008F2BFD"/>
    <w:rsid w:val="008F507F"/>
    <w:rsid w:val="008F606C"/>
    <w:rsid w:val="00900B04"/>
    <w:rsid w:val="00903C20"/>
    <w:rsid w:val="009042EC"/>
    <w:rsid w:val="0090510C"/>
    <w:rsid w:val="0091145C"/>
    <w:rsid w:val="00912D5A"/>
    <w:rsid w:val="0091409D"/>
    <w:rsid w:val="0091478B"/>
    <w:rsid w:val="00916398"/>
    <w:rsid w:val="0091724B"/>
    <w:rsid w:val="00917B15"/>
    <w:rsid w:val="00920DC9"/>
    <w:rsid w:val="0092405C"/>
    <w:rsid w:val="009274BD"/>
    <w:rsid w:val="00930F26"/>
    <w:rsid w:val="00931E57"/>
    <w:rsid w:val="009336C2"/>
    <w:rsid w:val="00936B3D"/>
    <w:rsid w:val="00937A7D"/>
    <w:rsid w:val="00937E9F"/>
    <w:rsid w:val="009410A0"/>
    <w:rsid w:val="00947F83"/>
    <w:rsid w:val="00950CF6"/>
    <w:rsid w:val="009626A8"/>
    <w:rsid w:val="00965381"/>
    <w:rsid w:val="00972755"/>
    <w:rsid w:val="00974A0E"/>
    <w:rsid w:val="00975023"/>
    <w:rsid w:val="00975EF4"/>
    <w:rsid w:val="009760C8"/>
    <w:rsid w:val="00976AB0"/>
    <w:rsid w:val="00977F3D"/>
    <w:rsid w:val="00977FC5"/>
    <w:rsid w:val="0098308E"/>
    <w:rsid w:val="009843C1"/>
    <w:rsid w:val="00986144"/>
    <w:rsid w:val="00990C0E"/>
    <w:rsid w:val="009916DC"/>
    <w:rsid w:val="009958F8"/>
    <w:rsid w:val="00995A91"/>
    <w:rsid w:val="009A0BE0"/>
    <w:rsid w:val="009A10AC"/>
    <w:rsid w:val="009A196F"/>
    <w:rsid w:val="009A23BA"/>
    <w:rsid w:val="009A48E7"/>
    <w:rsid w:val="009A5877"/>
    <w:rsid w:val="009A5A01"/>
    <w:rsid w:val="009A5C88"/>
    <w:rsid w:val="009B1220"/>
    <w:rsid w:val="009B1CFD"/>
    <w:rsid w:val="009C01BA"/>
    <w:rsid w:val="009C08A2"/>
    <w:rsid w:val="009D0D77"/>
    <w:rsid w:val="009D13F8"/>
    <w:rsid w:val="009D291E"/>
    <w:rsid w:val="009D47D2"/>
    <w:rsid w:val="009D583A"/>
    <w:rsid w:val="009D7684"/>
    <w:rsid w:val="009E16AD"/>
    <w:rsid w:val="009E1DC6"/>
    <w:rsid w:val="009E2FBA"/>
    <w:rsid w:val="009E4FBE"/>
    <w:rsid w:val="009E5AD9"/>
    <w:rsid w:val="009E628A"/>
    <w:rsid w:val="009E6C69"/>
    <w:rsid w:val="009E749F"/>
    <w:rsid w:val="009E7598"/>
    <w:rsid w:val="009F003C"/>
    <w:rsid w:val="009F11AD"/>
    <w:rsid w:val="009F2091"/>
    <w:rsid w:val="009F6325"/>
    <w:rsid w:val="00A06BBF"/>
    <w:rsid w:val="00A10152"/>
    <w:rsid w:val="00A115B8"/>
    <w:rsid w:val="00A146E5"/>
    <w:rsid w:val="00A169E7"/>
    <w:rsid w:val="00A179A2"/>
    <w:rsid w:val="00A2577D"/>
    <w:rsid w:val="00A25D19"/>
    <w:rsid w:val="00A260A6"/>
    <w:rsid w:val="00A3394A"/>
    <w:rsid w:val="00A34136"/>
    <w:rsid w:val="00A36109"/>
    <w:rsid w:val="00A4059F"/>
    <w:rsid w:val="00A4165C"/>
    <w:rsid w:val="00A50FE8"/>
    <w:rsid w:val="00A51201"/>
    <w:rsid w:val="00A607F7"/>
    <w:rsid w:val="00A60DCB"/>
    <w:rsid w:val="00A616C4"/>
    <w:rsid w:val="00A6275F"/>
    <w:rsid w:val="00A62BF0"/>
    <w:rsid w:val="00A63133"/>
    <w:rsid w:val="00A632E5"/>
    <w:rsid w:val="00A635A8"/>
    <w:rsid w:val="00A64701"/>
    <w:rsid w:val="00A65D86"/>
    <w:rsid w:val="00A65DE6"/>
    <w:rsid w:val="00A72444"/>
    <w:rsid w:val="00A7244A"/>
    <w:rsid w:val="00A72F27"/>
    <w:rsid w:val="00A7307F"/>
    <w:rsid w:val="00A81942"/>
    <w:rsid w:val="00A81B8D"/>
    <w:rsid w:val="00A824C8"/>
    <w:rsid w:val="00A8470A"/>
    <w:rsid w:val="00A86488"/>
    <w:rsid w:val="00A8739C"/>
    <w:rsid w:val="00A9097A"/>
    <w:rsid w:val="00A90FBD"/>
    <w:rsid w:val="00A9254B"/>
    <w:rsid w:val="00A9630A"/>
    <w:rsid w:val="00A96B2D"/>
    <w:rsid w:val="00AA486A"/>
    <w:rsid w:val="00AA589D"/>
    <w:rsid w:val="00AA649B"/>
    <w:rsid w:val="00AA7ADC"/>
    <w:rsid w:val="00AB0159"/>
    <w:rsid w:val="00AB4C7B"/>
    <w:rsid w:val="00AC037D"/>
    <w:rsid w:val="00AC21F5"/>
    <w:rsid w:val="00AC2385"/>
    <w:rsid w:val="00AC3EF9"/>
    <w:rsid w:val="00AC525A"/>
    <w:rsid w:val="00AE22DA"/>
    <w:rsid w:val="00AE319F"/>
    <w:rsid w:val="00AE3626"/>
    <w:rsid w:val="00AE380E"/>
    <w:rsid w:val="00AE4F9C"/>
    <w:rsid w:val="00AF4850"/>
    <w:rsid w:val="00AF7381"/>
    <w:rsid w:val="00B00C23"/>
    <w:rsid w:val="00B02772"/>
    <w:rsid w:val="00B034F2"/>
    <w:rsid w:val="00B03AB1"/>
    <w:rsid w:val="00B06A32"/>
    <w:rsid w:val="00B07EC2"/>
    <w:rsid w:val="00B10321"/>
    <w:rsid w:val="00B12CB3"/>
    <w:rsid w:val="00B13982"/>
    <w:rsid w:val="00B156D9"/>
    <w:rsid w:val="00B23E4D"/>
    <w:rsid w:val="00B24793"/>
    <w:rsid w:val="00B24F46"/>
    <w:rsid w:val="00B27043"/>
    <w:rsid w:val="00B27DCB"/>
    <w:rsid w:val="00B317A5"/>
    <w:rsid w:val="00B33B48"/>
    <w:rsid w:val="00B349CE"/>
    <w:rsid w:val="00B3733B"/>
    <w:rsid w:val="00B40BD9"/>
    <w:rsid w:val="00B41639"/>
    <w:rsid w:val="00B44D30"/>
    <w:rsid w:val="00B45D57"/>
    <w:rsid w:val="00B51EBB"/>
    <w:rsid w:val="00B52281"/>
    <w:rsid w:val="00B555DB"/>
    <w:rsid w:val="00B627FF"/>
    <w:rsid w:val="00B62AB2"/>
    <w:rsid w:val="00B66122"/>
    <w:rsid w:val="00B67630"/>
    <w:rsid w:val="00B7180F"/>
    <w:rsid w:val="00B777EB"/>
    <w:rsid w:val="00B81E4E"/>
    <w:rsid w:val="00B8267A"/>
    <w:rsid w:val="00B86587"/>
    <w:rsid w:val="00B920F5"/>
    <w:rsid w:val="00B94B24"/>
    <w:rsid w:val="00B94C90"/>
    <w:rsid w:val="00B969C2"/>
    <w:rsid w:val="00BA3D22"/>
    <w:rsid w:val="00BA4940"/>
    <w:rsid w:val="00BA546E"/>
    <w:rsid w:val="00BB3F40"/>
    <w:rsid w:val="00BB5E8B"/>
    <w:rsid w:val="00BC1CC4"/>
    <w:rsid w:val="00BC3749"/>
    <w:rsid w:val="00BC65E2"/>
    <w:rsid w:val="00BC6641"/>
    <w:rsid w:val="00BC6E1A"/>
    <w:rsid w:val="00BC6E4D"/>
    <w:rsid w:val="00BD0F17"/>
    <w:rsid w:val="00BD33FB"/>
    <w:rsid w:val="00BD4037"/>
    <w:rsid w:val="00BD78F6"/>
    <w:rsid w:val="00BE1F60"/>
    <w:rsid w:val="00BE244C"/>
    <w:rsid w:val="00BE3C57"/>
    <w:rsid w:val="00BE49EF"/>
    <w:rsid w:val="00BE5CEC"/>
    <w:rsid w:val="00BE78F8"/>
    <w:rsid w:val="00BF1661"/>
    <w:rsid w:val="00BF6305"/>
    <w:rsid w:val="00BF6AD0"/>
    <w:rsid w:val="00C018F5"/>
    <w:rsid w:val="00C02EF2"/>
    <w:rsid w:val="00C05AAB"/>
    <w:rsid w:val="00C06619"/>
    <w:rsid w:val="00C078C8"/>
    <w:rsid w:val="00C07D56"/>
    <w:rsid w:val="00C10EDF"/>
    <w:rsid w:val="00C13633"/>
    <w:rsid w:val="00C14993"/>
    <w:rsid w:val="00C15A8C"/>
    <w:rsid w:val="00C20B40"/>
    <w:rsid w:val="00C21F3F"/>
    <w:rsid w:val="00C23BCA"/>
    <w:rsid w:val="00C35A14"/>
    <w:rsid w:val="00C35D2A"/>
    <w:rsid w:val="00C35FA3"/>
    <w:rsid w:val="00C36273"/>
    <w:rsid w:val="00C375F4"/>
    <w:rsid w:val="00C4232B"/>
    <w:rsid w:val="00C45017"/>
    <w:rsid w:val="00C45304"/>
    <w:rsid w:val="00C45E33"/>
    <w:rsid w:val="00C45F56"/>
    <w:rsid w:val="00C47295"/>
    <w:rsid w:val="00C5085B"/>
    <w:rsid w:val="00C558CB"/>
    <w:rsid w:val="00C569C5"/>
    <w:rsid w:val="00C56F78"/>
    <w:rsid w:val="00C60F3F"/>
    <w:rsid w:val="00C61F4F"/>
    <w:rsid w:val="00C6667F"/>
    <w:rsid w:val="00C6674E"/>
    <w:rsid w:val="00C675E0"/>
    <w:rsid w:val="00C676D4"/>
    <w:rsid w:val="00C70792"/>
    <w:rsid w:val="00C7249F"/>
    <w:rsid w:val="00C73F12"/>
    <w:rsid w:val="00C7511D"/>
    <w:rsid w:val="00C762D2"/>
    <w:rsid w:val="00C76B7D"/>
    <w:rsid w:val="00C77DC1"/>
    <w:rsid w:val="00C83C93"/>
    <w:rsid w:val="00C8462D"/>
    <w:rsid w:val="00C87510"/>
    <w:rsid w:val="00C916C8"/>
    <w:rsid w:val="00CA0075"/>
    <w:rsid w:val="00CA0C71"/>
    <w:rsid w:val="00CA4098"/>
    <w:rsid w:val="00CA6695"/>
    <w:rsid w:val="00CA72D4"/>
    <w:rsid w:val="00CA774A"/>
    <w:rsid w:val="00CB05FF"/>
    <w:rsid w:val="00CB06B9"/>
    <w:rsid w:val="00CB3349"/>
    <w:rsid w:val="00CB4A6B"/>
    <w:rsid w:val="00CC1629"/>
    <w:rsid w:val="00CC2E72"/>
    <w:rsid w:val="00CC3CD2"/>
    <w:rsid w:val="00CC55DC"/>
    <w:rsid w:val="00CC67C9"/>
    <w:rsid w:val="00CC68D1"/>
    <w:rsid w:val="00CC7DD4"/>
    <w:rsid w:val="00CD0617"/>
    <w:rsid w:val="00CD1F9E"/>
    <w:rsid w:val="00CD4045"/>
    <w:rsid w:val="00CE2BA2"/>
    <w:rsid w:val="00CE34DE"/>
    <w:rsid w:val="00CE4C84"/>
    <w:rsid w:val="00CE5196"/>
    <w:rsid w:val="00CF18F3"/>
    <w:rsid w:val="00CF22A1"/>
    <w:rsid w:val="00CF3516"/>
    <w:rsid w:val="00CF365D"/>
    <w:rsid w:val="00CF3DC8"/>
    <w:rsid w:val="00CF4383"/>
    <w:rsid w:val="00CF46FC"/>
    <w:rsid w:val="00D006F9"/>
    <w:rsid w:val="00D00E34"/>
    <w:rsid w:val="00D04953"/>
    <w:rsid w:val="00D04D31"/>
    <w:rsid w:val="00D12C10"/>
    <w:rsid w:val="00D12EC7"/>
    <w:rsid w:val="00D16F1F"/>
    <w:rsid w:val="00D255B7"/>
    <w:rsid w:val="00D257CE"/>
    <w:rsid w:val="00D25FA9"/>
    <w:rsid w:val="00D275E6"/>
    <w:rsid w:val="00D30E10"/>
    <w:rsid w:val="00D314B7"/>
    <w:rsid w:val="00D31D2F"/>
    <w:rsid w:val="00D32589"/>
    <w:rsid w:val="00D326D3"/>
    <w:rsid w:val="00D32ACF"/>
    <w:rsid w:val="00D33989"/>
    <w:rsid w:val="00D34200"/>
    <w:rsid w:val="00D35B71"/>
    <w:rsid w:val="00D40DF4"/>
    <w:rsid w:val="00D41BBE"/>
    <w:rsid w:val="00D4268F"/>
    <w:rsid w:val="00D42DBC"/>
    <w:rsid w:val="00D44162"/>
    <w:rsid w:val="00D442B7"/>
    <w:rsid w:val="00D5031E"/>
    <w:rsid w:val="00D53B34"/>
    <w:rsid w:val="00D61012"/>
    <w:rsid w:val="00D62644"/>
    <w:rsid w:val="00D65D0C"/>
    <w:rsid w:val="00D6763F"/>
    <w:rsid w:val="00D67D23"/>
    <w:rsid w:val="00D67D4F"/>
    <w:rsid w:val="00D70318"/>
    <w:rsid w:val="00D7032E"/>
    <w:rsid w:val="00D72EF2"/>
    <w:rsid w:val="00D76CD4"/>
    <w:rsid w:val="00D77A0F"/>
    <w:rsid w:val="00D817FF"/>
    <w:rsid w:val="00D87121"/>
    <w:rsid w:val="00D872BA"/>
    <w:rsid w:val="00D87759"/>
    <w:rsid w:val="00D931FF"/>
    <w:rsid w:val="00D96706"/>
    <w:rsid w:val="00D96B0A"/>
    <w:rsid w:val="00DA3ECA"/>
    <w:rsid w:val="00DA753B"/>
    <w:rsid w:val="00DA7E83"/>
    <w:rsid w:val="00DB12C9"/>
    <w:rsid w:val="00DB1F3B"/>
    <w:rsid w:val="00DC0B0C"/>
    <w:rsid w:val="00DC0BD3"/>
    <w:rsid w:val="00DC3ADA"/>
    <w:rsid w:val="00DC44D0"/>
    <w:rsid w:val="00DC501A"/>
    <w:rsid w:val="00DC6626"/>
    <w:rsid w:val="00DC6A11"/>
    <w:rsid w:val="00DD54AB"/>
    <w:rsid w:val="00DD57D8"/>
    <w:rsid w:val="00DD652E"/>
    <w:rsid w:val="00DE10DC"/>
    <w:rsid w:val="00DE23E4"/>
    <w:rsid w:val="00DE2AA0"/>
    <w:rsid w:val="00DE3354"/>
    <w:rsid w:val="00DF07E5"/>
    <w:rsid w:val="00DF08E9"/>
    <w:rsid w:val="00DF27BD"/>
    <w:rsid w:val="00DF4050"/>
    <w:rsid w:val="00DF6995"/>
    <w:rsid w:val="00DF6F25"/>
    <w:rsid w:val="00E004AC"/>
    <w:rsid w:val="00E02E9E"/>
    <w:rsid w:val="00E05EEC"/>
    <w:rsid w:val="00E07927"/>
    <w:rsid w:val="00E111F4"/>
    <w:rsid w:val="00E11E77"/>
    <w:rsid w:val="00E147FE"/>
    <w:rsid w:val="00E16264"/>
    <w:rsid w:val="00E200A1"/>
    <w:rsid w:val="00E20A59"/>
    <w:rsid w:val="00E22E9B"/>
    <w:rsid w:val="00E302B2"/>
    <w:rsid w:val="00E304BF"/>
    <w:rsid w:val="00E340D8"/>
    <w:rsid w:val="00E35EBD"/>
    <w:rsid w:val="00E36631"/>
    <w:rsid w:val="00E37FA1"/>
    <w:rsid w:val="00E41A68"/>
    <w:rsid w:val="00E43463"/>
    <w:rsid w:val="00E477B1"/>
    <w:rsid w:val="00E513B8"/>
    <w:rsid w:val="00E5222A"/>
    <w:rsid w:val="00E546B8"/>
    <w:rsid w:val="00E57EEE"/>
    <w:rsid w:val="00E6020F"/>
    <w:rsid w:val="00E64B7C"/>
    <w:rsid w:val="00E65570"/>
    <w:rsid w:val="00E67CBF"/>
    <w:rsid w:val="00E67DB2"/>
    <w:rsid w:val="00E716EE"/>
    <w:rsid w:val="00E71F98"/>
    <w:rsid w:val="00E7215C"/>
    <w:rsid w:val="00E72F69"/>
    <w:rsid w:val="00E75A35"/>
    <w:rsid w:val="00E763F8"/>
    <w:rsid w:val="00E77D5B"/>
    <w:rsid w:val="00E80E91"/>
    <w:rsid w:val="00E81058"/>
    <w:rsid w:val="00E81B38"/>
    <w:rsid w:val="00E82FD9"/>
    <w:rsid w:val="00E8327D"/>
    <w:rsid w:val="00E854C7"/>
    <w:rsid w:val="00E87A00"/>
    <w:rsid w:val="00E90347"/>
    <w:rsid w:val="00E92747"/>
    <w:rsid w:val="00E92D88"/>
    <w:rsid w:val="00E93AB6"/>
    <w:rsid w:val="00E96093"/>
    <w:rsid w:val="00E97801"/>
    <w:rsid w:val="00EA4D5D"/>
    <w:rsid w:val="00EA5229"/>
    <w:rsid w:val="00EB0992"/>
    <w:rsid w:val="00EB3E6B"/>
    <w:rsid w:val="00EC24FB"/>
    <w:rsid w:val="00EC43E5"/>
    <w:rsid w:val="00EC44F5"/>
    <w:rsid w:val="00EC5278"/>
    <w:rsid w:val="00EC617D"/>
    <w:rsid w:val="00EC630D"/>
    <w:rsid w:val="00ED01C3"/>
    <w:rsid w:val="00ED4630"/>
    <w:rsid w:val="00ED4DCA"/>
    <w:rsid w:val="00EE0B1F"/>
    <w:rsid w:val="00EF42D1"/>
    <w:rsid w:val="00EF660E"/>
    <w:rsid w:val="00EF6DC3"/>
    <w:rsid w:val="00F00891"/>
    <w:rsid w:val="00F03594"/>
    <w:rsid w:val="00F04323"/>
    <w:rsid w:val="00F059C8"/>
    <w:rsid w:val="00F06E94"/>
    <w:rsid w:val="00F11881"/>
    <w:rsid w:val="00F11D39"/>
    <w:rsid w:val="00F13EF7"/>
    <w:rsid w:val="00F161E0"/>
    <w:rsid w:val="00F211A7"/>
    <w:rsid w:val="00F2376D"/>
    <w:rsid w:val="00F253C5"/>
    <w:rsid w:val="00F26027"/>
    <w:rsid w:val="00F269C9"/>
    <w:rsid w:val="00F26EC8"/>
    <w:rsid w:val="00F317CB"/>
    <w:rsid w:val="00F3288D"/>
    <w:rsid w:val="00F3518F"/>
    <w:rsid w:val="00F35A25"/>
    <w:rsid w:val="00F35D8D"/>
    <w:rsid w:val="00F35EF6"/>
    <w:rsid w:val="00F4164F"/>
    <w:rsid w:val="00F4291A"/>
    <w:rsid w:val="00F45A49"/>
    <w:rsid w:val="00F45D29"/>
    <w:rsid w:val="00F46133"/>
    <w:rsid w:val="00F525F6"/>
    <w:rsid w:val="00F5349B"/>
    <w:rsid w:val="00F540A8"/>
    <w:rsid w:val="00F54735"/>
    <w:rsid w:val="00F55A67"/>
    <w:rsid w:val="00F607D4"/>
    <w:rsid w:val="00F61040"/>
    <w:rsid w:val="00F61D85"/>
    <w:rsid w:val="00F66CF6"/>
    <w:rsid w:val="00F66F5C"/>
    <w:rsid w:val="00F67BE9"/>
    <w:rsid w:val="00F701DF"/>
    <w:rsid w:val="00F74982"/>
    <w:rsid w:val="00F755FE"/>
    <w:rsid w:val="00F77366"/>
    <w:rsid w:val="00F80816"/>
    <w:rsid w:val="00F83AF7"/>
    <w:rsid w:val="00F83EAC"/>
    <w:rsid w:val="00F84E5E"/>
    <w:rsid w:val="00F84EEF"/>
    <w:rsid w:val="00F85396"/>
    <w:rsid w:val="00F86925"/>
    <w:rsid w:val="00F918A9"/>
    <w:rsid w:val="00F94802"/>
    <w:rsid w:val="00F963AC"/>
    <w:rsid w:val="00FA04D7"/>
    <w:rsid w:val="00FA0AAB"/>
    <w:rsid w:val="00FA4237"/>
    <w:rsid w:val="00FA430C"/>
    <w:rsid w:val="00FA611F"/>
    <w:rsid w:val="00FB7FD6"/>
    <w:rsid w:val="00FC1E05"/>
    <w:rsid w:val="00FC2FC4"/>
    <w:rsid w:val="00FC3B7D"/>
    <w:rsid w:val="00FC40CA"/>
    <w:rsid w:val="00FC5BA4"/>
    <w:rsid w:val="00FC63A0"/>
    <w:rsid w:val="00FC73A7"/>
    <w:rsid w:val="00FD0452"/>
    <w:rsid w:val="00FD12AD"/>
    <w:rsid w:val="00FD3820"/>
    <w:rsid w:val="00FD6BF5"/>
    <w:rsid w:val="00FD75AF"/>
    <w:rsid w:val="00FD78C1"/>
    <w:rsid w:val="00FE074F"/>
    <w:rsid w:val="00FE0E91"/>
    <w:rsid w:val="00FE2AD2"/>
    <w:rsid w:val="00FE4042"/>
    <w:rsid w:val="00FE6B0D"/>
    <w:rsid w:val="00FE767C"/>
    <w:rsid w:val="00FF18D6"/>
    <w:rsid w:val="00FF3E47"/>
    <w:rsid w:val="00FF5005"/>
    <w:rsid w:val="0F257763"/>
    <w:rsid w:val="12A527FA"/>
    <w:rsid w:val="245A0C8F"/>
    <w:rsid w:val="2797680C"/>
    <w:rsid w:val="452C2AA2"/>
    <w:rsid w:val="77113475"/>
    <w:rsid w:val="7A002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next w:val="1"/>
    <w:link w:val="19"/>
    <w:qFormat/>
    <w:uiPriority w:val="9"/>
    <w:pPr>
      <w:keepNext/>
      <w:keepLines/>
      <w:numPr>
        <w:ilvl w:val="0"/>
        <w:numId w:val="1"/>
      </w:numPr>
      <w:spacing w:before="50" w:beforeLines="50" w:after="50" w:afterLines="50" w:line="360" w:lineRule="auto"/>
      <w:jc w:val="center"/>
      <w:outlineLvl w:val="0"/>
    </w:pPr>
    <w:rPr>
      <w:rFonts w:ascii="Times New Roman" w:hAnsi="Times New Roman" w:eastAsia="黑体" w:cstheme="minorBidi"/>
      <w:bCs/>
      <w:kern w:val="44"/>
      <w:sz w:val="32"/>
      <w:szCs w:val="44"/>
      <w:lang w:val="en-US" w:eastAsia="zh-CN" w:bidi="ar-SA"/>
    </w:rPr>
  </w:style>
  <w:style w:type="paragraph" w:styleId="3">
    <w:name w:val="heading 2"/>
    <w:basedOn w:val="1"/>
    <w:next w:val="1"/>
    <w:link w:val="20"/>
    <w:unhideWhenUsed/>
    <w:qFormat/>
    <w:uiPriority w:val="9"/>
    <w:pPr>
      <w:keepNext/>
      <w:keepLines/>
      <w:numPr>
        <w:ilvl w:val="1"/>
        <w:numId w:val="1"/>
      </w:numPr>
      <w:spacing w:before="120" w:after="120"/>
      <w:ind w:firstLine="0" w:firstLineChars="0"/>
      <w:outlineLvl w:val="1"/>
    </w:pPr>
    <w:rPr>
      <w:rFonts w:eastAsia="楷体_GB2312" w:cstheme="majorBidi"/>
      <w:bCs/>
      <w:szCs w:val="32"/>
    </w:rPr>
  </w:style>
  <w:style w:type="paragraph" w:styleId="4">
    <w:name w:val="heading 3"/>
    <w:basedOn w:val="1"/>
    <w:next w:val="1"/>
    <w:link w:val="21"/>
    <w:unhideWhenUsed/>
    <w:qFormat/>
    <w:uiPriority w:val="9"/>
    <w:pPr>
      <w:keepNext/>
      <w:keepLines/>
      <w:numPr>
        <w:ilvl w:val="2"/>
        <w:numId w:val="1"/>
      </w:numPr>
      <w:spacing w:before="120" w:after="120"/>
      <w:ind w:left="0" w:firstLine="0" w:firstLineChars="0"/>
      <w:outlineLvl w:val="2"/>
    </w:pPr>
    <w:rPr>
      <w:b/>
      <w:bCs/>
      <w:sz w:val="30"/>
      <w:szCs w:val="32"/>
    </w:rPr>
  </w:style>
  <w:style w:type="paragraph" w:styleId="5">
    <w:name w:val="heading 4"/>
    <w:basedOn w:val="1"/>
    <w:next w:val="1"/>
    <w:link w:val="32"/>
    <w:unhideWhenUsed/>
    <w:qFormat/>
    <w:uiPriority w:val="9"/>
    <w:pPr>
      <w:keepNext/>
      <w:keepLines/>
      <w:spacing w:before="120" w:after="120"/>
      <w:ind w:firstLine="0"/>
      <w:outlineLvl w:val="3"/>
    </w:pPr>
    <w:rPr>
      <w:rFonts w:cstheme="majorBidi"/>
      <w:bCs/>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Indent"/>
    <w:basedOn w:val="1"/>
    <w:link w:val="26"/>
    <w:qFormat/>
    <w:uiPriority w:val="0"/>
    <w:pPr>
      <w:widowControl/>
      <w:spacing w:after="120"/>
      <w:ind w:left="420" w:leftChars="200" w:firstLine="0" w:firstLineChars="0"/>
      <w:jc w:val="left"/>
    </w:pPr>
    <w:rPr>
      <w:rFonts w:eastAsia="宋体" w:cs="Times New Roman"/>
      <w:kern w:val="0"/>
      <w:sz w:val="24"/>
      <w:szCs w:val="24"/>
      <w:lang w:eastAsia="en-US" w:bidi="en-US"/>
    </w:rPr>
  </w:style>
  <w:style w:type="paragraph" w:styleId="7">
    <w:name w:val="toc 3"/>
    <w:basedOn w:val="1"/>
    <w:next w:val="1"/>
    <w:unhideWhenUsed/>
    <w:qFormat/>
    <w:uiPriority w:val="39"/>
    <w:pPr>
      <w:ind w:left="840" w:leftChars="400"/>
    </w:pPr>
  </w:style>
  <w:style w:type="paragraph" w:styleId="8">
    <w:name w:val="Balloon Text"/>
    <w:basedOn w:val="1"/>
    <w:link w:val="34"/>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834"/>
      </w:tabs>
      <w:ind w:firstLine="0" w:firstLineChars="0"/>
    </w:pPr>
  </w:style>
  <w:style w:type="paragraph" w:styleId="12">
    <w:name w:val="toc 2"/>
    <w:basedOn w:val="1"/>
    <w:next w:val="1"/>
    <w:unhideWhenUsed/>
    <w:qFormat/>
    <w:uiPriority w:val="39"/>
    <w:pPr>
      <w:ind w:left="420" w:leftChars="200"/>
    </w:p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页眉 字符"/>
    <w:basedOn w:val="15"/>
    <w:link w:val="10"/>
    <w:qFormat/>
    <w:uiPriority w:val="99"/>
    <w:rPr>
      <w:sz w:val="18"/>
      <w:szCs w:val="18"/>
    </w:rPr>
  </w:style>
  <w:style w:type="character" w:customStyle="1" w:styleId="18">
    <w:name w:val="页脚 字符"/>
    <w:basedOn w:val="15"/>
    <w:link w:val="9"/>
    <w:qFormat/>
    <w:uiPriority w:val="99"/>
    <w:rPr>
      <w:sz w:val="18"/>
      <w:szCs w:val="18"/>
    </w:rPr>
  </w:style>
  <w:style w:type="character" w:customStyle="1" w:styleId="19">
    <w:name w:val="标题 1 字符"/>
    <w:basedOn w:val="15"/>
    <w:link w:val="2"/>
    <w:qFormat/>
    <w:uiPriority w:val="9"/>
    <w:rPr>
      <w:rFonts w:ascii="Times New Roman" w:hAnsi="Times New Roman" w:eastAsia="黑体"/>
      <w:bCs/>
      <w:kern w:val="44"/>
      <w:sz w:val="32"/>
      <w:szCs w:val="44"/>
    </w:rPr>
  </w:style>
  <w:style w:type="character" w:customStyle="1" w:styleId="20">
    <w:name w:val="标题 2 字符"/>
    <w:basedOn w:val="15"/>
    <w:link w:val="3"/>
    <w:qFormat/>
    <w:uiPriority w:val="9"/>
    <w:rPr>
      <w:rFonts w:ascii="Times New Roman" w:hAnsi="Times New Roman" w:eastAsia="楷体_GB2312" w:cstheme="majorBidi"/>
      <w:bCs/>
      <w:sz w:val="32"/>
      <w:szCs w:val="32"/>
    </w:rPr>
  </w:style>
  <w:style w:type="character" w:customStyle="1" w:styleId="21">
    <w:name w:val="标题 3 字符"/>
    <w:basedOn w:val="15"/>
    <w:link w:val="4"/>
    <w:qFormat/>
    <w:uiPriority w:val="9"/>
    <w:rPr>
      <w:rFonts w:ascii="Times New Roman" w:hAnsi="Times New Roman" w:eastAsia="仿宋_GB2312"/>
      <w:b/>
      <w:bCs/>
      <w:sz w:val="30"/>
      <w:szCs w:val="32"/>
    </w:rPr>
  </w:style>
  <w:style w:type="paragraph" w:styleId="22">
    <w:name w:val="No Spacing"/>
    <w:qFormat/>
    <w:uiPriority w:val="1"/>
    <w:pPr>
      <w:widowControl w:val="0"/>
      <w:ind w:firstLine="200" w:firstLineChars="200"/>
      <w:jc w:val="both"/>
    </w:pPr>
    <w:rPr>
      <w:rFonts w:ascii="Times New Roman" w:hAnsi="Times New Roman" w:eastAsia="仿宋_GB2312" w:cstheme="minorBidi"/>
      <w:kern w:val="2"/>
      <w:sz w:val="32"/>
      <w:szCs w:val="22"/>
      <w:lang w:val="en-US" w:eastAsia="zh-CN" w:bidi="ar-SA"/>
    </w:rPr>
  </w:style>
  <w:style w:type="paragraph" w:customStyle="1" w:styleId="23">
    <w:name w:val="样式定义"/>
    <w:basedOn w:val="1"/>
    <w:qFormat/>
    <w:uiPriority w:val="0"/>
    <w:pPr>
      <w:widowControl/>
      <w:shd w:val="clear" w:color="auto" w:fill="FFFFFF"/>
      <w:spacing w:line="600" w:lineRule="exact"/>
      <w:ind w:firstLine="420"/>
    </w:pPr>
    <w:rPr>
      <w:rFonts w:ascii="仿宋_GB2312" w:hAnsi="仿宋_GB2312" w:eastAsia="宋体" w:cs="仿宋_GB2312"/>
      <w:sz w:val="24"/>
      <w:szCs w:val="32"/>
    </w:rPr>
  </w:style>
  <w:style w:type="character" w:customStyle="1" w:styleId="24">
    <w:name w:val="页脚 Char"/>
    <w:qFormat/>
    <w:uiPriority w:val="99"/>
    <w:rPr>
      <w:kern w:val="2"/>
      <w:sz w:val="18"/>
      <w:szCs w:val="18"/>
    </w:rPr>
  </w:style>
  <w:style w:type="character" w:customStyle="1" w:styleId="25">
    <w:name w:val="标题 3 Char"/>
    <w:basedOn w:val="15"/>
    <w:qFormat/>
    <w:uiPriority w:val="9"/>
    <w:rPr>
      <w:rFonts w:ascii="Calibri Light" w:hAnsi="Calibri Light"/>
      <w:b/>
      <w:bCs/>
      <w:sz w:val="28"/>
      <w:szCs w:val="26"/>
      <w:lang w:bidi="en-US"/>
    </w:rPr>
  </w:style>
  <w:style w:type="character" w:customStyle="1" w:styleId="26">
    <w:name w:val="正文文本缩进 字符"/>
    <w:basedOn w:val="15"/>
    <w:link w:val="6"/>
    <w:qFormat/>
    <w:uiPriority w:val="0"/>
    <w:rPr>
      <w:rFonts w:ascii="Times New Roman" w:hAnsi="Times New Roman" w:eastAsia="宋体" w:cs="Times New Roman"/>
      <w:kern w:val="0"/>
      <w:sz w:val="24"/>
      <w:szCs w:val="24"/>
      <w:lang w:eastAsia="en-US" w:bidi="en-US"/>
    </w:rPr>
  </w:style>
  <w:style w:type="paragraph" w:customStyle="1" w:styleId="27">
    <w:name w:val="图表号"/>
    <w:next w:val="22"/>
    <w:link w:val="29"/>
    <w:qFormat/>
    <w:uiPriority w:val="0"/>
    <w:pPr>
      <w:widowControl w:val="0"/>
      <w:jc w:val="center"/>
    </w:pPr>
    <w:rPr>
      <w:rFonts w:ascii="Times New Roman" w:hAnsi="Times New Roman" w:eastAsia="仿宋_GB2312" w:cstheme="minorBidi"/>
      <w:kern w:val="2"/>
      <w:sz w:val="28"/>
      <w:szCs w:val="22"/>
      <w:lang w:val="en-US" w:eastAsia="zh-CN" w:bidi="ar-SA"/>
    </w:rPr>
  </w:style>
  <w:style w:type="paragraph" w:customStyle="1" w:styleId="28">
    <w:name w:val="表格内容"/>
    <w:basedOn w:val="22"/>
    <w:link w:val="30"/>
    <w:qFormat/>
    <w:uiPriority w:val="0"/>
    <w:pPr>
      <w:ind w:firstLine="0" w:firstLineChars="0"/>
      <w:jc w:val="center"/>
    </w:pPr>
    <w:rPr>
      <w:sz w:val="24"/>
      <w:szCs w:val="24"/>
    </w:rPr>
  </w:style>
  <w:style w:type="character" w:customStyle="1" w:styleId="29">
    <w:name w:val="图表号 字符"/>
    <w:basedOn w:val="15"/>
    <w:link w:val="27"/>
    <w:qFormat/>
    <w:uiPriority w:val="0"/>
    <w:rPr>
      <w:rFonts w:ascii="Times New Roman" w:hAnsi="Times New Roman" w:eastAsia="仿宋_GB2312"/>
      <w:sz w:val="28"/>
    </w:rPr>
  </w:style>
  <w:style w:type="character" w:customStyle="1" w:styleId="30">
    <w:name w:val="表格内容 字符"/>
    <w:basedOn w:val="15"/>
    <w:link w:val="28"/>
    <w:qFormat/>
    <w:uiPriority w:val="0"/>
    <w:rPr>
      <w:rFonts w:ascii="Times New Roman" w:hAnsi="Times New Roman" w:eastAsia="仿宋_GB2312"/>
      <w:sz w:val="24"/>
      <w:szCs w:val="24"/>
    </w:rPr>
  </w:style>
  <w:style w:type="paragraph" w:styleId="31">
    <w:name w:val="List Paragraph"/>
    <w:basedOn w:val="1"/>
    <w:qFormat/>
    <w:uiPriority w:val="34"/>
    <w:pPr>
      <w:ind w:firstLine="420"/>
    </w:pPr>
  </w:style>
  <w:style w:type="character" w:customStyle="1" w:styleId="32">
    <w:name w:val="标题 4 字符"/>
    <w:basedOn w:val="15"/>
    <w:link w:val="5"/>
    <w:qFormat/>
    <w:uiPriority w:val="9"/>
    <w:rPr>
      <w:rFonts w:ascii="Times New Roman" w:hAnsi="Times New Roman" w:eastAsia="仿宋_GB2312" w:cstheme="majorBidi"/>
      <w:bCs/>
      <w:sz w:val="32"/>
      <w:szCs w:val="28"/>
    </w:rPr>
  </w:style>
  <w:style w:type="character" w:customStyle="1" w:styleId="33">
    <w:name w:val="标题 3 字符1"/>
    <w:qFormat/>
    <w:uiPriority w:val="0"/>
    <w:rPr>
      <w:rFonts w:ascii="宋体" w:hAnsi="宋体" w:eastAsia="宋体" w:cs="宋体"/>
      <w:b/>
      <w:bCs/>
      <w:sz w:val="32"/>
      <w:szCs w:val="32"/>
      <w:lang w:val="en-US" w:eastAsia="zh-CN" w:bidi="ar-SA"/>
    </w:rPr>
  </w:style>
  <w:style w:type="character" w:customStyle="1" w:styleId="34">
    <w:name w:val="批注框文本 字符"/>
    <w:basedOn w:val="15"/>
    <w:link w:val="8"/>
    <w:semiHidden/>
    <w:qFormat/>
    <w:uiPriority w:val="99"/>
    <w:rPr>
      <w:rFonts w:ascii="Times New Roman" w:hAnsi="Times New Roman"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31.wmf"/><Relationship Id="rId80" Type="http://schemas.openxmlformats.org/officeDocument/2006/relationships/oleObject" Target="embeddings/oleObject15.bin"/><Relationship Id="rId8" Type="http://schemas.openxmlformats.org/officeDocument/2006/relationships/footer" Target="footer1.xml"/><Relationship Id="rId79" Type="http://schemas.openxmlformats.org/officeDocument/2006/relationships/image" Target="media/image30.wmf"/><Relationship Id="rId78" Type="http://schemas.openxmlformats.org/officeDocument/2006/relationships/oleObject" Target="embeddings/oleObject14.bin"/><Relationship Id="rId77" Type="http://schemas.openxmlformats.org/officeDocument/2006/relationships/image" Target="media/image29.wmf"/><Relationship Id="rId76" Type="http://schemas.openxmlformats.org/officeDocument/2006/relationships/oleObject" Target="embeddings/oleObject13.bin"/><Relationship Id="rId75" Type="http://schemas.openxmlformats.org/officeDocument/2006/relationships/image" Target="media/image28.jpeg"/><Relationship Id="rId74" Type="http://schemas.openxmlformats.org/officeDocument/2006/relationships/image" Target="media/image27.wmf"/><Relationship Id="rId73" Type="http://schemas.openxmlformats.org/officeDocument/2006/relationships/oleObject" Target="embeddings/oleObject12.bin"/><Relationship Id="rId72" Type="http://schemas.openxmlformats.org/officeDocument/2006/relationships/oleObject" Target="embeddings/oleObject11.bin"/><Relationship Id="rId71" Type="http://schemas.openxmlformats.org/officeDocument/2006/relationships/oleObject" Target="embeddings/oleObject10.bin"/><Relationship Id="rId70" Type="http://schemas.openxmlformats.org/officeDocument/2006/relationships/image" Target="media/image26.wmf"/><Relationship Id="rId7" Type="http://schemas.openxmlformats.org/officeDocument/2006/relationships/header" Target="header3.xml"/><Relationship Id="rId69" Type="http://schemas.openxmlformats.org/officeDocument/2006/relationships/oleObject" Target="embeddings/oleObject9.bin"/><Relationship Id="rId68" Type="http://schemas.openxmlformats.org/officeDocument/2006/relationships/image" Target="media/image25.wmf"/><Relationship Id="rId67" Type="http://schemas.openxmlformats.org/officeDocument/2006/relationships/oleObject" Target="embeddings/oleObject8.bin"/><Relationship Id="rId66" Type="http://schemas.openxmlformats.org/officeDocument/2006/relationships/image" Target="media/image24.wmf"/><Relationship Id="rId65" Type="http://schemas.openxmlformats.org/officeDocument/2006/relationships/oleObject" Target="embeddings/oleObject7.bin"/><Relationship Id="rId64" Type="http://schemas.openxmlformats.org/officeDocument/2006/relationships/image" Target="media/image23.wmf"/><Relationship Id="rId63" Type="http://schemas.openxmlformats.org/officeDocument/2006/relationships/oleObject" Target="embeddings/oleObject6.bin"/><Relationship Id="rId62" Type="http://schemas.openxmlformats.org/officeDocument/2006/relationships/image" Target="media/image22.wmf"/><Relationship Id="rId61" Type="http://schemas.openxmlformats.org/officeDocument/2006/relationships/oleObject" Target="embeddings/oleObject5.bin"/><Relationship Id="rId60" Type="http://schemas.openxmlformats.org/officeDocument/2006/relationships/image" Target="media/image21.wmf"/><Relationship Id="rId6" Type="http://schemas.openxmlformats.org/officeDocument/2006/relationships/header" Target="header2.xml"/><Relationship Id="rId59" Type="http://schemas.openxmlformats.org/officeDocument/2006/relationships/oleObject" Target="embeddings/oleObject4.bin"/><Relationship Id="rId58" Type="http://schemas.openxmlformats.org/officeDocument/2006/relationships/image" Target="media/image20.wmf"/><Relationship Id="rId57" Type="http://schemas.openxmlformats.org/officeDocument/2006/relationships/oleObject" Target="embeddings/oleObject3.bin"/><Relationship Id="rId56" Type="http://schemas.openxmlformats.org/officeDocument/2006/relationships/image" Target="media/image19.wmf"/><Relationship Id="rId55" Type="http://schemas.openxmlformats.org/officeDocument/2006/relationships/oleObject" Target="embeddings/oleObject2.bin"/><Relationship Id="rId54" Type="http://schemas.openxmlformats.org/officeDocument/2006/relationships/image" Target="media/image18.wmf"/><Relationship Id="rId53" Type="http://schemas.openxmlformats.org/officeDocument/2006/relationships/oleObject" Target="embeddings/oleObject1.bin"/><Relationship Id="rId52" Type="http://schemas.openxmlformats.org/officeDocument/2006/relationships/chart" Target="charts/chart13.xml"/><Relationship Id="rId51" Type="http://schemas.openxmlformats.org/officeDocument/2006/relationships/chart" Target="charts/chart12.xml"/><Relationship Id="rId50" Type="http://schemas.openxmlformats.org/officeDocument/2006/relationships/chart" Target="charts/chart11.xml"/><Relationship Id="rId5" Type="http://schemas.openxmlformats.org/officeDocument/2006/relationships/header" Target="header1.xml"/><Relationship Id="rId49" Type="http://schemas.openxmlformats.org/officeDocument/2006/relationships/chart" Target="charts/chart10.xml"/><Relationship Id="rId48" Type="http://schemas.openxmlformats.org/officeDocument/2006/relationships/chart" Target="charts/chart9.xml"/><Relationship Id="rId47" Type="http://schemas.openxmlformats.org/officeDocument/2006/relationships/chart" Target="charts/chart8.xml"/><Relationship Id="rId46" Type="http://schemas.openxmlformats.org/officeDocument/2006/relationships/chart" Target="charts/chart7.xml"/><Relationship Id="rId45" Type="http://schemas.openxmlformats.org/officeDocument/2006/relationships/chart" Target="charts/chart6.xml"/><Relationship Id="rId44" Type="http://schemas.openxmlformats.org/officeDocument/2006/relationships/chart" Target="charts/chart5.xml"/><Relationship Id="rId43" Type="http://schemas.openxmlformats.org/officeDocument/2006/relationships/chart" Target="charts/chart4.xml"/><Relationship Id="rId42" Type="http://schemas.openxmlformats.org/officeDocument/2006/relationships/chart" Target="charts/chart3.xml"/><Relationship Id="rId41" Type="http://schemas.openxmlformats.org/officeDocument/2006/relationships/chart" Target="charts/chart2.xml"/><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theme" Target="theme/theme1.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10.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1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1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3.xlsx"/></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9.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1.xml"/><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Sheet1!$G$59:$G$64</c:f>
              <c:numCache>
                <c:formatCode>General</c:formatCode>
                <c:ptCount val="6"/>
                <c:pt idx="0">
                  <c:v>162.72</c:v>
                </c:pt>
                <c:pt idx="1">
                  <c:v>166.7</c:v>
                </c:pt>
                <c:pt idx="2">
                  <c:v>169.47</c:v>
                </c:pt>
                <c:pt idx="3">
                  <c:v>166.52</c:v>
                </c:pt>
                <c:pt idx="4">
                  <c:v>200.15</c:v>
                </c:pt>
                <c:pt idx="5">
                  <c:v>237.5</c:v>
                </c:pt>
              </c:numCache>
            </c:numRef>
          </c:val>
        </c:ser>
        <c:dLbls>
          <c:showLegendKey val="0"/>
          <c:showVal val="1"/>
          <c:showCatName val="0"/>
          <c:showSerName val="0"/>
          <c:showPercent val="0"/>
          <c:showBubbleSize val="0"/>
        </c:dLbls>
        <c:gapWidth val="100"/>
        <c:axId val="-784016528"/>
        <c:axId val="-784012720"/>
      </c:barChart>
      <c:catAx>
        <c:axId val="-7840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2720"/>
        <c:crosses val="autoZero"/>
        <c:auto val="1"/>
        <c:lblAlgn val="ctr"/>
        <c:lblOffset val="100"/>
        <c:noMultiLvlLbl val="0"/>
      </c:catAx>
      <c:valAx>
        <c:axId val="-784012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6528"/>
        <c:crosses val="autoZero"/>
        <c:crossBetween val="between"/>
      </c:valAx>
      <c:spPr>
        <a:noFill/>
        <a:ln>
          <a:noFill/>
        </a:ln>
        <a:effectLst/>
      </c:spPr>
    </c:plotArea>
    <c:plotVisOnly val="0"/>
    <c:dispBlanksAs val="gap"/>
    <c:showDLblsOverMax val="0"/>
  </c:chart>
  <c:spPr>
    <a:solidFill>
      <a:schemeClr val="bg1"/>
    </a:solidFill>
    <a:ln w="9525" cap="flat" cmpd="sng" algn="ctr">
      <a:solidFill>
        <a:srgbClr val="C00000"/>
      </a:solidFill>
      <a:round/>
    </a:ln>
    <a:effectLst/>
  </c:spPr>
  <c:txPr>
    <a:bodyPr/>
    <a:lstStyle/>
    <a:p>
      <a:pPr>
        <a:defRPr lang="zh-CN" sz="110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Sheet2!$F$65:$F$70</c:f>
              <c:strCache>
                <c:ptCount val="6"/>
                <c:pt idx="0">
                  <c:v>国道</c:v>
                </c:pt>
                <c:pt idx="1">
                  <c:v>省道</c:v>
                </c:pt>
                <c:pt idx="2">
                  <c:v>县道</c:v>
                </c:pt>
                <c:pt idx="3">
                  <c:v>乡道</c:v>
                </c:pt>
                <c:pt idx="4">
                  <c:v>专用公路</c:v>
                </c:pt>
                <c:pt idx="5">
                  <c:v>村道</c:v>
                </c:pt>
              </c:strCache>
            </c:strRef>
          </c:cat>
          <c:val>
            <c:numRef>
              <c:f>Sheet2!$G$65:$G$70</c:f>
              <c:numCache>
                <c:formatCode>General</c:formatCode>
                <c:ptCount val="6"/>
                <c:pt idx="0">
                  <c:v>48.416</c:v>
                </c:pt>
                <c:pt idx="1">
                  <c:v>96.054</c:v>
                </c:pt>
                <c:pt idx="2">
                  <c:v>243.996</c:v>
                </c:pt>
                <c:pt idx="3">
                  <c:v>941.907</c:v>
                </c:pt>
                <c:pt idx="4">
                  <c:v>8.496</c:v>
                </c:pt>
                <c:pt idx="5">
                  <c:v>898.087</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Sheet2!$H$64:$L$64</c:f>
              <c:strCache>
                <c:ptCount val="5"/>
                <c:pt idx="0">
                  <c:v>高速</c:v>
                </c:pt>
                <c:pt idx="1">
                  <c:v>一级</c:v>
                </c:pt>
                <c:pt idx="2">
                  <c:v>二级</c:v>
                </c:pt>
                <c:pt idx="3">
                  <c:v>三级</c:v>
                </c:pt>
                <c:pt idx="4">
                  <c:v>四级</c:v>
                </c:pt>
              </c:strCache>
            </c:strRef>
          </c:cat>
          <c:val>
            <c:numRef>
              <c:f>Sheet2!$H$71:$L$71</c:f>
              <c:numCache>
                <c:formatCode>General</c:formatCode>
                <c:ptCount val="5"/>
                <c:pt idx="0">
                  <c:v>53.194</c:v>
                </c:pt>
                <c:pt idx="1">
                  <c:v>28.981</c:v>
                </c:pt>
                <c:pt idx="2">
                  <c:v>168.483</c:v>
                </c:pt>
                <c:pt idx="3">
                  <c:v>229.415</c:v>
                </c:pt>
                <c:pt idx="4" c:formatCode="#,##0.00">
                  <c:v>1756.883</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Sheet2!$R$64:$T$64</c:f>
              <c:strCache>
                <c:ptCount val="3"/>
                <c:pt idx="0">
                  <c:v>有铺装</c:v>
                </c:pt>
                <c:pt idx="1">
                  <c:v>简易铺装</c:v>
                </c:pt>
                <c:pt idx="2">
                  <c:v>未铺装</c:v>
                </c:pt>
              </c:strCache>
            </c:strRef>
          </c:cat>
          <c:val>
            <c:numRef>
              <c:f>Sheet2!$R$71:$T$71</c:f>
              <c:numCache>
                <c:formatCode>General</c:formatCode>
                <c:ptCount val="3"/>
                <c:pt idx="0">
                  <c:v>2133.518</c:v>
                </c:pt>
                <c:pt idx="1">
                  <c:v>77.256</c:v>
                </c:pt>
                <c:pt idx="2">
                  <c:v>26.182</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Sheet2!$K$95:$L$95</c:f>
              <c:strCache>
                <c:ptCount val="2"/>
                <c:pt idx="0">
                  <c:v>沥青混凝土</c:v>
                </c:pt>
                <c:pt idx="1">
                  <c:v>水泥混凝土</c:v>
                </c:pt>
              </c:strCache>
            </c:strRef>
          </c:cat>
          <c:val>
            <c:numRef>
              <c:f>Sheet2!$K$96:$L$96</c:f>
              <c:numCache>
                <c:formatCode>General</c:formatCode>
                <c:ptCount val="2"/>
                <c:pt idx="0">
                  <c:v>516.321</c:v>
                </c:pt>
                <c:pt idx="1">
                  <c:v>1617.197</c:v>
                </c:pt>
              </c:numCache>
            </c:numRef>
          </c:val>
        </c:ser>
        <c:dLbls>
          <c:showLegendKey val="0"/>
          <c:showVal val="0"/>
          <c:showCatName val="0"/>
          <c:showSerName val="0"/>
          <c:showPercent val="1"/>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Sheet1!$H$59:$H$64</c:f>
              <c:numCache>
                <c:formatCode>General</c:formatCode>
                <c:ptCount val="6"/>
                <c:pt idx="0">
                  <c:v>8.82</c:v>
                </c:pt>
                <c:pt idx="1">
                  <c:v>9.13</c:v>
                </c:pt>
                <c:pt idx="2">
                  <c:v>9.93</c:v>
                </c:pt>
                <c:pt idx="3">
                  <c:v>9.68</c:v>
                </c:pt>
                <c:pt idx="4">
                  <c:v>9.15</c:v>
                </c:pt>
                <c:pt idx="5">
                  <c:v>5.58</c:v>
                </c:pt>
              </c:numCache>
            </c:numRef>
          </c:val>
        </c:ser>
        <c:dLbls>
          <c:showLegendKey val="0"/>
          <c:showVal val="1"/>
          <c:showCatName val="0"/>
          <c:showSerName val="0"/>
          <c:showPercent val="0"/>
          <c:showBubbleSize val="0"/>
        </c:dLbls>
        <c:gapWidth val="100"/>
        <c:axId val="-784007824"/>
        <c:axId val="-784006736"/>
      </c:barChart>
      <c:catAx>
        <c:axId val="-7840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6736"/>
        <c:crosses val="autoZero"/>
        <c:auto val="1"/>
        <c:lblAlgn val="ctr"/>
        <c:lblOffset val="100"/>
        <c:noMultiLvlLbl val="0"/>
      </c:catAx>
      <c:valAx>
        <c:axId val="-784006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7824"/>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Sheet1!$I$59:$I$64</c:f>
              <c:numCache>
                <c:formatCode>General</c:formatCode>
                <c:ptCount val="6"/>
                <c:pt idx="0">
                  <c:v>109.7</c:v>
                </c:pt>
                <c:pt idx="1">
                  <c:v>99.93</c:v>
                </c:pt>
                <c:pt idx="2">
                  <c:v>97.61</c:v>
                </c:pt>
                <c:pt idx="3">
                  <c:v>90.08</c:v>
                </c:pt>
                <c:pt idx="4">
                  <c:v>118.22</c:v>
                </c:pt>
                <c:pt idx="5">
                  <c:v>145.73</c:v>
                </c:pt>
              </c:numCache>
            </c:numRef>
          </c:val>
        </c:ser>
        <c:dLbls>
          <c:showLegendKey val="0"/>
          <c:showVal val="1"/>
          <c:showCatName val="0"/>
          <c:showSerName val="0"/>
          <c:showPercent val="0"/>
          <c:showBubbleSize val="0"/>
        </c:dLbls>
        <c:gapWidth val="100"/>
        <c:axId val="-784014352"/>
        <c:axId val="-784005648"/>
      </c:barChart>
      <c:catAx>
        <c:axId val="-78401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5648"/>
        <c:crosses val="autoZero"/>
        <c:auto val="1"/>
        <c:lblAlgn val="ctr"/>
        <c:lblOffset val="100"/>
        <c:noMultiLvlLbl val="0"/>
      </c:catAx>
      <c:valAx>
        <c:axId val="-7840056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4352"/>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Sheet1!$J$59:$J$64</c:f>
              <c:numCache>
                <c:formatCode>General</c:formatCode>
                <c:ptCount val="6"/>
                <c:pt idx="0">
                  <c:v>54.19</c:v>
                </c:pt>
                <c:pt idx="1">
                  <c:v>57.64</c:v>
                </c:pt>
                <c:pt idx="2">
                  <c:v>61.93</c:v>
                </c:pt>
                <c:pt idx="3">
                  <c:v>66.75</c:v>
                </c:pt>
                <c:pt idx="4">
                  <c:v>72.79</c:v>
                </c:pt>
                <c:pt idx="5">
                  <c:v>83.19</c:v>
                </c:pt>
              </c:numCache>
            </c:numRef>
          </c:val>
        </c:ser>
        <c:dLbls>
          <c:showLegendKey val="0"/>
          <c:showVal val="1"/>
          <c:showCatName val="0"/>
          <c:showSerName val="0"/>
          <c:showPercent val="0"/>
          <c:showBubbleSize val="0"/>
        </c:dLbls>
        <c:gapWidth val="100"/>
        <c:axId val="-784005104"/>
        <c:axId val="-784019792"/>
      </c:barChart>
      <c:catAx>
        <c:axId val="-7840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19792"/>
        <c:crosses val="autoZero"/>
        <c:auto val="1"/>
        <c:lblAlgn val="ctr"/>
        <c:lblOffset val="100"/>
        <c:noMultiLvlLbl val="0"/>
      </c:catAx>
      <c:valAx>
        <c:axId val="-7840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84005104"/>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Sheet1!$K$59:$K$64</c:f>
              <c:numCache>
                <c:formatCode>General</c:formatCode>
                <c:ptCount val="6"/>
                <c:pt idx="0">
                  <c:v>41798</c:v>
                </c:pt>
                <c:pt idx="1">
                  <c:v>42711</c:v>
                </c:pt>
                <c:pt idx="2">
                  <c:v>43331</c:v>
                </c:pt>
                <c:pt idx="3">
                  <c:v>42512</c:v>
                </c:pt>
                <c:pt idx="4">
                  <c:v>50948</c:v>
                </c:pt>
                <c:pt idx="5">
                  <c:v>60262</c:v>
                </c:pt>
              </c:numCache>
            </c:numRef>
          </c:val>
        </c:ser>
        <c:dLbls>
          <c:showLegendKey val="0"/>
          <c:showVal val="1"/>
          <c:showCatName val="0"/>
          <c:showSerName val="0"/>
          <c:showPercent val="0"/>
          <c:showBubbleSize val="0"/>
        </c:dLbls>
        <c:gapWidth val="100"/>
        <c:axId val="-750960608"/>
        <c:axId val="-750966592"/>
      </c:barChart>
      <c:catAx>
        <c:axId val="-7509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50966592"/>
        <c:crosses val="autoZero"/>
        <c:auto val="1"/>
        <c:lblAlgn val="ctr"/>
        <c:lblOffset val="100"/>
        <c:noMultiLvlLbl val="0"/>
      </c:catAx>
      <c:valAx>
        <c:axId val="-750966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mn-lt"/>
                <a:ea typeface="+mn-ea"/>
                <a:cs typeface="+mn-cs"/>
              </a:defRPr>
            </a:pPr>
          </a:p>
        </c:txPr>
        <c:crossAx val="-750960608"/>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solidFill>
      <a:round/>
    </a:ln>
    <a:effectLst/>
  </c:spPr>
  <c:txPr>
    <a:bodyPr/>
    <a:lstStyle/>
    <a:p>
      <a:pPr>
        <a:defRPr lang="zh-CN" sz="11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Sheet1!$H$67:$J$67</c:f>
              <c:numCache>
                <c:formatCode>General</c:formatCode>
                <c:ptCount val="3"/>
                <c:pt idx="0">
                  <c:v>5.2</c:v>
                </c:pt>
                <c:pt idx="1">
                  <c:v>90.7</c:v>
                </c:pt>
                <c:pt idx="2">
                  <c:v>36.2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Sheet1!$H$61:$J$61</c:f>
              <c:numCache>
                <c:formatCode>General</c:formatCode>
                <c:ptCount val="3"/>
                <c:pt idx="0">
                  <c:v>9.93</c:v>
                </c:pt>
                <c:pt idx="1">
                  <c:v>97.61</c:v>
                </c:pt>
                <c:pt idx="2">
                  <c:v>61.93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163495946618"/>
          <c:y val="0.141203703703704"/>
          <c:w val="0.571673008106765"/>
          <c:h val="0.773148148148148"/>
        </c:manualLayout>
      </c:layout>
      <c:pieChart>
        <c:varyColors val="1"/>
        <c:ser>
          <c:idx val="0"/>
          <c:order val="0"/>
          <c:tx>
            <c:strRef>
              <c:f>Sheet1!$E$67</c:f>
              <c:strCache>
                <c:ptCount val="1"/>
                <c:pt idx="0">
                  <c:v>2010</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
                  <c:y val="0.00925925925925926"/>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ysClr val="windowText" lastClr="000000"/>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Sheet1!$H$58:$J$58</c:f>
              <c:strCache>
                <c:ptCount val="3"/>
                <c:pt idx="0">
                  <c:v>第一产业</c:v>
                </c:pt>
                <c:pt idx="1">
                  <c:v>第二产业</c:v>
                </c:pt>
                <c:pt idx="2">
                  <c:v>第三产业</c:v>
                </c:pt>
              </c:strCache>
            </c:strRef>
          </c:cat>
          <c:val>
            <c:numRef>
              <c:f>Sheet1!$H$64:$J$64</c:f>
              <c:numCache>
                <c:formatCode>General</c:formatCode>
                <c:ptCount val="3"/>
                <c:pt idx="0">
                  <c:v>5.58</c:v>
                </c:pt>
                <c:pt idx="1">
                  <c:v>145.73</c:v>
                </c:pt>
                <c:pt idx="2">
                  <c:v>83.19</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77777777777778"/>
          <c:y val="0.041164903891964"/>
          <c:w val="0.972222203244117"/>
          <c:h val="0.843227991771299"/>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Sheet1!$E$59:$E$64</c:f>
              <c:numCache>
                <c:formatCode>General</c:formatCode>
                <c:ptCount val="6"/>
                <c:pt idx="0">
                  <c:v>2013</c:v>
                </c:pt>
                <c:pt idx="1">
                  <c:v>2014</c:v>
                </c:pt>
                <c:pt idx="2">
                  <c:v>2015</c:v>
                </c:pt>
                <c:pt idx="3">
                  <c:v>2016</c:v>
                </c:pt>
                <c:pt idx="4">
                  <c:v>2017</c:v>
                </c:pt>
                <c:pt idx="5">
                  <c:v>2018</c:v>
                </c:pt>
              </c:numCache>
            </c:numRef>
          </c:cat>
          <c:val>
            <c:numRef>
              <c:f>Sheet1!$F$59:$F$64</c:f>
              <c:numCache>
                <c:formatCode>General</c:formatCode>
                <c:ptCount val="6"/>
                <c:pt idx="0">
                  <c:v>38.99</c:v>
                </c:pt>
                <c:pt idx="1">
                  <c:v>39.08</c:v>
                </c:pt>
                <c:pt idx="2">
                  <c:v>39.14</c:v>
                </c:pt>
                <c:pt idx="3">
                  <c:v>39.19</c:v>
                </c:pt>
                <c:pt idx="4">
                  <c:v>39.37</c:v>
                </c:pt>
                <c:pt idx="5">
                  <c:v>39.45</c:v>
                </c:pt>
              </c:numCache>
            </c:numRef>
          </c:val>
        </c:ser>
        <c:dLbls>
          <c:showLegendKey val="0"/>
          <c:showVal val="1"/>
          <c:showCatName val="0"/>
          <c:showSerName val="0"/>
          <c:showPercent val="0"/>
          <c:showBubbleSize val="0"/>
        </c:dLbls>
        <c:gapWidth val="100"/>
        <c:axId val="-750953536"/>
        <c:axId val="-750955168"/>
      </c:barChart>
      <c:catAx>
        <c:axId val="-7509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crossAx val="-750955168"/>
        <c:crosses val="autoZero"/>
        <c:auto val="1"/>
        <c:lblAlgn val="ctr"/>
        <c:lblOffset val="100"/>
        <c:noMultiLvlLbl val="0"/>
      </c:catAx>
      <c:valAx>
        <c:axId val="-7509551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100" b="0" i="0" u="none" strike="noStrike" kern="1200" baseline="0">
                <a:solidFill>
                  <a:schemeClr val="tx1">
                    <a:lumMod val="50000"/>
                    <a:lumOff val="50000"/>
                  </a:schemeClr>
                </a:solidFill>
                <a:latin typeface="宋体" panose="02010600030101010101" charset="-122"/>
                <a:ea typeface="宋体" panose="02010600030101010101" charset="-122"/>
                <a:cs typeface="+mn-cs"/>
              </a:defRPr>
            </a:pPr>
          </a:p>
        </c:txPr>
        <c:crossAx val="-750953536"/>
        <c:crosses val="autoZero"/>
        <c:crossBetween val="between"/>
      </c:valAx>
      <c:spPr>
        <a:noFill/>
        <a:ln>
          <a:noFill/>
        </a:ln>
        <a:effectLst/>
      </c:spPr>
    </c:plotArea>
    <c:plotVisOnly val="0"/>
    <c:dispBlanksAs val="gap"/>
    <c:showDLblsOverMax val="0"/>
  </c:chart>
  <c:spPr>
    <a:solidFill>
      <a:schemeClr val="bg1"/>
    </a:solidFill>
    <a:ln w="9525" cap="flat" cmpd="sng" algn="ctr">
      <a:solidFill>
        <a:srgbClr val="C00000"/>
      </a:solidFill>
      <a:round/>
    </a:ln>
    <a:effectLst/>
  </c:spPr>
  <c:txPr>
    <a:bodyPr/>
    <a:lstStyle/>
    <a:p>
      <a:pPr>
        <a:defRPr lang="zh-CN" sz="1100" b="0">
          <a:latin typeface="宋体" panose="02010600030101010101" charset="-122"/>
          <a:ea typeface="宋体" panose="02010600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A08CE-96D1-4FC1-B60B-545731602EB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118</Pages>
  <Words>44467</Words>
  <Characters>48483</Characters>
  <Lines>399</Lines>
  <Paragraphs>112</Paragraphs>
  <TotalTime>163</TotalTime>
  <ScaleCrop>false</ScaleCrop>
  <LinksUpToDate>false</LinksUpToDate>
  <CharactersWithSpaces>49051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2021-07-02T23:58:00Z</dcterms:created>
  <dc:creator>xy</dc:creator>
  <cp:lastModifiedBy>Administrator</cp:lastModifiedBy>
  <cp:lastPrinted>2020-08-25T02:27:00Z</cp:lastPrinted>
  <dcterms:modified xsi:type="dcterms:W3CDTF">2024-05-31T02:11:25Z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AADBF1904E3440508DC1237B78C0D19C</vt:lpwstr>
  </property>
</Properties>
</file>