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2D1F5">
      <w:pPr>
        <w:overflowPunct w:val="0"/>
        <w:spacing w:line="360" w:lineRule="auto"/>
        <w:ind w:firstLine="0" w:firstLineChars="0"/>
        <w:jc w:val="center"/>
        <w:rPr>
          <w:rFonts w:eastAsia="黑体" w:cs="Times New Roman"/>
          <w:b/>
          <w:bCs/>
          <w:sz w:val="44"/>
          <w:szCs w:val="36"/>
        </w:rPr>
      </w:pPr>
    </w:p>
    <w:p w14:paraId="23E58AFA">
      <w:pPr>
        <w:overflowPunct w:val="0"/>
        <w:spacing w:line="360" w:lineRule="auto"/>
        <w:ind w:firstLine="0" w:firstLineChars="0"/>
        <w:jc w:val="center"/>
        <w:rPr>
          <w:rFonts w:eastAsia="黑体" w:cs="Times New Roman"/>
          <w:b/>
          <w:bCs/>
          <w:sz w:val="44"/>
          <w:szCs w:val="36"/>
        </w:rPr>
      </w:pPr>
    </w:p>
    <w:p w14:paraId="71C94472">
      <w:pPr>
        <w:overflowPunct w:val="0"/>
        <w:spacing w:line="360" w:lineRule="auto"/>
        <w:ind w:firstLine="0" w:firstLineChars="0"/>
        <w:jc w:val="center"/>
        <w:rPr>
          <w:rFonts w:eastAsia="黑体" w:cs="Times New Roman"/>
          <w:b/>
          <w:bCs/>
          <w:sz w:val="44"/>
          <w:szCs w:val="36"/>
        </w:rPr>
      </w:pPr>
    </w:p>
    <w:p w14:paraId="4A71FF25">
      <w:pPr>
        <w:overflowPunct w:val="0"/>
        <w:spacing w:line="360" w:lineRule="auto"/>
        <w:ind w:firstLine="0" w:firstLineChars="0"/>
        <w:jc w:val="center"/>
        <w:rPr>
          <w:rFonts w:eastAsia="黑体" w:cs="Times New Roman"/>
          <w:bCs/>
          <w:sz w:val="44"/>
          <w:szCs w:val="36"/>
        </w:rPr>
      </w:pPr>
      <w:r>
        <w:rPr>
          <w:rFonts w:hint="eastAsia" w:eastAsia="黑体" w:cs="Times New Roman"/>
          <w:bCs/>
          <w:sz w:val="44"/>
          <w:szCs w:val="36"/>
        </w:rPr>
        <w:t>阳城县</w:t>
      </w:r>
      <w:r>
        <w:rPr>
          <w:rFonts w:hint="eastAsia" w:eastAsia="黑体" w:cs="Times New Roman"/>
          <w:bCs/>
          <w:sz w:val="44"/>
          <w:szCs w:val="36"/>
          <w:lang w:eastAsia="zh-CN"/>
        </w:rPr>
        <w:t>“十四五”</w:t>
      </w:r>
      <w:r>
        <w:rPr>
          <w:rFonts w:hint="eastAsia" w:eastAsia="黑体" w:cs="Times New Roman"/>
          <w:bCs/>
          <w:sz w:val="44"/>
          <w:szCs w:val="36"/>
        </w:rPr>
        <w:t>综合交通运输发展规划</w:t>
      </w:r>
    </w:p>
    <w:p w14:paraId="5C2F01E5">
      <w:pPr>
        <w:overflowPunct w:val="0"/>
        <w:spacing w:line="360" w:lineRule="auto"/>
        <w:ind w:firstLine="0" w:firstLineChars="0"/>
        <w:jc w:val="center"/>
        <w:rPr>
          <w:rFonts w:eastAsia="黑体" w:cs="Times New Roman"/>
          <w:b/>
          <w:bCs/>
          <w:sz w:val="44"/>
          <w:szCs w:val="36"/>
        </w:rPr>
      </w:pPr>
    </w:p>
    <w:p w14:paraId="38F90A6F">
      <w:pPr>
        <w:overflowPunct w:val="0"/>
        <w:spacing w:line="360" w:lineRule="auto"/>
        <w:ind w:firstLine="0" w:firstLineChars="0"/>
        <w:jc w:val="center"/>
        <w:rPr>
          <w:rFonts w:eastAsia="黑体" w:cs="Times New Roman"/>
          <w:b/>
          <w:bCs/>
          <w:sz w:val="44"/>
          <w:szCs w:val="36"/>
        </w:rPr>
      </w:pPr>
    </w:p>
    <w:p w14:paraId="4C432A50">
      <w:pPr>
        <w:overflowPunct w:val="0"/>
        <w:spacing w:line="360" w:lineRule="auto"/>
        <w:ind w:firstLine="0" w:firstLineChars="0"/>
        <w:jc w:val="center"/>
        <w:rPr>
          <w:rFonts w:eastAsia="黑体" w:cs="Times New Roman"/>
          <w:b/>
          <w:bCs/>
          <w:sz w:val="44"/>
          <w:szCs w:val="36"/>
        </w:rPr>
      </w:pPr>
    </w:p>
    <w:p w14:paraId="7FFD91DB">
      <w:pPr>
        <w:overflowPunct w:val="0"/>
        <w:spacing w:line="360" w:lineRule="auto"/>
        <w:ind w:firstLine="0" w:firstLineChars="0"/>
        <w:jc w:val="center"/>
        <w:rPr>
          <w:rFonts w:eastAsia="黑体" w:cs="Times New Roman"/>
          <w:b/>
          <w:bCs/>
          <w:sz w:val="44"/>
          <w:szCs w:val="36"/>
        </w:rPr>
      </w:pPr>
    </w:p>
    <w:p w14:paraId="48AB42B9">
      <w:pPr>
        <w:overflowPunct w:val="0"/>
        <w:spacing w:line="360" w:lineRule="auto"/>
        <w:ind w:firstLine="0" w:firstLineChars="0"/>
        <w:jc w:val="center"/>
        <w:rPr>
          <w:rFonts w:eastAsia="黑体" w:cs="Times New Roman"/>
          <w:b/>
          <w:bCs/>
          <w:sz w:val="44"/>
          <w:szCs w:val="36"/>
        </w:rPr>
      </w:pPr>
    </w:p>
    <w:p w14:paraId="30D83496">
      <w:pPr>
        <w:overflowPunct w:val="0"/>
        <w:spacing w:line="360" w:lineRule="auto"/>
        <w:ind w:firstLine="0" w:firstLineChars="0"/>
        <w:jc w:val="center"/>
        <w:rPr>
          <w:rFonts w:eastAsia="黑体" w:cs="Times New Roman"/>
          <w:b/>
          <w:bCs/>
          <w:sz w:val="44"/>
          <w:szCs w:val="36"/>
        </w:rPr>
      </w:pPr>
    </w:p>
    <w:p w14:paraId="20736D08">
      <w:pPr>
        <w:overflowPunct w:val="0"/>
        <w:spacing w:line="360" w:lineRule="auto"/>
        <w:ind w:firstLine="0" w:firstLineChars="0"/>
        <w:jc w:val="center"/>
        <w:rPr>
          <w:rFonts w:eastAsia="黑体" w:cs="Times New Roman"/>
          <w:b/>
          <w:bCs/>
          <w:sz w:val="44"/>
          <w:szCs w:val="36"/>
        </w:rPr>
      </w:pPr>
    </w:p>
    <w:p w14:paraId="4CD8E449">
      <w:pPr>
        <w:overflowPunct w:val="0"/>
        <w:spacing w:line="360" w:lineRule="auto"/>
        <w:ind w:firstLine="0" w:firstLineChars="0"/>
        <w:jc w:val="center"/>
        <w:rPr>
          <w:rFonts w:eastAsia="黑体" w:cs="Times New Roman"/>
          <w:b/>
          <w:bCs/>
          <w:sz w:val="44"/>
          <w:szCs w:val="36"/>
        </w:rPr>
      </w:pPr>
    </w:p>
    <w:p w14:paraId="5EEA3DE9">
      <w:pPr>
        <w:overflowPunct w:val="0"/>
        <w:spacing w:line="360" w:lineRule="auto"/>
        <w:ind w:firstLine="0" w:firstLineChars="0"/>
        <w:jc w:val="center"/>
        <w:rPr>
          <w:rFonts w:eastAsia="黑体" w:cs="Times New Roman"/>
          <w:b/>
          <w:bCs/>
          <w:sz w:val="44"/>
          <w:szCs w:val="36"/>
        </w:rPr>
      </w:pPr>
    </w:p>
    <w:p w14:paraId="3DD03FBF">
      <w:pPr>
        <w:overflowPunct w:val="0"/>
        <w:spacing w:line="360" w:lineRule="auto"/>
        <w:ind w:firstLine="0" w:firstLineChars="0"/>
        <w:jc w:val="center"/>
        <w:rPr>
          <w:rFonts w:eastAsia="黑体" w:cs="Times New Roman"/>
          <w:b/>
          <w:bCs/>
          <w:sz w:val="44"/>
          <w:szCs w:val="36"/>
        </w:rPr>
      </w:pPr>
    </w:p>
    <w:p w14:paraId="28BF3C75">
      <w:pPr>
        <w:overflowPunct w:val="0"/>
        <w:spacing w:line="360" w:lineRule="auto"/>
        <w:ind w:firstLine="0" w:firstLineChars="0"/>
        <w:jc w:val="center"/>
        <w:rPr>
          <w:rFonts w:eastAsia="黑体" w:cs="Times New Roman"/>
          <w:b/>
          <w:bCs/>
          <w:sz w:val="44"/>
          <w:szCs w:val="36"/>
        </w:rPr>
      </w:pPr>
    </w:p>
    <w:p w14:paraId="21723E51">
      <w:pPr>
        <w:overflowPunct w:val="0"/>
        <w:spacing w:line="360" w:lineRule="auto"/>
        <w:ind w:firstLine="0" w:firstLineChars="0"/>
        <w:jc w:val="center"/>
        <w:rPr>
          <w:rFonts w:eastAsia="黑体" w:cs="Times New Roman"/>
          <w:b/>
          <w:bCs/>
          <w:sz w:val="44"/>
          <w:szCs w:val="36"/>
        </w:rPr>
      </w:pPr>
    </w:p>
    <w:p w14:paraId="1A68C199">
      <w:pPr>
        <w:overflowPunct w:val="0"/>
        <w:spacing w:line="360" w:lineRule="auto"/>
        <w:ind w:firstLine="0" w:firstLineChars="0"/>
        <w:jc w:val="center"/>
        <w:rPr>
          <w:rFonts w:eastAsia="黑体" w:cs="Times New Roman"/>
          <w:b/>
          <w:bCs/>
          <w:sz w:val="44"/>
          <w:szCs w:val="36"/>
        </w:rPr>
      </w:pPr>
    </w:p>
    <w:p w14:paraId="0C70820A">
      <w:pPr>
        <w:overflowPunct w:val="0"/>
        <w:spacing w:line="360" w:lineRule="auto"/>
        <w:ind w:firstLine="0" w:firstLineChars="0"/>
        <w:jc w:val="center"/>
        <w:rPr>
          <w:rFonts w:eastAsia="黑体" w:cs="Times New Roman"/>
          <w:b/>
          <w:bCs/>
          <w:sz w:val="44"/>
          <w:szCs w:val="36"/>
        </w:rPr>
      </w:pPr>
    </w:p>
    <w:p w14:paraId="4CCA1800">
      <w:pPr>
        <w:overflowPunct w:val="0"/>
        <w:snapToGrid w:val="0"/>
        <w:spacing w:before="312" w:beforeLines="100" w:after="156" w:afterLines="50" w:line="340" w:lineRule="exact"/>
        <w:ind w:firstLine="0" w:firstLineChars="0"/>
        <w:jc w:val="center"/>
        <w:rPr>
          <w:rFonts w:eastAsia="黑体" w:cs="Times New Roman"/>
          <w:sz w:val="36"/>
          <w:szCs w:val="28"/>
        </w:rPr>
      </w:pPr>
      <w:r>
        <w:rPr>
          <w:rFonts w:eastAsia="黑体" w:cs="Times New Roman"/>
          <w:sz w:val="36"/>
          <w:szCs w:val="28"/>
        </w:rPr>
        <w:t>阳城县交通运输局</w:t>
      </w:r>
    </w:p>
    <w:p w14:paraId="6DDE96C3">
      <w:pPr>
        <w:overflowPunct w:val="0"/>
        <w:snapToGrid w:val="0"/>
        <w:spacing w:before="312" w:beforeLines="100" w:after="156" w:afterLines="50" w:line="340" w:lineRule="exact"/>
        <w:ind w:firstLine="0" w:firstLineChars="0"/>
        <w:jc w:val="center"/>
        <w:rPr>
          <w:rFonts w:eastAsia="黑体" w:cs="Times New Roman"/>
          <w:sz w:val="36"/>
          <w:szCs w:val="28"/>
        </w:rPr>
      </w:pPr>
      <w:r>
        <w:rPr>
          <w:rFonts w:eastAsia="黑体" w:cs="Times New Roman"/>
          <w:sz w:val="36"/>
          <w:szCs w:val="28"/>
        </w:rPr>
        <w:t>山西省交通规划勘察设计院有限公司</w:t>
      </w:r>
    </w:p>
    <w:p w14:paraId="5D985179">
      <w:pPr>
        <w:widowControl/>
        <w:spacing w:before="312" w:beforeLines="100" w:line="340" w:lineRule="exact"/>
        <w:ind w:firstLine="0" w:firstLineChars="0"/>
        <w:jc w:val="center"/>
        <w:rPr>
          <w:rFonts w:eastAsia="黑体" w:cs="Times New Roman"/>
          <w:sz w:val="36"/>
          <w:szCs w:val="28"/>
        </w:rPr>
      </w:pPr>
      <w:r>
        <w:rPr>
          <w:rFonts w:eastAsia="黑体" w:cs="Times New Roman"/>
          <w:sz w:val="36"/>
          <w:szCs w:val="28"/>
        </w:rPr>
        <w:t>2020年12月</w:t>
      </w:r>
    </w:p>
    <w:p w14:paraId="29FE81E1">
      <w:pPr>
        <w:ind w:firstLine="640"/>
        <w:jc w:val="center"/>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531" w:left="1531" w:header="851" w:footer="992" w:gutter="0"/>
          <w:cols w:space="425" w:num="1"/>
          <w:docGrid w:type="lines" w:linePitch="312" w:charSpace="0"/>
        </w:sectPr>
      </w:pPr>
    </w:p>
    <w:p w14:paraId="6980514E">
      <w:pPr>
        <w:ind w:firstLine="800"/>
        <w:jc w:val="center"/>
        <w:rPr>
          <w:rFonts w:ascii="黑体" w:hAnsi="黑体" w:eastAsia="黑体" w:cs="Times New Roman"/>
          <w:sz w:val="40"/>
        </w:rPr>
      </w:pPr>
      <w:r>
        <w:rPr>
          <w:rFonts w:ascii="黑体" w:hAnsi="黑体" w:eastAsia="黑体" w:cs="Times New Roman"/>
          <w:sz w:val="40"/>
        </w:rPr>
        <w:t>目</w:t>
      </w:r>
      <w:r>
        <w:rPr>
          <w:rFonts w:hint="eastAsia" w:ascii="黑体" w:hAnsi="黑体" w:eastAsia="黑体" w:cs="Times New Roman"/>
          <w:sz w:val="40"/>
        </w:rPr>
        <w:t xml:space="preserve"> </w:t>
      </w:r>
      <w:r>
        <w:rPr>
          <w:rFonts w:ascii="黑体" w:hAnsi="黑体" w:eastAsia="黑体" w:cs="Times New Roman"/>
          <w:sz w:val="40"/>
        </w:rPr>
        <w:t xml:space="preserve"> 录</w:t>
      </w:r>
    </w:p>
    <w:p w14:paraId="1157A9F6">
      <w:pPr>
        <w:pStyle w:val="12"/>
        <w:rPr>
          <w:rFonts w:asciiTheme="minorHAnsi" w:hAnsiTheme="minorHAnsi" w:eastAsiaTheme="minorEastAsia"/>
          <w:sz w:val="21"/>
        </w:rPr>
      </w:pPr>
      <w:r>
        <w:rPr>
          <w:rFonts w:cs="Times New Roman"/>
        </w:rPr>
        <w:fldChar w:fldCharType="begin"/>
      </w:r>
      <w:r>
        <w:rPr>
          <w:rFonts w:cs="Times New Roman"/>
        </w:rPr>
        <w:instrText xml:space="preserve"> TOC \o "1-2" \h \z \u </w:instrText>
      </w:r>
      <w:r>
        <w:rPr>
          <w:rFonts w:cs="Times New Roman"/>
        </w:rPr>
        <w:fldChar w:fldCharType="separate"/>
      </w:r>
      <w:r>
        <w:fldChar w:fldCharType="begin"/>
      </w:r>
      <w:r>
        <w:instrText xml:space="preserve"> HYPERLINK \l "_Toc53133697" </w:instrText>
      </w:r>
      <w:r>
        <w:fldChar w:fldCharType="separate"/>
      </w:r>
      <w:r>
        <w:rPr>
          <w:rStyle w:val="17"/>
        </w:rPr>
        <w:t>前言</w:t>
      </w:r>
      <w:r>
        <w:tab/>
      </w:r>
      <w:r>
        <w:fldChar w:fldCharType="begin"/>
      </w:r>
      <w:r>
        <w:instrText xml:space="preserve"> PAGEREF _Toc53133697 \h </w:instrText>
      </w:r>
      <w:r>
        <w:fldChar w:fldCharType="separate"/>
      </w:r>
      <w:r>
        <w:t>1</w:t>
      </w:r>
      <w:r>
        <w:fldChar w:fldCharType="end"/>
      </w:r>
      <w:r>
        <w:fldChar w:fldCharType="end"/>
      </w:r>
    </w:p>
    <w:p w14:paraId="501EBD88">
      <w:pPr>
        <w:pStyle w:val="12"/>
        <w:rPr>
          <w:rFonts w:asciiTheme="minorHAnsi" w:hAnsiTheme="minorHAnsi" w:eastAsiaTheme="minorEastAsia"/>
          <w:sz w:val="21"/>
        </w:rPr>
      </w:pPr>
      <w:r>
        <w:fldChar w:fldCharType="begin"/>
      </w:r>
      <w:r>
        <w:instrText xml:space="preserve"> HYPERLINK \l "_Toc53133698" </w:instrText>
      </w:r>
      <w:r>
        <w:fldChar w:fldCharType="separate"/>
      </w:r>
      <w:r>
        <w:rPr>
          <w:rStyle w:val="17"/>
          <w:lang w:bidi="zh-CN"/>
          <w14:scene3d>
            <w14:lightRig w14:rig="threePt" w14:dir="t">
              <w14:rot w14:lat="0" w14:lon="0" w14:rev="0"/>
            </w14:lightRig>
          </w14:scene3d>
        </w:rPr>
        <w:t>第1章</w:t>
      </w:r>
      <w:r>
        <w:rPr>
          <w:rStyle w:val="17"/>
        </w:rPr>
        <w:t xml:space="preserve"> 概述</w:t>
      </w:r>
      <w:r>
        <w:tab/>
      </w:r>
      <w:r>
        <w:fldChar w:fldCharType="begin"/>
      </w:r>
      <w:r>
        <w:instrText xml:space="preserve"> PAGEREF _Toc53133698 \h </w:instrText>
      </w:r>
      <w:r>
        <w:fldChar w:fldCharType="separate"/>
      </w:r>
      <w:r>
        <w:t>2</w:t>
      </w:r>
      <w:r>
        <w:fldChar w:fldCharType="end"/>
      </w:r>
      <w:r>
        <w:fldChar w:fldCharType="end"/>
      </w:r>
    </w:p>
    <w:p w14:paraId="7CDFEE1D">
      <w:pPr>
        <w:pStyle w:val="13"/>
        <w:rPr>
          <w:rFonts w:asciiTheme="minorHAnsi" w:hAnsiTheme="minorHAnsi" w:eastAsiaTheme="minorEastAsia"/>
          <w:sz w:val="21"/>
        </w:rPr>
      </w:pPr>
      <w:r>
        <w:fldChar w:fldCharType="begin"/>
      </w:r>
      <w:r>
        <w:instrText xml:space="preserve"> HYPERLINK \l "_Toc53133699" </w:instrText>
      </w:r>
      <w:r>
        <w:fldChar w:fldCharType="separate"/>
      </w:r>
      <w:r>
        <w:rPr>
          <w:rStyle w:val="17"/>
        </w:rPr>
        <w:t>1.1 规划背景</w:t>
      </w:r>
      <w:r>
        <w:tab/>
      </w:r>
      <w:r>
        <w:fldChar w:fldCharType="begin"/>
      </w:r>
      <w:r>
        <w:instrText xml:space="preserve"> PAGEREF _Toc53133699 \h </w:instrText>
      </w:r>
      <w:r>
        <w:fldChar w:fldCharType="separate"/>
      </w:r>
      <w:r>
        <w:t>2</w:t>
      </w:r>
      <w:r>
        <w:fldChar w:fldCharType="end"/>
      </w:r>
      <w:r>
        <w:fldChar w:fldCharType="end"/>
      </w:r>
    </w:p>
    <w:p w14:paraId="049C8106">
      <w:pPr>
        <w:pStyle w:val="13"/>
        <w:rPr>
          <w:rFonts w:asciiTheme="minorHAnsi" w:hAnsiTheme="minorHAnsi" w:eastAsiaTheme="minorEastAsia"/>
          <w:sz w:val="21"/>
        </w:rPr>
      </w:pPr>
      <w:r>
        <w:fldChar w:fldCharType="begin"/>
      </w:r>
      <w:r>
        <w:instrText xml:space="preserve"> HYPERLINK \l "_Toc53133700" </w:instrText>
      </w:r>
      <w:r>
        <w:fldChar w:fldCharType="separate"/>
      </w:r>
      <w:r>
        <w:rPr>
          <w:rStyle w:val="17"/>
        </w:rPr>
        <w:t>1.2 规划范围、期限和编制依据</w:t>
      </w:r>
      <w:r>
        <w:tab/>
      </w:r>
      <w:r>
        <w:fldChar w:fldCharType="begin"/>
      </w:r>
      <w:r>
        <w:instrText xml:space="preserve"> PAGEREF _Toc53133700 \h </w:instrText>
      </w:r>
      <w:r>
        <w:fldChar w:fldCharType="separate"/>
      </w:r>
      <w:r>
        <w:t>4</w:t>
      </w:r>
      <w:r>
        <w:fldChar w:fldCharType="end"/>
      </w:r>
      <w:r>
        <w:fldChar w:fldCharType="end"/>
      </w:r>
    </w:p>
    <w:p w14:paraId="27972B6C">
      <w:pPr>
        <w:pStyle w:val="13"/>
        <w:rPr>
          <w:rFonts w:asciiTheme="minorHAnsi" w:hAnsiTheme="minorHAnsi" w:eastAsiaTheme="minorEastAsia"/>
          <w:sz w:val="21"/>
        </w:rPr>
      </w:pPr>
      <w:r>
        <w:fldChar w:fldCharType="begin"/>
      </w:r>
      <w:r>
        <w:instrText xml:space="preserve"> HYPERLINK \l "_Toc53133701" </w:instrText>
      </w:r>
      <w:r>
        <w:fldChar w:fldCharType="separate"/>
      </w:r>
      <w:r>
        <w:rPr>
          <w:rStyle w:val="17"/>
        </w:rPr>
        <w:t>1.3 规划指导思想和原则</w:t>
      </w:r>
      <w:r>
        <w:tab/>
      </w:r>
      <w:r>
        <w:fldChar w:fldCharType="begin"/>
      </w:r>
      <w:r>
        <w:instrText xml:space="preserve"> PAGEREF _Toc53133701 \h </w:instrText>
      </w:r>
      <w:r>
        <w:fldChar w:fldCharType="separate"/>
      </w:r>
      <w:r>
        <w:t>5</w:t>
      </w:r>
      <w:r>
        <w:fldChar w:fldCharType="end"/>
      </w:r>
      <w:r>
        <w:fldChar w:fldCharType="end"/>
      </w:r>
    </w:p>
    <w:p w14:paraId="13DDE57F">
      <w:pPr>
        <w:pStyle w:val="12"/>
        <w:rPr>
          <w:rFonts w:asciiTheme="minorHAnsi" w:hAnsiTheme="minorHAnsi" w:eastAsiaTheme="minorEastAsia"/>
          <w:sz w:val="21"/>
        </w:rPr>
      </w:pPr>
      <w:r>
        <w:fldChar w:fldCharType="begin"/>
      </w:r>
      <w:r>
        <w:instrText xml:space="preserve"> HYPERLINK \l "_Toc53133702" </w:instrText>
      </w:r>
      <w:r>
        <w:fldChar w:fldCharType="separate"/>
      </w:r>
      <w:r>
        <w:rPr>
          <w:rStyle w:val="17"/>
          <w:lang w:bidi="zh-CN"/>
          <w14:scene3d>
            <w14:lightRig w14:rig="threePt" w14:dir="t">
              <w14:rot w14:lat="0" w14:lon="0" w14:rev="0"/>
            </w14:lightRig>
          </w14:scene3d>
        </w:rPr>
        <w:t>第2章</w:t>
      </w:r>
      <w:r>
        <w:rPr>
          <w:rStyle w:val="17"/>
        </w:rPr>
        <w:t xml:space="preserve"> “十三五”交通运输发展成就及评价</w:t>
      </w:r>
      <w:r>
        <w:tab/>
      </w:r>
      <w:r>
        <w:fldChar w:fldCharType="begin"/>
      </w:r>
      <w:r>
        <w:instrText xml:space="preserve"> PAGEREF _Toc53133702 \h </w:instrText>
      </w:r>
      <w:r>
        <w:fldChar w:fldCharType="separate"/>
      </w:r>
      <w:r>
        <w:t>8</w:t>
      </w:r>
      <w:r>
        <w:fldChar w:fldCharType="end"/>
      </w:r>
      <w:r>
        <w:fldChar w:fldCharType="end"/>
      </w:r>
    </w:p>
    <w:p w14:paraId="0D0E00B8">
      <w:pPr>
        <w:pStyle w:val="13"/>
        <w:rPr>
          <w:rFonts w:asciiTheme="minorHAnsi" w:hAnsiTheme="minorHAnsi" w:eastAsiaTheme="minorEastAsia"/>
          <w:sz w:val="21"/>
        </w:rPr>
      </w:pPr>
      <w:r>
        <w:fldChar w:fldCharType="begin"/>
      </w:r>
      <w:r>
        <w:instrText xml:space="preserve"> HYPERLINK \l "_Toc53133703" </w:instrText>
      </w:r>
      <w:r>
        <w:fldChar w:fldCharType="separate"/>
      </w:r>
      <w:r>
        <w:rPr>
          <w:rStyle w:val="17"/>
        </w:rPr>
        <w:t>2.1 “十三五”发展主要成就</w:t>
      </w:r>
      <w:r>
        <w:tab/>
      </w:r>
      <w:r>
        <w:fldChar w:fldCharType="begin"/>
      </w:r>
      <w:r>
        <w:instrText xml:space="preserve"> PAGEREF _Toc53133703 \h </w:instrText>
      </w:r>
      <w:r>
        <w:fldChar w:fldCharType="separate"/>
      </w:r>
      <w:r>
        <w:t>8</w:t>
      </w:r>
      <w:r>
        <w:fldChar w:fldCharType="end"/>
      </w:r>
      <w:r>
        <w:fldChar w:fldCharType="end"/>
      </w:r>
    </w:p>
    <w:p w14:paraId="5A02F4C7">
      <w:pPr>
        <w:pStyle w:val="13"/>
        <w:rPr>
          <w:rFonts w:asciiTheme="minorHAnsi" w:hAnsiTheme="minorHAnsi" w:eastAsiaTheme="minorEastAsia"/>
          <w:sz w:val="21"/>
        </w:rPr>
      </w:pPr>
      <w:r>
        <w:fldChar w:fldCharType="begin"/>
      </w:r>
      <w:r>
        <w:instrText xml:space="preserve"> HYPERLINK \l "_Toc53133704" </w:instrText>
      </w:r>
      <w:r>
        <w:fldChar w:fldCharType="separate"/>
      </w:r>
      <w:r>
        <w:rPr>
          <w:rStyle w:val="17"/>
        </w:rPr>
        <w:t>2.2 存在的问题</w:t>
      </w:r>
      <w:r>
        <w:tab/>
      </w:r>
      <w:r>
        <w:fldChar w:fldCharType="begin"/>
      </w:r>
      <w:r>
        <w:instrText xml:space="preserve"> PAGEREF _Toc53133704 \h </w:instrText>
      </w:r>
      <w:r>
        <w:fldChar w:fldCharType="separate"/>
      </w:r>
      <w:r>
        <w:t>9</w:t>
      </w:r>
      <w:r>
        <w:fldChar w:fldCharType="end"/>
      </w:r>
      <w:r>
        <w:fldChar w:fldCharType="end"/>
      </w:r>
    </w:p>
    <w:p w14:paraId="33133C89">
      <w:pPr>
        <w:pStyle w:val="12"/>
        <w:rPr>
          <w:rFonts w:asciiTheme="minorHAnsi" w:hAnsiTheme="minorHAnsi" w:eastAsiaTheme="minorEastAsia"/>
          <w:sz w:val="21"/>
        </w:rPr>
      </w:pPr>
      <w:r>
        <w:fldChar w:fldCharType="begin"/>
      </w:r>
      <w:r>
        <w:instrText xml:space="preserve"> HYPERLINK \l "_Toc53133705" </w:instrText>
      </w:r>
      <w:r>
        <w:fldChar w:fldCharType="separate"/>
      </w:r>
      <w:r>
        <w:rPr>
          <w:rStyle w:val="17"/>
          <w:lang w:bidi="zh-CN"/>
          <w14:scene3d>
            <w14:lightRig w14:rig="threePt" w14:dir="t">
              <w14:rot w14:lat="0" w14:lon="0" w14:rev="0"/>
            </w14:lightRig>
          </w14:scene3d>
        </w:rPr>
        <w:t>第3章</w:t>
      </w:r>
      <w:r>
        <w:rPr>
          <w:rStyle w:val="17"/>
        </w:rPr>
        <w:t xml:space="preserve"> </w:t>
      </w:r>
      <w:r>
        <w:rPr>
          <w:rStyle w:val="17"/>
          <w:rFonts w:hint="eastAsia"/>
          <w:lang w:eastAsia="zh-CN"/>
        </w:rPr>
        <w:t>“十四五”</w:t>
      </w:r>
      <w:r>
        <w:rPr>
          <w:rStyle w:val="17"/>
        </w:rPr>
        <w:t>交通运输发展面临的形势和需求</w:t>
      </w:r>
      <w:r>
        <w:tab/>
      </w:r>
      <w:r>
        <w:fldChar w:fldCharType="begin"/>
      </w:r>
      <w:r>
        <w:instrText xml:space="preserve"> PAGEREF _Toc53133705 \h </w:instrText>
      </w:r>
      <w:r>
        <w:fldChar w:fldCharType="separate"/>
      </w:r>
      <w:r>
        <w:t>14</w:t>
      </w:r>
      <w:r>
        <w:fldChar w:fldCharType="end"/>
      </w:r>
      <w:r>
        <w:fldChar w:fldCharType="end"/>
      </w:r>
    </w:p>
    <w:p w14:paraId="59AE6548">
      <w:pPr>
        <w:pStyle w:val="13"/>
        <w:rPr>
          <w:rFonts w:asciiTheme="minorHAnsi" w:hAnsiTheme="minorHAnsi" w:eastAsiaTheme="minorEastAsia"/>
          <w:sz w:val="21"/>
        </w:rPr>
      </w:pPr>
      <w:r>
        <w:fldChar w:fldCharType="begin"/>
      </w:r>
      <w:r>
        <w:instrText xml:space="preserve"> HYPERLINK \l "_Toc53133706" </w:instrText>
      </w:r>
      <w:r>
        <w:fldChar w:fldCharType="separate"/>
      </w:r>
      <w:r>
        <w:rPr>
          <w:rStyle w:val="17"/>
        </w:rPr>
        <w:t xml:space="preserve">3.1 </w:t>
      </w:r>
      <w:r>
        <w:rPr>
          <w:rStyle w:val="17"/>
          <w:rFonts w:hint="eastAsia"/>
          <w:lang w:eastAsia="zh-CN"/>
        </w:rPr>
        <w:t>“十四五”</w:t>
      </w:r>
      <w:r>
        <w:rPr>
          <w:rStyle w:val="17"/>
        </w:rPr>
        <w:t>面临的形势分析</w:t>
      </w:r>
      <w:r>
        <w:tab/>
      </w:r>
      <w:r>
        <w:fldChar w:fldCharType="begin"/>
      </w:r>
      <w:r>
        <w:instrText xml:space="preserve"> PAGEREF _Toc53133706 \h </w:instrText>
      </w:r>
      <w:r>
        <w:fldChar w:fldCharType="separate"/>
      </w:r>
      <w:r>
        <w:t>14</w:t>
      </w:r>
      <w:r>
        <w:fldChar w:fldCharType="end"/>
      </w:r>
      <w:r>
        <w:fldChar w:fldCharType="end"/>
      </w:r>
    </w:p>
    <w:p w14:paraId="3ECE036A">
      <w:pPr>
        <w:pStyle w:val="13"/>
        <w:rPr>
          <w:rFonts w:asciiTheme="minorHAnsi" w:hAnsiTheme="minorHAnsi" w:eastAsiaTheme="minorEastAsia"/>
          <w:sz w:val="21"/>
        </w:rPr>
      </w:pPr>
      <w:r>
        <w:fldChar w:fldCharType="begin"/>
      </w:r>
      <w:r>
        <w:instrText xml:space="preserve"> HYPERLINK \l "_Toc53133707" </w:instrText>
      </w:r>
      <w:r>
        <w:fldChar w:fldCharType="separate"/>
      </w:r>
      <w:r>
        <w:rPr>
          <w:rStyle w:val="17"/>
        </w:rPr>
        <w:t xml:space="preserve">3.2 </w:t>
      </w:r>
      <w:r>
        <w:rPr>
          <w:rStyle w:val="17"/>
          <w:rFonts w:hint="eastAsia"/>
          <w:lang w:eastAsia="zh-CN"/>
        </w:rPr>
        <w:t>“十四五”</w:t>
      </w:r>
      <w:r>
        <w:rPr>
          <w:rStyle w:val="17"/>
        </w:rPr>
        <w:t>交通运输需求预测</w:t>
      </w:r>
      <w:r>
        <w:tab/>
      </w:r>
      <w:r>
        <w:fldChar w:fldCharType="begin"/>
      </w:r>
      <w:r>
        <w:instrText xml:space="preserve"> PAGEREF _Toc53133707 \h </w:instrText>
      </w:r>
      <w:r>
        <w:fldChar w:fldCharType="separate"/>
      </w:r>
      <w:r>
        <w:t>16</w:t>
      </w:r>
      <w:r>
        <w:fldChar w:fldCharType="end"/>
      </w:r>
      <w:r>
        <w:fldChar w:fldCharType="end"/>
      </w:r>
    </w:p>
    <w:p w14:paraId="2836CC6A">
      <w:pPr>
        <w:pStyle w:val="12"/>
        <w:rPr>
          <w:rFonts w:asciiTheme="minorHAnsi" w:hAnsiTheme="minorHAnsi" w:eastAsiaTheme="minorEastAsia"/>
          <w:sz w:val="21"/>
        </w:rPr>
      </w:pPr>
      <w:r>
        <w:fldChar w:fldCharType="begin"/>
      </w:r>
      <w:r>
        <w:instrText xml:space="preserve"> HYPERLINK \l "_Toc53133708" </w:instrText>
      </w:r>
      <w:r>
        <w:fldChar w:fldCharType="separate"/>
      </w:r>
      <w:r>
        <w:rPr>
          <w:rStyle w:val="17"/>
          <w:lang w:bidi="zh-CN"/>
          <w14:scene3d>
            <w14:lightRig w14:rig="threePt" w14:dir="t">
              <w14:rot w14:lat="0" w14:lon="0" w14:rev="0"/>
            </w14:lightRig>
          </w14:scene3d>
        </w:rPr>
        <w:t>第4章</w:t>
      </w:r>
      <w:r>
        <w:rPr>
          <w:rStyle w:val="17"/>
        </w:rPr>
        <w:t xml:space="preserve"> 发展目标</w:t>
      </w:r>
      <w:r>
        <w:tab/>
      </w:r>
      <w:r>
        <w:fldChar w:fldCharType="begin"/>
      </w:r>
      <w:r>
        <w:instrText xml:space="preserve"> PAGEREF _Toc53133708 \h </w:instrText>
      </w:r>
      <w:r>
        <w:fldChar w:fldCharType="separate"/>
      </w:r>
      <w:r>
        <w:t>19</w:t>
      </w:r>
      <w:r>
        <w:fldChar w:fldCharType="end"/>
      </w:r>
      <w:r>
        <w:fldChar w:fldCharType="end"/>
      </w:r>
    </w:p>
    <w:p w14:paraId="4E7BDB64">
      <w:pPr>
        <w:pStyle w:val="13"/>
        <w:rPr>
          <w:rFonts w:asciiTheme="minorHAnsi" w:hAnsiTheme="minorHAnsi" w:eastAsiaTheme="minorEastAsia"/>
          <w:sz w:val="21"/>
        </w:rPr>
      </w:pPr>
      <w:r>
        <w:fldChar w:fldCharType="begin"/>
      </w:r>
      <w:r>
        <w:instrText xml:space="preserve"> HYPERLINK \l "_Toc53133709" </w:instrText>
      </w:r>
      <w:r>
        <w:fldChar w:fldCharType="separate"/>
      </w:r>
      <w:r>
        <w:rPr>
          <w:rStyle w:val="17"/>
        </w:rPr>
        <w:t xml:space="preserve">4.1 </w:t>
      </w:r>
      <w:r>
        <w:rPr>
          <w:rStyle w:val="17"/>
          <w:rFonts w:hint="eastAsia"/>
          <w:lang w:eastAsia="zh-CN"/>
        </w:rPr>
        <w:t>“十四五”</w:t>
      </w:r>
      <w:r>
        <w:rPr>
          <w:rStyle w:val="17"/>
        </w:rPr>
        <w:t>发展目标</w:t>
      </w:r>
      <w:r>
        <w:tab/>
      </w:r>
      <w:r>
        <w:fldChar w:fldCharType="begin"/>
      </w:r>
      <w:r>
        <w:instrText xml:space="preserve"> PAGEREF _Toc53133709 \h </w:instrText>
      </w:r>
      <w:r>
        <w:fldChar w:fldCharType="separate"/>
      </w:r>
      <w:r>
        <w:t>19</w:t>
      </w:r>
      <w:r>
        <w:fldChar w:fldCharType="end"/>
      </w:r>
      <w:r>
        <w:fldChar w:fldCharType="end"/>
      </w:r>
    </w:p>
    <w:p w14:paraId="1DD9CD4C">
      <w:pPr>
        <w:pStyle w:val="13"/>
        <w:rPr>
          <w:rFonts w:asciiTheme="minorHAnsi" w:hAnsiTheme="minorHAnsi" w:eastAsiaTheme="minorEastAsia"/>
          <w:sz w:val="21"/>
        </w:rPr>
      </w:pPr>
      <w:r>
        <w:fldChar w:fldCharType="begin"/>
      </w:r>
      <w:r>
        <w:instrText xml:space="preserve"> HYPERLINK \l "_Toc53133710" </w:instrText>
      </w:r>
      <w:r>
        <w:fldChar w:fldCharType="separate"/>
      </w:r>
      <w:r>
        <w:rPr>
          <w:rStyle w:val="17"/>
        </w:rPr>
        <w:t>4.2 远期发展目标</w:t>
      </w:r>
      <w:r>
        <w:tab/>
      </w:r>
      <w:r>
        <w:fldChar w:fldCharType="begin"/>
      </w:r>
      <w:r>
        <w:instrText xml:space="preserve"> PAGEREF _Toc53133710 \h </w:instrText>
      </w:r>
      <w:r>
        <w:fldChar w:fldCharType="separate"/>
      </w:r>
      <w:r>
        <w:t>21</w:t>
      </w:r>
      <w:r>
        <w:fldChar w:fldCharType="end"/>
      </w:r>
      <w:r>
        <w:fldChar w:fldCharType="end"/>
      </w:r>
    </w:p>
    <w:p w14:paraId="73EA84EC">
      <w:pPr>
        <w:pStyle w:val="12"/>
        <w:rPr>
          <w:rFonts w:asciiTheme="minorHAnsi" w:hAnsiTheme="minorHAnsi" w:eastAsiaTheme="minorEastAsia"/>
          <w:sz w:val="21"/>
        </w:rPr>
      </w:pPr>
      <w:r>
        <w:fldChar w:fldCharType="begin"/>
      </w:r>
      <w:r>
        <w:instrText xml:space="preserve"> HYPERLINK \l "_Toc53133711" </w:instrText>
      </w:r>
      <w:r>
        <w:fldChar w:fldCharType="separate"/>
      </w:r>
      <w:r>
        <w:rPr>
          <w:rStyle w:val="17"/>
          <w:lang w:bidi="zh-CN"/>
          <w14:scene3d>
            <w14:lightRig w14:rig="threePt" w14:dir="t">
              <w14:rot w14:lat="0" w14:lon="0" w14:rev="0"/>
            </w14:lightRig>
          </w14:scene3d>
        </w:rPr>
        <w:t>第5章</w:t>
      </w:r>
      <w:r>
        <w:rPr>
          <w:rStyle w:val="17"/>
        </w:rPr>
        <w:t xml:space="preserve"> </w:t>
      </w:r>
      <w:r>
        <w:rPr>
          <w:rStyle w:val="17"/>
          <w:rFonts w:hint="eastAsia"/>
          <w:lang w:eastAsia="zh-CN"/>
        </w:rPr>
        <w:t>“十四五”</w:t>
      </w:r>
      <w:r>
        <w:rPr>
          <w:rStyle w:val="17"/>
        </w:rPr>
        <w:t>综合交通运输发展主要任务</w:t>
      </w:r>
      <w:r>
        <w:tab/>
      </w:r>
      <w:r>
        <w:fldChar w:fldCharType="begin"/>
      </w:r>
      <w:r>
        <w:instrText xml:space="preserve"> PAGEREF _Toc53133711 \h </w:instrText>
      </w:r>
      <w:r>
        <w:fldChar w:fldCharType="separate"/>
      </w:r>
      <w:r>
        <w:t>23</w:t>
      </w:r>
      <w:r>
        <w:fldChar w:fldCharType="end"/>
      </w:r>
      <w:r>
        <w:fldChar w:fldCharType="end"/>
      </w:r>
    </w:p>
    <w:p w14:paraId="16511828">
      <w:pPr>
        <w:pStyle w:val="13"/>
        <w:rPr>
          <w:rFonts w:asciiTheme="minorHAnsi" w:hAnsiTheme="minorHAnsi" w:eastAsiaTheme="minorEastAsia"/>
          <w:sz w:val="21"/>
        </w:rPr>
      </w:pPr>
      <w:r>
        <w:fldChar w:fldCharType="begin"/>
      </w:r>
      <w:r>
        <w:instrText xml:space="preserve"> HYPERLINK \l "_Toc53133712" </w:instrText>
      </w:r>
      <w:r>
        <w:fldChar w:fldCharType="separate"/>
      </w:r>
      <w:r>
        <w:rPr>
          <w:rStyle w:val="17"/>
        </w:rPr>
        <w:t>5.1 综合交通基础设施建设</w:t>
      </w:r>
      <w:r>
        <w:tab/>
      </w:r>
      <w:r>
        <w:fldChar w:fldCharType="begin"/>
      </w:r>
      <w:r>
        <w:instrText xml:space="preserve"> PAGEREF _Toc53133712 \h </w:instrText>
      </w:r>
      <w:r>
        <w:fldChar w:fldCharType="separate"/>
      </w:r>
      <w:r>
        <w:t>23</w:t>
      </w:r>
      <w:r>
        <w:fldChar w:fldCharType="end"/>
      </w:r>
      <w:r>
        <w:fldChar w:fldCharType="end"/>
      </w:r>
    </w:p>
    <w:p w14:paraId="4502FE09">
      <w:pPr>
        <w:pStyle w:val="13"/>
        <w:rPr>
          <w:rFonts w:asciiTheme="minorHAnsi" w:hAnsiTheme="minorHAnsi" w:eastAsiaTheme="minorEastAsia"/>
          <w:sz w:val="21"/>
        </w:rPr>
      </w:pPr>
      <w:r>
        <w:fldChar w:fldCharType="begin"/>
      </w:r>
      <w:r>
        <w:instrText xml:space="preserve"> HYPERLINK \l "_Toc53133713" </w:instrText>
      </w:r>
      <w:r>
        <w:fldChar w:fldCharType="separate"/>
      </w:r>
      <w:r>
        <w:rPr>
          <w:rStyle w:val="17"/>
        </w:rPr>
        <w:t>5.2 交通设施养护</w:t>
      </w:r>
      <w:r>
        <w:tab/>
      </w:r>
      <w:r>
        <w:fldChar w:fldCharType="begin"/>
      </w:r>
      <w:r>
        <w:instrText xml:space="preserve"> PAGEREF _Toc53133713 \h </w:instrText>
      </w:r>
      <w:r>
        <w:fldChar w:fldCharType="separate"/>
      </w:r>
      <w:r>
        <w:t>29</w:t>
      </w:r>
      <w:r>
        <w:fldChar w:fldCharType="end"/>
      </w:r>
      <w:r>
        <w:fldChar w:fldCharType="end"/>
      </w:r>
    </w:p>
    <w:p w14:paraId="33D0BFAF">
      <w:pPr>
        <w:pStyle w:val="13"/>
        <w:rPr>
          <w:rFonts w:asciiTheme="minorHAnsi" w:hAnsiTheme="minorHAnsi" w:eastAsiaTheme="minorEastAsia"/>
          <w:sz w:val="21"/>
        </w:rPr>
      </w:pPr>
      <w:r>
        <w:fldChar w:fldCharType="begin"/>
      </w:r>
      <w:r>
        <w:instrText xml:space="preserve"> HYPERLINK \l "_Toc53133714" </w:instrText>
      </w:r>
      <w:r>
        <w:fldChar w:fldCharType="separate"/>
      </w:r>
      <w:r>
        <w:rPr>
          <w:rStyle w:val="17"/>
        </w:rPr>
        <w:t>5.3 综合运输服务</w:t>
      </w:r>
      <w:r>
        <w:tab/>
      </w:r>
      <w:r>
        <w:fldChar w:fldCharType="begin"/>
      </w:r>
      <w:r>
        <w:instrText xml:space="preserve"> PAGEREF _Toc53133714 \h </w:instrText>
      </w:r>
      <w:r>
        <w:fldChar w:fldCharType="separate"/>
      </w:r>
      <w:r>
        <w:t>30</w:t>
      </w:r>
      <w:r>
        <w:fldChar w:fldCharType="end"/>
      </w:r>
      <w:r>
        <w:fldChar w:fldCharType="end"/>
      </w:r>
    </w:p>
    <w:p w14:paraId="0DD1FCAB">
      <w:pPr>
        <w:pStyle w:val="13"/>
        <w:rPr>
          <w:rFonts w:asciiTheme="minorHAnsi" w:hAnsiTheme="minorHAnsi" w:eastAsiaTheme="minorEastAsia"/>
          <w:sz w:val="21"/>
        </w:rPr>
      </w:pPr>
      <w:r>
        <w:fldChar w:fldCharType="begin"/>
      </w:r>
      <w:r>
        <w:instrText xml:space="preserve"> HYPERLINK \l "_Toc53133715" </w:instrText>
      </w:r>
      <w:r>
        <w:fldChar w:fldCharType="separate"/>
      </w:r>
      <w:r>
        <w:rPr>
          <w:rStyle w:val="17"/>
        </w:rPr>
        <w:t>5.4 智慧交通建设</w:t>
      </w:r>
      <w:r>
        <w:tab/>
      </w:r>
      <w:r>
        <w:fldChar w:fldCharType="begin"/>
      </w:r>
      <w:r>
        <w:instrText xml:space="preserve"> PAGEREF _Toc53133715 \h </w:instrText>
      </w:r>
      <w:r>
        <w:fldChar w:fldCharType="separate"/>
      </w:r>
      <w:r>
        <w:t>35</w:t>
      </w:r>
      <w:r>
        <w:fldChar w:fldCharType="end"/>
      </w:r>
      <w:r>
        <w:fldChar w:fldCharType="end"/>
      </w:r>
    </w:p>
    <w:p w14:paraId="55867018">
      <w:pPr>
        <w:pStyle w:val="13"/>
        <w:rPr>
          <w:rFonts w:asciiTheme="minorHAnsi" w:hAnsiTheme="minorHAnsi" w:eastAsiaTheme="minorEastAsia"/>
          <w:sz w:val="21"/>
        </w:rPr>
      </w:pPr>
      <w:r>
        <w:fldChar w:fldCharType="begin"/>
      </w:r>
      <w:r>
        <w:instrText xml:space="preserve"> HYPERLINK \l "_Toc53133716" </w:instrText>
      </w:r>
      <w:r>
        <w:fldChar w:fldCharType="separate"/>
      </w:r>
      <w:r>
        <w:rPr>
          <w:rStyle w:val="17"/>
        </w:rPr>
        <w:t>5.5 绿色交通建设</w:t>
      </w:r>
      <w:r>
        <w:tab/>
      </w:r>
      <w:r>
        <w:fldChar w:fldCharType="begin"/>
      </w:r>
      <w:r>
        <w:instrText xml:space="preserve"> PAGEREF _Toc53133716 \h </w:instrText>
      </w:r>
      <w:r>
        <w:fldChar w:fldCharType="separate"/>
      </w:r>
      <w:r>
        <w:t>37</w:t>
      </w:r>
      <w:r>
        <w:fldChar w:fldCharType="end"/>
      </w:r>
      <w:r>
        <w:fldChar w:fldCharType="end"/>
      </w:r>
    </w:p>
    <w:p w14:paraId="4835DCAC">
      <w:pPr>
        <w:pStyle w:val="13"/>
        <w:rPr>
          <w:rFonts w:asciiTheme="minorHAnsi" w:hAnsiTheme="minorHAnsi" w:eastAsiaTheme="minorEastAsia"/>
          <w:sz w:val="21"/>
        </w:rPr>
      </w:pPr>
      <w:r>
        <w:fldChar w:fldCharType="begin"/>
      </w:r>
      <w:r>
        <w:instrText xml:space="preserve"> HYPERLINK \l "_Toc53133717" </w:instrText>
      </w:r>
      <w:r>
        <w:fldChar w:fldCharType="separate"/>
      </w:r>
      <w:r>
        <w:rPr>
          <w:rStyle w:val="17"/>
        </w:rPr>
        <w:t>5.6 平安交通建设</w:t>
      </w:r>
      <w:r>
        <w:tab/>
      </w:r>
      <w:r>
        <w:fldChar w:fldCharType="begin"/>
      </w:r>
      <w:r>
        <w:instrText xml:space="preserve"> PAGEREF _Toc53133717 \h </w:instrText>
      </w:r>
      <w:r>
        <w:fldChar w:fldCharType="separate"/>
      </w:r>
      <w:r>
        <w:t>38</w:t>
      </w:r>
      <w:r>
        <w:fldChar w:fldCharType="end"/>
      </w:r>
      <w:r>
        <w:fldChar w:fldCharType="end"/>
      </w:r>
    </w:p>
    <w:p w14:paraId="60D232E7">
      <w:pPr>
        <w:pStyle w:val="13"/>
        <w:rPr>
          <w:rFonts w:asciiTheme="minorHAnsi" w:hAnsiTheme="minorHAnsi" w:eastAsiaTheme="minorEastAsia"/>
          <w:sz w:val="21"/>
        </w:rPr>
      </w:pPr>
      <w:r>
        <w:fldChar w:fldCharType="begin"/>
      </w:r>
      <w:r>
        <w:instrText xml:space="preserve"> HYPERLINK \l "_Toc53133718" </w:instrText>
      </w:r>
      <w:r>
        <w:fldChar w:fldCharType="separate"/>
      </w:r>
      <w:r>
        <w:rPr>
          <w:rStyle w:val="17"/>
        </w:rPr>
        <w:t>5.7 全面深化改革</w:t>
      </w:r>
      <w:r>
        <w:tab/>
      </w:r>
      <w:r>
        <w:fldChar w:fldCharType="begin"/>
      </w:r>
      <w:r>
        <w:instrText xml:space="preserve"> PAGEREF _Toc53133718 \h </w:instrText>
      </w:r>
      <w:r>
        <w:fldChar w:fldCharType="separate"/>
      </w:r>
      <w:r>
        <w:t>40</w:t>
      </w:r>
      <w:r>
        <w:fldChar w:fldCharType="end"/>
      </w:r>
      <w:r>
        <w:fldChar w:fldCharType="end"/>
      </w:r>
    </w:p>
    <w:p w14:paraId="18A024AB">
      <w:pPr>
        <w:pStyle w:val="12"/>
        <w:rPr>
          <w:rFonts w:asciiTheme="minorHAnsi" w:hAnsiTheme="minorHAnsi" w:eastAsiaTheme="minorEastAsia"/>
          <w:sz w:val="21"/>
        </w:rPr>
      </w:pPr>
      <w:r>
        <w:fldChar w:fldCharType="begin"/>
      </w:r>
      <w:r>
        <w:instrText xml:space="preserve"> HYPERLINK \l "_Toc53133719" </w:instrText>
      </w:r>
      <w:r>
        <w:fldChar w:fldCharType="separate"/>
      </w:r>
      <w:r>
        <w:rPr>
          <w:rStyle w:val="17"/>
          <w:lang w:bidi="zh-CN"/>
          <w14:scene3d>
            <w14:lightRig w14:rig="threePt" w14:dir="t">
              <w14:rot w14:lat="0" w14:lon="0" w14:rev="0"/>
            </w14:lightRig>
          </w14:scene3d>
        </w:rPr>
        <w:t>第6章</w:t>
      </w:r>
      <w:r>
        <w:rPr>
          <w:rStyle w:val="17"/>
        </w:rPr>
        <w:t xml:space="preserve"> 环境影响评价</w:t>
      </w:r>
      <w:r>
        <w:tab/>
      </w:r>
      <w:r>
        <w:fldChar w:fldCharType="begin"/>
      </w:r>
      <w:r>
        <w:instrText xml:space="preserve"> PAGEREF _Toc53133719 \h </w:instrText>
      </w:r>
      <w:r>
        <w:fldChar w:fldCharType="separate"/>
      </w:r>
      <w:r>
        <w:t>42</w:t>
      </w:r>
      <w:r>
        <w:fldChar w:fldCharType="end"/>
      </w:r>
      <w:r>
        <w:fldChar w:fldCharType="end"/>
      </w:r>
    </w:p>
    <w:p w14:paraId="59EB6369">
      <w:pPr>
        <w:pStyle w:val="13"/>
        <w:rPr>
          <w:rFonts w:asciiTheme="minorHAnsi" w:hAnsiTheme="minorHAnsi" w:eastAsiaTheme="minorEastAsia"/>
          <w:sz w:val="21"/>
        </w:rPr>
      </w:pPr>
      <w:r>
        <w:fldChar w:fldCharType="begin"/>
      </w:r>
      <w:r>
        <w:instrText xml:space="preserve"> HYPERLINK \l "_Toc53133720" </w:instrText>
      </w:r>
      <w:r>
        <w:fldChar w:fldCharType="separate"/>
      </w:r>
      <w:r>
        <w:rPr>
          <w:rStyle w:val="17"/>
        </w:rPr>
        <w:t>6.1 环境影响因素</w:t>
      </w:r>
      <w:r>
        <w:tab/>
      </w:r>
      <w:r>
        <w:fldChar w:fldCharType="begin"/>
      </w:r>
      <w:r>
        <w:instrText xml:space="preserve"> PAGEREF _Toc53133720 \h </w:instrText>
      </w:r>
      <w:r>
        <w:fldChar w:fldCharType="separate"/>
      </w:r>
      <w:r>
        <w:t>42</w:t>
      </w:r>
      <w:r>
        <w:fldChar w:fldCharType="end"/>
      </w:r>
      <w:r>
        <w:fldChar w:fldCharType="end"/>
      </w:r>
    </w:p>
    <w:p w14:paraId="0FD84984">
      <w:pPr>
        <w:pStyle w:val="13"/>
        <w:rPr>
          <w:rFonts w:asciiTheme="minorHAnsi" w:hAnsiTheme="minorHAnsi" w:eastAsiaTheme="minorEastAsia"/>
          <w:sz w:val="21"/>
        </w:rPr>
      </w:pPr>
      <w:r>
        <w:fldChar w:fldCharType="begin"/>
      </w:r>
      <w:r>
        <w:instrText xml:space="preserve"> HYPERLINK \l "_Toc53133721" </w:instrText>
      </w:r>
      <w:r>
        <w:fldChar w:fldCharType="separate"/>
      </w:r>
      <w:r>
        <w:rPr>
          <w:rStyle w:val="17"/>
        </w:rPr>
        <w:t>6.2 环境保护要求</w:t>
      </w:r>
      <w:r>
        <w:tab/>
      </w:r>
      <w:r>
        <w:fldChar w:fldCharType="begin"/>
      </w:r>
      <w:r>
        <w:instrText xml:space="preserve"> PAGEREF _Toc53133721 \h </w:instrText>
      </w:r>
      <w:r>
        <w:fldChar w:fldCharType="separate"/>
      </w:r>
      <w:r>
        <w:t>42</w:t>
      </w:r>
      <w:r>
        <w:fldChar w:fldCharType="end"/>
      </w:r>
      <w:r>
        <w:fldChar w:fldCharType="end"/>
      </w:r>
    </w:p>
    <w:p w14:paraId="25BF543F">
      <w:pPr>
        <w:pStyle w:val="13"/>
        <w:rPr>
          <w:rFonts w:asciiTheme="minorHAnsi" w:hAnsiTheme="minorHAnsi" w:eastAsiaTheme="minorEastAsia"/>
          <w:sz w:val="21"/>
        </w:rPr>
      </w:pPr>
      <w:r>
        <w:fldChar w:fldCharType="begin"/>
      </w:r>
      <w:r>
        <w:instrText xml:space="preserve"> HYPERLINK \l "_Toc53133722" </w:instrText>
      </w:r>
      <w:r>
        <w:fldChar w:fldCharType="separate"/>
      </w:r>
      <w:r>
        <w:rPr>
          <w:rStyle w:val="17"/>
        </w:rPr>
        <w:t>6.3 环境保护措施</w:t>
      </w:r>
      <w:r>
        <w:tab/>
      </w:r>
      <w:r>
        <w:fldChar w:fldCharType="begin"/>
      </w:r>
      <w:r>
        <w:instrText xml:space="preserve"> PAGEREF _Toc53133722 \h </w:instrText>
      </w:r>
      <w:r>
        <w:fldChar w:fldCharType="separate"/>
      </w:r>
      <w:r>
        <w:t>43</w:t>
      </w:r>
      <w:r>
        <w:fldChar w:fldCharType="end"/>
      </w:r>
      <w:r>
        <w:fldChar w:fldCharType="end"/>
      </w:r>
    </w:p>
    <w:p w14:paraId="6CBA0B08">
      <w:pPr>
        <w:pStyle w:val="12"/>
        <w:rPr>
          <w:rFonts w:asciiTheme="minorHAnsi" w:hAnsiTheme="minorHAnsi" w:eastAsiaTheme="minorEastAsia"/>
          <w:sz w:val="21"/>
        </w:rPr>
      </w:pPr>
      <w:r>
        <w:fldChar w:fldCharType="begin"/>
      </w:r>
      <w:r>
        <w:instrText xml:space="preserve"> HYPERLINK \l "_Toc53133723" </w:instrText>
      </w:r>
      <w:r>
        <w:fldChar w:fldCharType="separate"/>
      </w:r>
      <w:r>
        <w:rPr>
          <w:rStyle w:val="17"/>
          <w:lang w:bidi="zh-CN"/>
          <w14:scene3d>
            <w14:lightRig w14:rig="threePt" w14:dir="t">
              <w14:rot w14:lat="0" w14:lon="0" w14:rev="0"/>
            </w14:lightRig>
          </w14:scene3d>
        </w:rPr>
        <w:t>第7章</w:t>
      </w:r>
      <w:r>
        <w:rPr>
          <w:rStyle w:val="17"/>
        </w:rPr>
        <w:t xml:space="preserve"> 保障措施</w:t>
      </w:r>
      <w:r>
        <w:tab/>
      </w:r>
      <w:r>
        <w:fldChar w:fldCharType="begin"/>
      </w:r>
      <w:r>
        <w:instrText xml:space="preserve"> PAGEREF _Toc53133723 \h </w:instrText>
      </w:r>
      <w:r>
        <w:fldChar w:fldCharType="separate"/>
      </w:r>
      <w:r>
        <w:t>48</w:t>
      </w:r>
      <w:r>
        <w:fldChar w:fldCharType="end"/>
      </w:r>
      <w:r>
        <w:fldChar w:fldCharType="end"/>
      </w:r>
    </w:p>
    <w:p w14:paraId="4739CC5A">
      <w:pPr>
        <w:pStyle w:val="13"/>
        <w:rPr>
          <w:rFonts w:asciiTheme="minorHAnsi" w:hAnsiTheme="minorHAnsi" w:eastAsiaTheme="minorEastAsia"/>
          <w:sz w:val="21"/>
        </w:rPr>
      </w:pPr>
      <w:r>
        <w:fldChar w:fldCharType="begin"/>
      </w:r>
      <w:r>
        <w:instrText xml:space="preserve"> HYPERLINK \l "_Toc53133724" </w:instrText>
      </w:r>
      <w:r>
        <w:fldChar w:fldCharType="separate"/>
      </w:r>
      <w:r>
        <w:rPr>
          <w:rStyle w:val="17"/>
        </w:rPr>
        <w:t>7.1 加强领导，高度重视规划实施工作</w:t>
      </w:r>
      <w:r>
        <w:tab/>
      </w:r>
      <w:r>
        <w:fldChar w:fldCharType="begin"/>
      </w:r>
      <w:r>
        <w:instrText xml:space="preserve"> PAGEREF _Toc53133724 \h </w:instrText>
      </w:r>
      <w:r>
        <w:fldChar w:fldCharType="separate"/>
      </w:r>
      <w:r>
        <w:t>48</w:t>
      </w:r>
      <w:r>
        <w:fldChar w:fldCharType="end"/>
      </w:r>
      <w:r>
        <w:fldChar w:fldCharType="end"/>
      </w:r>
    </w:p>
    <w:p w14:paraId="6DD4EC1C">
      <w:pPr>
        <w:pStyle w:val="13"/>
        <w:rPr>
          <w:rFonts w:asciiTheme="minorHAnsi" w:hAnsiTheme="minorHAnsi" w:eastAsiaTheme="minorEastAsia"/>
          <w:sz w:val="21"/>
        </w:rPr>
      </w:pPr>
      <w:r>
        <w:fldChar w:fldCharType="begin"/>
      </w:r>
      <w:r>
        <w:instrText xml:space="preserve"> HYPERLINK \l "_Toc53133725" </w:instrText>
      </w:r>
      <w:r>
        <w:fldChar w:fldCharType="separate"/>
      </w:r>
      <w:r>
        <w:rPr>
          <w:rStyle w:val="17"/>
        </w:rPr>
        <w:t>7.2 用足政策，争取上级的支持扶持</w:t>
      </w:r>
      <w:r>
        <w:tab/>
      </w:r>
      <w:r>
        <w:fldChar w:fldCharType="begin"/>
      </w:r>
      <w:r>
        <w:instrText xml:space="preserve"> PAGEREF _Toc53133725 \h </w:instrText>
      </w:r>
      <w:r>
        <w:fldChar w:fldCharType="separate"/>
      </w:r>
      <w:r>
        <w:t>48</w:t>
      </w:r>
      <w:r>
        <w:fldChar w:fldCharType="end"/>
      </w:r>
      <w:r>
        <w:fldChar w:fldCharType="end"/>
      </w:r>
    </w:p>
    <w:p w14:paraId="152C4CCA">
      <w:pPr>
        <w:pStyle w:val="13"/>
        <w:rPr>
          <w:rFonts w:asciiTheme="minorHAnsi" w:hAnsiTheme="minorHAnsi" w:eastAsiaTheme="minorEastAsia"/>
          <w:sz w:val="21"/>
        </w:rPr>
      </w:pPr>
      <w:r>
        <w:fldChar w:fldCharType="begin"/>
      </w:r>
      <w:r>
        <w:instrText xml:space="preserve"> HYPERLINK \l "_Toc53133726" </w:instrText>
      </w:r>
      <w:r>
        <w:fldChar w:fldCharType="separate"/>
      </w:r>
      <w:r>
        <w:rPr>
          <w:rStyle w:val="17"/>
        </w:rPr>
        <w:t>7.3 深化改革，培育和健全交通建设市场体系</w:t>
      </w:r>
      <w:r>
        <w:tab/>
      </w:r>
      <w:r>
        <w:fldChar w:fldCharType="begin"/>
      </w:r>
      <w:r>
        <w:instrText xml:space="preserve"> PAGEREF _Toc53133726 \h </w:instrText>
      </w:r>
      <w:r>
        <w:fldChar w:fldCharType="separate"/>
      </w:r>
      <w:r>
        <w:t>48</w:t>
      </w:r>
      <w:r>
        <w:fldChar w:fldCharType="end"/>
      </w:r>
      <w:r>
        <w:fldChar w:fldCharType="end"/>
      </w:r>
    </w:p>
    <w:p w14:paraId="20E2959F">
      <w:pPr>
        <w:pStyle w:val="13"/>
        <w:rPr>
          <w:rFonts w:asciiTheme="minorHAnsi" w:hAnsiTheme="minorHAnsi" w:eastAsiaTheme="minorEastAsia"/>
          <w:sz w:val="21"/>
        </w:rPr>
      </w:pPr>
      <w:r>
        <w:fldChar w:fldCharType="begin"/>
      </w:r>
      <w:r>
        <w:instrText xml:space="preserve"> HYPERLINK \l "_Toc53133727" </w:instrText>
      </w:r>
      <w:r>
        <w:fldChar w:fldCharType="separate"/>
      </w:r>
      <w:r>
        <w:rPr>
          <w:rStyle w:val="17"/>
        </w:rPr>
        <w:t>7.4 重视前期工作，切实抓好项目前期工作</w:t>
      </w:r>
      <w:r>
        <w:tab/>
      </w:r>
      <w:r>
        <w:fldChar w:fldCharType="begin"/>
      </w:r>
      <w:r>
        <w:instrText xml:space="preserve"> PAGEREF _Toc53133727 \h </w:instrText>
      </w:r>
      <w:r>
        <w:fldChar w:fldCharType="separate"/>
      </w:r>
      <w:r>
        <w:t>49</w:t>
      </w:r>
      <w:r>
        <w:fldChar w:fldCharType="end"/>
      </w:r>
      <w:r>
        <w:fldChar w:fldCharType="end"/>
      </w:r>
    </w:p>
    <w:p w14:paraId="23684643">
      <w:pPr>
        <w:pStyle w:val="13"/>
        <w:rPr>
          <w:rFonts w:asciiTheme="minorHAnsi" w:hAnsiTheme="minorHAnsi" w:eastAsiaTheme="minorEastAsia"/>
          <w:sz w:val="21"/>
        </w:rPr>
      </w:pPr>
      <w:r>
        <w:fldChar w:fldCharType="begin"/>
      </w:r>
      <w:r>
        <w:instrText xml:space="preserve"> HYPERLINK \l "_Toc53133728" </w:instrText>
      </w:r>
      <w:r>
        <w:fldChar w:fldCharType="separate"/>
      </w:r>
      <w:r>
        <w:rPr>
          <w:rStyle w:val="17"/>
        </w:rPr>
        <w:t>7.5 加强交通信息化建设</w:t>
      </w:r>
      <w:r>
        <w:tab/>
      </w:r>
      <w:r>
        <w:fldChar w:fldCharType="begin"/>
      </w:r>
      <w:r>
        <w:instrText xml:space="preserve"> PAGEREF _Toc53133728 \h </w:instrText>
      </w:r>
      <w:r>
        <w:fldChar w:fldCharType="separate"/>
      </w:r>
      <w:r>
        <w:t>50</w:t>
      </w:r>
      <w:r>
        <w:fldChar w:fldCharType="end"/>
      </w:r>
      <w:r>
        <w:fldChar w:fldCharType="end"/>
      </w:r>
    </w:p>
    <w:p w14:paraId="7F868499">
      <w:pPr>
        <w:pStyle w:val="13"/>
        <w:rPr>
          <w:rFonts w:asciiTheme="minorHAnsi" w:hAnsiTheme="minorHAnsi" w:eastAsiaTheme="minorEastAsia"/>
          <w:sz w:val="21"/>
        </w:rPr>
      </w:pPr>
      <w:r>
        <w:fldChar w:fldCharType="begin"/>
      </w:r>
      <w:r>
        <w:instrText xml:space="preserve"> HYPERLINK \l "_Toc53133729" </w:instrText>
      </w:r>
      <w:r>
        <w:fldChar w:fldCharType="separate"/>
      </w:r>
      <w:r>
        <w:rPr>
          <w:rStyle w:val="17"/>
        </w:rPr>
        <w:t>7.6 注重环境保护</w:t>
      </w:r>
      <w:r>
        <w:tab/>
      </w:r>
      <w:r>
        <w:fldChar w:fldCharType="begin"/>
      </w:r>
      <w:r>
        <w:instrText xml:space="preserve"> PAGEREF _Toc53133729 \h </w:instrText>
      </w:r>
      <w:r>
        <w:fldChar w:fldCharType="separate"/>
      </w:r>
      <w:r>
        <w:t>50</w:t>
      </w:r>
      <w:r>
        <w:fldChar w:fldCharType="end"/>
      </w:r>
      <w:r>
        <w:fldChar w:fldCharType="end"/>
      </w:r>
    </w:p>
    <w:p w14:paraId="0165278B">
      <w:pPr>
        <w:pStyle w:val="13"/>
        <w:rPr>
          <w:rFonts w:asciiTheme="minorHAnsi" w:hAnsiTheme="minorHAnsi" w:eastAsiaTheme="minorEastAsia"/>
          <w:sz w:val="21"/>
        </w:rPr>
      </w:pPr>
      <w:r>
        <w:fldChar w:fldCharType="begin"/>
      </w:r>
      <w:r>
        <w:instrText xml:space="preserve"> HYPERLINK \l "_Toc53133730" </w:instrText>
      </w:r>
      <w:r>
        <w:fldChar w:fldCharType="separate"/>
      </w:r>
      <w:r>
        <w:rPr>
          <w:rStyle w:val="17"/>
        </w:rPr>
        <w:t>7.7 加强人才队伍建设</w:t>
      </w:r>
      <w:r>
        <w:tab/>
      </w:r>
      <w:r>
        <w:fldChar w:fldCharType="begin"/>
      </w:r>
      <w:r>
        <w:instrText xml:space="preserve"> PAGEREF _Toc53133730 \h </w:instrText>
      </w:r>
      <w:r>
        <w:fldChar w:fldCharType="separate"/>
      </w:r>
      <w:r>
        <w:t>50</w:t>
      </w:r>
      <w:r>
        <w:fldChar w:fldCharType="end"/>
      </w:r>
      <w:r>
        <w:fldChar w:fldCharType="end"/>
      </w:r>
    </w:p>
    <w:p w14:paraId="61B76CD0">
      <w:pPr>
        <w:ind w:firstLine="0" w:firstLineChars="0"/>
        <w:rPr>
          <w:rFonts w:cs="Times New Roman"/>
        </w:rPr>
      </w:pPr>
      <w:r>
        <w:rPr>
          <w:rFonts w:cs="Times New Roman"/>
        </w:rPr>
        <w:fldChar w:fldCharType="end"/>
      </w:r>
    </w:p>
    <w:p w14:paraId="4C5D9176">
      <w:pPr>
        <w:ind w:firstLine="640"/>
        <w:rPr>
          <w:rFonts w:cs="Times New Roman"/>
        </w:rPr>
        <w:sectPr>
          <w:headerReference r:id="rId11" w:type="default"/>
          <w:footerReference r:id="rId12" w:type="default"/>
          <w:pgSz w:w="11906" w:h="16838"/>
          <w:pgMar w:top="1701" w:right="1531" w:bottom="1531" w:left="1531" w:header="851" w:footer="992" w:gutter="0"/>
          <w:cols w:space="425" w:num="1"/>
          <w:docGrid w:type="lines" w:linePitch="312" w:charSpace="0"/>
        </w:sectPr>
      </w:pPr>
    </w:p>
    <w:p w14:paraId="6F0EB5CC">
      <w:pPr>
        <w:pStyle w:val="2"/>
        <w:numPr>
          <w:ilvl w:val="0"/>
          <w:numId w:val="0"/>
        </w:numPr>
        <w:spacing w:before="156" w:after="156"/>
      </w:pPr>
      <w:bookmarkStart w:id="0" w:name="_Toc53133697"/>
      <w:bookmarkStart w:id="1" w:name="_Toc49243284"/>
      <w:r>
        <w:rPr>
          <w:rFonts w:hint="eastAsia"/>
        </w:rPr>
        <w:t>前言</w:t>
      </w:r>
      <w:bookmarkEnd w:id="0"/>
    </w:p>
    <w:p w14:paraId="5A92CA24">
      <w:pPr>
        <w:ind w:firstLine="640"/>
      </w:pPr>
      <w:r>
        <w:rPr>
          <w:rFonts w:hint="eastAsia"/>
          <w:lang w:eastAsia="zh-CN"/>
        </w:rPr>
        <w:t>“十四五”</w:t>
      </w:r>
      <w:r>
        <w:rPr>
          <w:rFonts w:hint="eastAsia"/>
        </w:rPr>
        <w:t>规划期（2021-2025年），是中国经济在全面小康基础上，迈向现代化目标的第一个五年规划，在中国迈向全面现代化历程中，居于承前启后的非常重要的历史位置，也是阳城县加快实施“田园城市、美丽乡村、产城融合、城乡一体”战略规划、全县经济发展稳中有进、稳中向好、稳中提质的重要阶段。统筹各种交通运输方式协调发展，构建集多种运输方式为一体的现代化综合交通运输体系，增强交通运输业对经济社会发展的基础保障能力，是</w:t>
      </w:r>
      <w:r>
        <w:rPr>
          <w:rFonts w:hint="eastAsia"/>
          <w:lang w:eastAsia="zh-CN"/>
        </w:rPr>
        <w:t>“十四五”</w:t>
      </w:r>
      <w:r>
        <w:rPr>
          <w:rFonts w:hint="eastAsia"/>
        </w:rPr>
        <w:t>时期阳城县构建全方位开放新格局，接轨“一带一路”、中原城市群发展规划等国家重大政策机遇，强化服务周边地区发展，落实“田园城市、美丽乡村、产城融合、城乡一体”发展战略的重要任务。依据《山西省省道网规划》、《山西省综合立体交通网规划（2021-2050年）》、《山西省农村公路</w:t>
      </w:r>
      <w:r>
        <w:rPr>
          <w:rFonts w:hint="eastAsia"/>
          <w:lang w:eastAsia="zh-CN"/>
        </w:rPr>
        <w:t>“十四五”</w:t>
      </w:r>
      <w:r>
        <w:rPr>
          <w:rFonts w:hint="eastAsia"/>
        </w:rPr>
        <w:t>发展纲要》等编制本规划。</w:t>
      </w:r>
    </w:p>
    <w:p w14:paraId="790197C0">
      <w:pPr>
        <w:ind w:firstLine="640"/>
      </w:pPr>
      <w:r>
        <w:rPr>
          <w:rFonts w:hint="eastAsia"/>
        </w:rPr>
        <w:t>本规划基年为2020年，规划期为2021-2025年，主要阐述规划期内全县综合交通运输体系发展的战略意图和工作重点，是引导和推进综合交通运输体系发展的纲领性文件，是制定交通发展相关政策、规划和安排重点项目建设与投资的基本依据。</w:t>
      </w:r>
    </w:p>
    <w:p w14:paraId="187F9DF7">
      <w:pPr>
        <w:pStyle w:val="2"/>
        <w:numPr>
          <w:ilvl w:val="0"/>
          <w:numId w:val="0"/>
        </w:numPr>
        <w:spacing w:before="156" w:after="156"/>
        <w:ind w:left="3544"/>
        <w:sectPr>
          <w:headerReference r:id="rId13" w:type="default"/>
          <w:footerReference r:id="rId14" w:type="default"/>
          <w:pgSz w:w="11906" w:h="16838"/>
          <w:pgMar w:top="1701" w:right="1531" w:bottom="1531" w:left="1531" w:header="851" w:footer="992" w:gutter="0"/>
          <w:pgNumType w:start="1"/>
          <w:cols w:space="425" w:num="1"/>
          <w:docGrid w:type="lines" w:linePitch="312" w:charSpace="0"/>
        </w:sectPr>
      </w:pPr>
    </w:p>
    <w:bookmarkEnd w:id="1"/>
    <w:p w14:paraId="1828212B">
      <w:pPr>
        <w:pStyle w:val="2"/>
        <w:spacing w:before="156" w:after="156"/>
      </w:pPr>
      <w:bookmarkStart w:id="2" w:name="_Toc53133698"/>
      <w:bookmarkStart w:id="3" w:name="_Toc44603482"/>
      <w:r>
        <w:rPr>
          <w:rFonts w:hint="eastAsia"/>
        </w:rPr>
        <w:t>概述</w:t>
      </w:r>
      <w:bookmarkEnd w:id="2"/>
      <w:bookmarkEnd w:id="3"/>
    </w:p>
    <w:p w14:paraId="36352B84">
      <w:pPr>
        <w:pStyle w:val="3"/>
        <w:ind w:firstLine="640"/>
      </w:pPr>
      <w:bookmarkStart w:id="4" w:name="_Toc53133699"/>
      <w:bookmarkStart w:id="5" w:name="_Toc49243285"/>
      <w:r>
        <w:t>规划背景</w:t>
      </w:r>
      <w:bookmarkEnd w:id="4"/>
      <w:bookmarkEnd w:id="5"/>
    </w:p>
    <w:p w14:paraId="5B980556">
      <w:pPr>
        <w:ind w:firstLine="640"/>
        <w:rPr>
          <w:rFonts w:cs="Times New Roman"/>
        </w:rPr>
      </w:pPr>
      <w:r>
        <w:rPr>
          <w:rFonts w:hint="eastAsia" w:cs="Times New Roman"/>
        </w:rPr>
        <w:t>阳城县位于山西省东南端，地处太岳山脉东支，中条山东北，太行山以西，沁河中游的西岸。东与晋城市郊区为界，北与沁水县为邻，西南与垣曲县接壤，南与河南省济源市相连。党中央国务院对山西及阳城的发展寄予厚望，习近平总书记作出“山西要在转型发展上率先蹚出一条新路线”的重要指示，这是党中央国务院根据新形势，从国家开放发展全局出发，对山西作出新的战略定位和战略部署，阳城地处山西东南经济区，南部紧邻中原城市群，这将是阳城县由</w:t>
      </w:r>
      <w:r>
        <w:rPr>
          <w:rFonts w:hint="eastAsia" w:cs="Times New Roman"/>
          <w:lang w:eastAsia="zh-CN"/>
        </w:rPr>
        <w:t>全面建成小康社会</w:t>
      </w:r>
      <w:r>
        <w:rPr>
          <w:rFonts w:hint="eastAsia" w:cs="Times New Roman"/>
        </w:rPr>
        <w:t>向全面实现社会主义现代化迈进的重大机遇，同时也是阳城县建设通达便捷、货畅其流、人畅其行的综合立体交通体系的历史时机。</w:t>
      </w:r>
    </w:p>
    <w:p w14:paraId="31E13EAF">
      <w:pPr>
        <w:ind w:firstLine="640"/>
        <w:rPr>
          <w:rFonts w:cs="Times New Roman"/>
        </w:rPr>
      </w:pPr>
      <w:r>
        <w:rPr>
          <w:rFonts w:hint="eastAsia" w:cs="Times New Roman"/>
        </w:rPr>
        <w:t>回顾阳城县国民经济和社会发展“十三五”规划实施以来，阳城县经济社会发展迅速，综合实力显著提升，2016年阳城县生产总值为166.5亿元，财政收入12.3亿元，全社会固定资产投资90.8亿元；至2019年，生产总值达218.6亿元，财政收入19.1亿元，全社会固定资产投资95.5亿元，生产总值、财政收入、固定资产投资年均增速达6%以上。“十三五”以来，阳城县秉持“田园城市、美丽乡村、产城融合、城乡一体”的发展战略，围绕把阳城县建设成晋豫交界的特色产业城市、晋城-侯马经济走廊的重要节点、重要的自然生态及人文资源旅游基地为目标，阳城县生产原煤1887.3万吨，煤层气开采5亿立方米，陶瓷产业高质量发展，全年产值7.8亿元，阳济高速即将通车，打通融入中原经济区的黄金通道，八甲口快速通道、环县城路网改造、阳杨线改造等项目建成通车，阳西高速互通立交、阳济高速连接线、晋阳高速改扩建等一批重点交通基础设施项目持续推进，以“三大攻坚战”为契机，全面提升综合交通体系有效供给能力和服务水平，为促进阳城县经济社会发展，推进城镇化建设，优化产业布局提供强了有力的交通保障。</w:t>
      </w:r>
    </w:p>
    <w:p w14:paraId="45B2A206">
      <w:pPr>
        <w:ind w:firstLine="640"/>
        <w:rPr>
          <w:rFonts w:cs="Times New Roman"/>
        </w:rPr>
      </w:pPr>
      <w:r>
        <w:rPr>
          <w:rFonts w:hint="eastAsia" w:cs="Times New Roman"/>
          <w:lang w:eastAsia="zh-CN"/>
        </w:rPr>
        <w:t>“十四五”</w:t>
      </w:r>
      <w:r>
        <w:rPr>
          <w:rFonts w:hint="eastAsia" w:cs="Times New Roman"/>
        </w:rPr>
        <w:t>时期是阳城县实现由</w:t>
      </w:r>
      <w:r>
        <w:rPr>
          <w:rFonts w:hint="eastAsia" w:cs="Times New Roman"/>
          <w:lang w:eastAsia="zh-CN"/>
        </w:rPr>
        <w:t>全面建成小康社会</w:t>
      </w:r>
      <w:r>
        <w:rPr>
          <w:rFonts w:hint="eastAsia" w:cs="Times New Roman"/>
        </w:rPr>
        <w:t>向实现社会主义现代化迈进的关键时期，也是阳城县落实党中央国务院对山西率先发展战略部署，进一步推进区域发展，实施经济发展战略突破的重大关头，交通是国民经济和社会发展的重要基础设施，交通的和谐发展直接关系到能否为</w:t>
      </w:r>
      <w:r>
        <w:rPr>
          <w:rFonts w:hint="eastAsia" w:cs="Times New Roman"/>
          <w:lang w:eastAsia="zh-CN"/>
        </w:rPr>
        <w:t>全面建成小康社会</w:t>
      </w:r>
      <w:r>
        <w:rPr>
          <w:rFonts w:hint="eastAsia" w:cs="Times New Roman"/>
        </w:rPr>
        <w:t>目标的实现提供有力的支撑和保障。编制好阳城县</w:t>
      </w:r>
      <w:r>
        <w:rPr>
          <w:rFonts w:hint="eastAsia" w:cs="Times New Roman"/>
          <w:lang w:eastAsia="zh-CN"/>
        </w:rPr>
        <w:t>“十四五”</w:t>
      </w:r>
      <w:r>
        <w:rPr>
          <w:rFonts w:hint="eastAsia" w:cs="Times New Roman"/>
        </w:rPr>
        <w:t>综合交通运输发展规划，对于明确</w:t>
      </w:r>
      <w:r>
        <w:rPr>
          <w:rFonts w:hint="eastAsia" w:cs="Times New Roman"/>
          <w:lang w:eastAsia="zh-CN"/>
        </w:rPr>
        <w:t>“十四五”</w:t>
      </w:r>
      <w:r>
        <w:rPr>
          <w:rFonts w:hint="eastAsia" w:cs="Times New Roman"/>
        </w:rPr>
        <w:t>乃至今后一段时期阳城县交通运输发展的思路、目标、任务和重点，加快交通和谐可持续发展具有重要意义。根据阳城县政府和县交通运输局有关</w:t>
      </w:r>
      <w:r>
        <w:rPr>
          <w:rFonts w:hint="eastAsia" w:cs="Times New Roman"/>
          <w:lang w:eastAsia="zh-CN"/>
        </w:rPr>
        <w:t>“十四五”</w:t>
      </w:r>
      <w:r>
        <w:rPr>
          <w:rFonts w:hint="eastAsia" w:cs="Times New Roman"/>
        </w:rPr>
        <w:t>规划工作部署，由山西省交通规划勘察设计研究院有限公司和阳城县交通运输局共同开展阳城县</w:t>
      </w:r>
      <w:r>
        <w:rPr>
          <w:rFonts w:hint="eastAsia" w:cs="Times New Roman"/>
          <w:lang w:eastAsia="zh-CN"/>
        </w:rPr>
        <w:t>“十四五”</w:t>
      </w:r>
      <w:r>
        <w:rPr>
          <w:rFonts w:hint="eastAsia" w:cs="Times New Roman"/>
        </w:rPr>
        <w:t>综合交通运输发展规划编制工作。</w:t>
      </w:r>
    </w:p>
    <w:p w14:paraId="79A8C909">
      <w:pPr>
        <w:pStyle w:val="3"/>
        <w:ind w:firstLine="640"/>
      </w:pPr>
      <w:bookmarkStart w:id="6" w:name="_Toc44603484"/>
      <w:bookmarkStart w:id="7" w:name="_Toc53133700"/>
      <w:bookmarkStart w:id="8" w:name="_Toc49243288"/>
      <w:r>
        <w:rPr>
          <w:rFonts w:hint="eastAsia"/>
        </w:rPr>
        <w:t>规划范围、期限和编制依据</w:t>
      </w:r>
      <w:bookmarkEnd w:id="6"/>
      <w:bookmarkEnd w:id="7"/>
      <w:bookmarkEnd w:id="8"/>
    </w:p>
    <w:p w14:paraId="6E9CC9D1">
      <w:pPr>
        <w:pStyle w:val="4"/>
        <w:ind w:firstLine="602"/>
      </w:pPr>
      <w:bookmarkStart w:id="9" w:name="_Toc44603485"/>
      <w:r>
        <w:rPr>
          <w:rFonts w:hint="eastAsia"/>
        </w:rPr>
        <w:t>规划范围和期限</w:t>
      </w:r>
      <w:bookmarkEnd w:id="9"/>
    </w:p>
    <w:p w14:paraId="1404733A">
      <w:pPr>
        <w:ind w:firstLine="640"/>
        <w:rPr>
          <w:rFonts w:cs="Times New Roman"/>
        </w:rPr>
      </w:pPr>
      <w:r>
        <w:rPr>
          <w:rFonts w:hint="eastAsia" w:cs="Times New Roman"/>
        </w:rPr>
        <w:t>规划范围：本规划区域为阳城县县域范围内高速及国省道公路网、农村公路网、客货运输、交通管理等方面发展规划。</w:t>
      </w:r>
    </w:p>
    <w:p w14:paraId="302CEE47">
      <w:pPr>
        <w:ind w:firstLine="640"/>
        <w:rPr>
          <w:rFonts w:cs="Times New Roman"/>
        </w:rPr>
      </w:pPr>
      <w:r>
        <w:rPr>
          <w:rFonts w:hint="eastAsia" w:cs="Times New Roman"/>
        </w:rPr>
        <w:t>规划期限：重点编制</w:t>
      </w:r>
      <w:r>
        <w:rPr>
          <w:rFonts w:hint="eastAsia" w:cs="Times New Roman"/>
          <w:lang w:eastAsia="zh-CN"/>
        </w:rPr>
        <w:t>“十四五”</w:t>
      </w:r>
      <w:r>
        <w:rPr>
          <w:rFonts w:hint="eastAsia" w:cs="Times New Roman"/>
        </w:rPr>
        <w:t>（2021年～2025年）期规划。</w:t>
      </w:r>
    </w:p>
    <w:p w14:paraId="35D6C1FA">
      <w:pPr>
        <w:pStyle w:val="4"/>
        <w:ind w:firstLine="602"/>
      </w:pPr>
      <w:bookmarkStart w:id="10" w:name="_Toc44603486"/>
      <w:r>
        <w:rPr>
          <w:rFonts w:hint="eastAsia"/>
        </w:rPr>
        <w:t>规划编制依据</w:t>
      </w:r>
      <w:bookmarkEnd w:id="10"/>
    </w:p>
    <w:p w14:paraId="50FCFB18">
      <w:pPr>
        <w:ind w:firstLine="640"/>
      </w:pPr>
      <w:r>
        <w:rPr>
          <w:rFonts w:hint="eastAsia"/>
        </w:rPr>
        <w:t>1、《中华人民共和国公路法》（1998年）</w:t>
      </w:r>
    </w:p>
    <w:p w14:paraId="624862FF">
      <w:pPr>
        <w:ind w:firstLine="640"/>
      </w:pPr>
      <w:r>
        <w:rPr>
          <w:rFonts w:hint="eastAsia"/>
        </w:rPr>
        <w:t>2、《公路网规划编制办法》（2010年3月）</w:t>
      </w:r>
    </w:p>
    <w:p w14:paraId="4D79D12C">
      <w:pPr>
        <w:ind w:firstLine="640"/>
      </w:pPr>
      <w:r>
        <w:rPr>
          <w:rFonts w:hint="eastAsia"/>
        </w:rPr>
        <w:t>3、《关于加强干线公路与城市道路有效衔接的指导意见》</w:t>
      </w:r>
    </w:p>
    <w:p w14:paraId="7BD46901">
      <w:pPr>
        <w:ind w:firstLine="640"/>
      </w:pPr>
      <w:r>
        <w:rPr>
          <w:rFonts w:hint="eastAsia"/>
        </w:rPr>
        <w:t>4、《山西省高速公路网规划调整方案》</w:t>
      </w:r>
    </w:p>
    <w:p w14:paraId="5273B078">
      <w:pPr>
        <w:ind w:firstLine="640"/>
      </w:pPr>
      <w:r>
        <w:rPr>
          <w:rFonts w:hint="eastAsia"/>
        </w:rPr>
        <w:t>5、山西省交通运输厅关于做好山西省交通运输</w:t>
      </w:r>
      <w:r>
        <w:rPr>
          <w:rFonts w:hint="eastAsia"/>
          <w:lang w:eastAsia="zh-CN"/>
        </w:rPr>
        <w:t>“十四五”</w:t>
      </w:r>
      <w:r>
        <w:rPr>
          <w:rFonts w:hint="eastAsia"/>
        </w:rPr>
        <w:t>发展规划编制工作的通知</w:t>
      </w:r>
    </w:p>
    <w:p w14:paraId="74029BF0">
      <w:pPr>
        <w:ind w:firstLine="640"/>
      </w:pPr>
      <w:r>
        <w:rPr>
          <w:rFonts w:hint="eastAsia"/>
        </w:rPr>
        <w:t>6、山西省交通运输厅关于农村公路</w:t>
      </w:r>
      <w:r>
        <w:rPr>
          <w:rFonts w:hint="eastAsia"/>
          <w:lang w:eastAsia="zh-CN"/>
        </w:rPr>
        <w:t>“十四五”</w:t>
      </w:r>
      <w:r>
        <w:rPr>
          <w:rFonts w:hint="eastAsia"/>
        </w:rPr>
        <w:t>发展规划编制的指导意见</w:t>
      </w:r>
    </w:p>
    <w:p w14:paraId="0F147FD4">
      <w:pPr>
        <w:ind w:firstLine="640"/>
      </w:pPr>
      <w:r>
        <w:rPr>
          <w:rFonts w:hint="eastAsia"/>
        </w:rPr>
        <w:t>7、《公路工程技术标准》（JTG B01-2014）</w:t>
      </w:r>
    </w:p>
    <w:p w14:paraId="2A3D88B0">
      <w:pPr>
        <w:ind w:firstLine="640"/>
      </w:pPr>
      <w:r>
        <w:rPr>
          <w:rFonts w:hint="eastAsia"/>
        </w:rPr>
        <w:t>8、《公路工程项目建设用地指标》（2011）</w:t>
      </w:r>
    </w:p>
    <w:p w14:paraId="6C52A727">
      <w:pPr>
        <w:ind w:firstLine="640"/>
      </w:pPr>
      <w:r>
        <w:rPr>
          <w:rFonts w:hint="eastAsia"/>
        </w:rPr>
        <w:t>9、山西省交通运输厅关于编制县域“四好农村路”建设专项（2017-2020年）的指导意见</w:t>
      </w:r>
    </w:p>
    <w:p w14:paraId="2885A69B">
      <w:pPr>
        <w:ind w:firstLine="640"/>
      </w:pPr>
      <w:r>
        <w:rPr>
          <w:rFonts w:hint="eastAsia"/>
        </w:rPr>
        <w:t>1</w:t>
      </w:r>
      <w:r>
        <w:t>0</w:t>
      </w:r>
      <w:r>
        <w:rPr>
          <w:rFonts w:hint="eastAsia"/>
        </w:rPr>
        <w:t>、《山西省省道网规划》</w:t>
      </w:r>
    </w:p>
    <w:p w14:paraId="29FF0900">
      <w:pPr>
        <w:ind w:firstLine="640"/>
      </w:pPr>
      <w:r>
        <w:t>11</w:t>
      </w:r>
      <w:r>
        <w:rPr>
          <w:rFonts w:hint="eastAsia"/>
        </w:rPr>
        <w:t>、《山西省综合立体交通网规划（2021-2050年）》</w:t>
      </w:r>
    </w:p>
    <w:p w14:paraId="3BD1218E">
      <w:pPr>
        <w:ind w:firstLine="640"/>
      </w:pPr>
      <w:r>
        <w:t>12</w:t>
      </w:r>
      <w:r>
        <w:rPr>
          <w:rFonts w:hint="eastAsia"/>
        </w:rPr>
        <w:t>、《山西省农村公路</w:t>
      </w:r>
      <w:r>
        <w:rPr>
          <w:rFonts w:hint="eastAsia"/>
          <w:lang w:eastAsia="zh-CN"/>
        </w:rPr>
        <w:t>“十四五”</w:t>
      </w:r>
      <w:r>
        <w:rPr>
          <w:rFonts w:hint="eastAsia"/>
        </w:rPr>
        <w:t>发展纲要》</w:t>
      </w:r>
    </w:p>
    <w:p w14:paraId="419E62F7">
      <w:pPr>
        <w:ind w:firstLine="640"/>
      </w:pPr>
      <w:r>
        <w:rPr>
          <w:rFonts w:hint="eastAsia"/>
        </w:rPr>
        <w:t>1</w:t>
      </w:r>
      <w:r>
        <w:t>3</w:t>
      </w:r>
      <w:r>
        <w:rPr>
          <w:rFonts w:hint="eastAsia"/>
        </w:rPr>
        <w:t>、关于开展《阳城县</w:t>
      </w:r>
      <w:r>
        <w:rPr>
          <w:rFonts w:hint="eastAsia"/>
          <w:lang w:eastAsia="zh-CN"/>
        </w:rPr>
        <w:t>“十四五”</w:t>
      </w:r>
      <w:r>
        <w:rPr>
          <w:rFonts w:hint="eastAsia"/>
        </w:rPr>
        <w:t>综合交通运输发展规划》委托函</w:t>
      </w:r>
    </w:p>
    <w:p w14:paraId="3C1359A0">
      <w:pPr>
        <w:ind w:firstLine="640"/>
      </w:pPr>
      <w:r>
        <w:rPr>
          <w:rFonts w:hint="eastAsia"/>
        </w:rPr>
        <w:t>1</w:t>
      </w:r>
      <w:r>
        <w:t>4</w:t>
      </w:r>
      <w:r>
        <w:rPr>
          <w:rFonts w:hint="eastAsia"/>
        </w:rPr>
        <w:t>、《阳城县城镇体系发展规划》</w:t>
      </w:r>
    </w:p>
    <w:p w14:paraId="4B575487">
      <w:pPr>
        <w:ind w:firstLine="640"/>
      </w:pPr>
      <w:r>
        <w:rPr>
          <w:rFonts w:hint="eastAsia"/>
        </w:rPr>
        <w:t>1</w:t>
      </w:r>
      <w:r>
        <w:t>5</w:t>
      </w:r>
      <w:r>
        <w:rPr>
          <w:rFonts w:hint="eastAsia"/>
        </w:rPr>
        <w:t>、《阳城县旅游总体规划》</w:t>
      </w:r>
    </w:p>
    <w:p w14:paraId="3E4313FC">
      <w:pPr>
        <w:ind w:firstLine="640"/>
      </w:pPr>
      <w:r>
        <w:rPr>
          <w:rFonts w:hint="eastAsia"/>
        </w:rPr>
        <w:t>1</w:t>
      </w:r>
      <w:r>
        <w:t>6</w:t>
      </w:r>
      <w:r>
        <w:rPr>
          <w:rFonts w:hint="eastAsia"/>
        </w:rPr>
        <w:t>、《山西省统计年鉴》</w:t>
      </w:r>
    </w:p>
    <w:p w14:paraId="5CF6A2C3">
      <w:pPr>
        <w:pStyle w:val="3"/>
        <w:ind w:firstLine="640"/>
      </w:pPr>
      <w:bookmarkStart w:id="11" w:name="_Toc44603487"/>
      <w:bookmarkStart w:id="12" w:name="_Toc53133701"/>
      <w:r>
        <w:rPr>
          <w:rFonts w:hint="eastAsia"/>
        </w:rPr>
        <w:t>规划指导思想和原则</w:t>
      </w:r>
      <w:bookmarkEnd w:id="11"/>
      <w:bookmarkEnd w:id="12"/>
    </w:p>
    <w:p w14:paraId="74738964">
      <w:pPr>
        <w:pStyle w:val="4"/>
        <w:ind w:firstLine="602"/>
      </w:pPr>
      <w:bookmarkStart w:id="13" w:name="_Toc44603488"/>
      <w:r>
        <w:rPr>
          <w:rFonts w:hint="eastAsia"/>
        </w:rPr>
        <w:t>指导思想</w:t>
      </w:r>
      <w:bookmarkEnd w:id="13"/>
    </w:p>
    <w:p w14:paraId="00FCC975">
      <w:pPr>
        <w:ind w:firstLine="640"/>
        <w:rPr>
          <w:rFonts w:cs="Times New Roman"/>
        </w:rPr>
      </w:pPr>
      <w:r>
        <w:rPr>
          <w:rFonts w:hint="eastAsia" w:cs="Times New Roman"/>
        </w:rPr>
        <w:t>以习近平新时代中国特色社会主义思想为指导，深入学习贯彻党的十九大和习近平总书记的“三篇光辉文献”，统筹推进“五位一体”总体布局，协调推进“四个全面”战略布局，坚持稳中求进工作总基调，坚持新发展理念，坚持高质量发展，坚持以供给侧结构性改革为主线，牢固树立绿色发展理念，</w:t>
      </w:r>
      <w:r>
        <w:rPr>
          <w:rFonts w:hint="eastAsia" w:cs="Times New Roman"/>
          <w:szCs w:val="20"/>
        </w:rPr>
        <w:t>以推动交通强国建设为总抓手，认真贯彻落实省委“四为四高两同步”总体思路和要求，遵循“一主三副六市域中心”空间布局，</w:t>
      </w:r>
      <w:r>
        <w:rPr>
          <w:rFonts w:hint="eastAsia" w:cs="Times New Roman"/>
        </w:rPr>
        <w:t>依托国家“一带一路”、“中部崛起”等重大战略机遇，扎实推进交通精准扶贫精准脱贫，基本建成安全便捷、畅通高效、绿色智能、群众满意的现代综合交通运输体系，显著提升综合交通运输供给能力和服务品质，推动行业转型升级，提升行业管理水平和治理能力，努力建设开放型、立体型、民生型交通，使交通运输成为我县“构建全省向南开放的重要门户和区域合作战略基地”的先行引领，为与全国一道全面建成小康社会提供坚强有力的交通运输保障。</w:t>
      </w:r>
    </w:p>
    <w:p w14:paraId="3EC0AEE7">
      <w:pPr>
        <w:ind w:firstLine="640"/>
        <w:rPr>
          <w:rFonts w:cs="Times New Roman"/>
        </w:rPr>
      </w:pPr>
      <w:r>
        <w:rPr>
          <w:rFonts w:hint="eastAsia" w:cs="Times New Roman"/>
        </w:rPr>
        <w:t>2020年12月，山西省人民政府印发《山西省推进交通强国建设行动计划（2021-2022年）》，强调按照“整体推进、重点突破、规划引领、项目为王”的原则，在综合立体交通网建设、交通运输一体化、智慧平安绿色交通建设、行业治理等领域取得新的突破，实现我省交通强国建设良好开局，为实现“</w:t>
      </w:r>
      <w:r>
        <w:rPr>
          <w:rFonts w:hint="eastAsia" w:cs="Times New Roman"/>
          <w:lang w:eastAsia="zh-CN"/>
        </w:rPr>
        <w:t>“十四五”</w:t>
      </w:r>
      <w:r>
        <w:rPr>
          <w:rFonts w:hint="eastAsia" w:cs="Times New Roman"/>
        </w:rPr>
        <w:t>”交通强国建设目标打下坚实基础。建议指出建设主要目标为：综合立体交通网覆盖面进一步扩大，运输服务一体化发展格局初步形成，智慧、平安、绿色交通体系较快构建，行业治理能力进一步提高，交通强国建设试点取得阶段性成果。</w:t>
      </w:r>
    </w:p>
    <w:p w14:paraId="00821980">
      <w:pPr>
        <w:pStyle w:val="4"/>
        <w:ind w:firstLine="602"/>
      </w:pPr>
      <w:bookmarkStart w:id="14" w:name="_Toc44603489"/>
      <w:r>
        <w:rPr>
          <w:rFonts w:hint="eastAsia"/>
        </w:rPr>
        <w:t>规划原则</w:t>
      </w:r>
      <w:bookmarkEnd w:id="14"/>
    </w:p>
    <w:p w14:paraId="399BAA37">
      <w:pPr>
        <w:ind w:firstLine="640"/>
        <w:rPr>
          <w:rFonts w:cs="Times New Roman"/>
        </w:rPr>
      </w:pPr>
      <w:r>
        <w:rPr>
          <w:rFonts w:hint="eastAsia" w:cs="Times New Roman"/>
        </w:rPr>
        <w:t>坚持“创新、协调、绿色、开放、共享”五大发展理念，结合交通运输行业发展特征和我市发展实际，规划坚持以下基本原则：</w:t>
      </w:r>
    </w:p>
    <w:p w14:paraId="25E43959">
      <w:pPr>
        <w:ind w:firstLine="643"/>
        <w:rPr>
          <w:rFonts w:cs="Times New Roman"/>
        </w:rPr>
      </w:pPr>
      <w:r>
        <w:rPr>
          <w:rFonts w:hint="eastAsia" w:cs="Times New Roman"/>
          <w:b/>
        </w:rPr>
        <w:t>（一）稳中求进，适度超前。</w:t>
      </w:r>
      <w:r>
        <w:rPr>
          <w:rFonts w:hint="eastAsia" w:cs="Times New Roman"/>
        </w:rPr>
        <w:t>把发展作为第一要务，保持一定的发展速度，努力实现基础设施能力适度超前配置，大力推进综合交通运输体系建设，全面提升交通运输对经济社会发展的支撑保障和先行引导作用。</w:t>
      </w:r>
    </w:p>
    <w:p w14:paraId="31EB1F6A">
      <w:pPr>
        <w:ind w:firstLine="643"/>
        <w:rPr>
          <w:rFonts w:cs="Times New Roman"/>
        </w:rPr>
      </w:pPr>
      <w:r>
        <w:rPr>
          <w:rFonts w:hint="eastAsia" w:cs="Times New Roman"/>
          <w:b/>
        </w:rPr>
        <w:t>（二）服务为本，提质增效。</w:t>
      </w:r>
      <w:r>
        <w:rPr>
          <w:rFonts w:hint="eastAsia" w:cs="Times New Roman"/>
        </w:rPr>
        <w:t>把建设人民群众满意交通作为出发点和落脚点，突出交通运输行业的服务属性，着力提升交通运输服务水平，努力实现“人便于行、货畅其流”。把提质增效升级作为发展的衡量标准，切实处理好发展的速度、质量、效益的关系，以科技进步和信息化引领交通运输现代化发展，努力推动行业转型升级。</w:t>
      </w:r>
    </w:p>
    <w:p w14:paraId="6D6A85FD">
      <w:pPr>
        <w:ind w:firstLine="643"/>
        <w:rPr>
          <w:rFonts w:cs="Times New Roman"/>
        </w:rPr>
      </w:pPr>
      <w:r>
        <w:rPr>
          <w:rFonts w:hint="eastAsia" w:cs="Times New Roman"/>
          <w:b/>
        </w:rPr>
        <w:t>（三）统筹兼顾，协调融合。</w:t>
      </w:r>
      <w:r>
        <w:rPr>
          <w:rFonts w:hint="eastAsia" w:cs="Times New Roman"/>
        </w:rPr>
        <w:t>把统筹兼顾作为根本方法，在推进综合交通运输体系建设过程中，统筹各种运输方式发展，充分发挥各种运输方式的比较优势和组合效率；统筹建设、养护、运输、管理，促进交通运输全面发展；统筹区域、城乡交通运输协调发展，推进交通运输基本公共服务均等化，努力实现交通运输的民生普惠。</w:t>
      </w:r>
    </w:p>
    <w:p w14:paraId="4D7637E5">
      <w:pPr>
        <w:ind w:firstLine="643"/>
        <w:rPr>
          <w:rFonts w:cs="Times New Roman"/>
        </w:rPr>
      </w:pPr>
      <w:r>
        <w:rPr>
          <w:rFonts w:hint="eastAsia" w:cs="Times New Roman"/>
          <w:b/>
        </w:rPr>
        <w:t>（四）绿色环保，安全发展。</w:t>
      </w:r>
      <w:r>
        <w:rPr>
          <w:rFonts w:hint="eastAsia" w:cs="Times New Roman"/>
        </w:rPr>
        <w:t>把可持续发展作为基本要求，从国家生态文明建设战略出发，把节能减排、保护环境和节约集约利用资源落实到交通运输各环节，努力实现交通运输绿色发展。把安全保障作为前提，牢固树立“安全第一”的理念，坚守红线定位和底线思维，按照“预防为主、综合治理”的方针，全面提高交通运输的安全性、可靠性和应对自然灾害、突发事件的反应能力。</w:t>
      </w:r>
    </w:p>
    <w:p w14:paraId="6D7ECDF6">
      <w:pPr>
        <w:ind w:firstLine="643"/>
        <w:rPr>
          <w:rFonts w:cs="Times New Roman"/>
        </w:rPr>
      </w:pPr>
      <w:r>
        <w:rPr>
          <w:rFonts w:hint="eastAsia" w:cs="Times New Roman"/>
          <w:b/>
        </w:rPr>
        <w:t>（五）深化改革，创新驱动。</w:t>
      </w:r>
      <w:r>
        <w:rPr>
          <w:rFonts w:hint="eastAsia" w:cs="Times New Roman"/>
        </w:rPr>
        <w:t>把改革创新作为强大动力全面深化交通运输重点领域和关键环节改革，增强交通运输改革的系统性、整体性、协同性，加快体制机制创新、政策创新、管理创新，努力破解深层次矛盾，进一步发挥市场配置交通运输资源的决定性作用，更好发挥政府作用，推进行业治理体系和治理能力现代化。</w:t>
      </w:r>
    </w:p>
    <w:p w14:paraId="01EBD0CE">
      <w:pPr>
        <w:ind w:firstLine="640"/>
        <w:rPr>
          <w:rFonts w:cs="Times New Roman"/>
        </w:rPr>
      </w:pPr>
    </w:p>
    <w:p w14:paraId="374D0A68">
      <w:pPr>
        <w:ind w:firstLine="640"/>
        <w:rPr>
          <w:rFonts w:cs="Times New Roman"/>
        </w:rPr>
        <w:sectPr>
          <w:headerReference r:id="rId15" w:type="default"/>
          <w:pgSz w:w="11906" w:h="16838"/>
          <w:pgMar w:top="1701" w:right="1531" w:bottom="1531" w:left="1531" w:header="851" w:footer="992" w:gutter="0"/>
          <w:cols w:space="425" w:num="1"/>
          <w:docGrid w:type="lines" w:linePitch="312" w:charSpace="0"/>
        </w:sectPr>
      </w:pPr>
    </w:p>
    <w:p w14:paraId="27E4B0D3">
      <w:pPr>
        <w:pStyle w:val="2"/>
        <w:spacing w:before="156" w:after="156"/>
      </w:pPr>
      <w:bookmarkStart w:id="15" w:name="_Toc44603490"/>
      <w:bookmarkStart w:id="16" w:name="_Toc53133702"/>
      <w:r>
        <w:rPr>
          <w:rFonts w:hint="eastAsia"/>
        </w:rPr>
        <w:t>“十三五”交通运输发展成就及评价</w:t>
      </w:r>
      <w:bookmarkEnd w:id="15"/>
      <w:bookmarkEnd w:id="16"/>
    </w:p>
    <w:p w14:paraId="1F61BCEA">
      <w:pPr>
        <w:pStyle w:val="3"/>
        <w:ind w:firstLine="640"/>
      </w:pPr>
      <w:bookmarkStart w:id="17" w:name="_Toc44603491"/>
      <w:bookmarkStart w:id="18" w:name="_Toc53133703"/>
      <w:r>
        <w:rPr>
          <w:rFonts w:hint="eastAsia"/>
        </w:rPr>
        <w:t>“十三五”发展主要成就</w:t>
      </w:r>
      <w:bookmarkEnd w:id="17"/>
      <w:bookmarkEnd w:id="18"/>
    </w:p>
    <w:p w14:paraId="29DC42A3">
      <w:pPr>
        <w:ind w:firstLine="640"/>
      </w:pPr>
      <w:r>
        <w:rPr>
          <w:rFonts w:hint="eastAsia"/>
        </w:rPr>
        <w:t>“十三五”期间，阳城</w:t>
      </w:r>
      <w:r>
        <w:rPr>
          <w:rFonts w:hint="eastAsia"/>
          <w:lang w:eastAsia="zh-CN"/>
        </w:rPr>
        <w:t>县委</w:t>
      </w:r>
      <w:r>
        <w:rPr>
          <w:rFonts w:hint="eastAsia"/>
        </w:rPr>
        <w:t>、县政府高度重视交通基础设施建设，立足“生态立县，绿色崛起”发展战略，按照“一产利用生态，二产服从生态，三产保护生态”的发展模式，争取上级政府和部门支持，加大资金投入，大力提升交通条件。牢牢抓住重大项目建设、</w:t>
      </w:r>
      <w:bookmarkStart w:id="52" w:name="_GoBack"/>
      <w:bookmarkEnd w:id="52"/>
      <w:r>
        <w:rPr>
          <w:rFonts w:hint="eastAsia"/>
        </w:rPr>
        <w:t>民生工程等重点任务，不断提高交通基础设施保障能力，提升交通服务能力，为阳城县经济平稳增长、保障和改善民生、打赢脱贫攻坚战、全面建成小康社会提供了坚强交通运输保障。</w:t>
      </w:r>
    </w:p>
    <w:p w14:paraId="127FC31F">
      <w:pPr>
        <w:ind w:firstLine="640"/>
      </w:pPr>
      <w:r>
        <w:rPr>
          <w:rFonts w:hint="eastAsia"/>
        </w:rPr>
        <w:t>基础设施网络逐步完善。到目前为止，公路通车总里程达到</w:t>
      </w:r>
      <w:r>
        <w:t>2236.956</w:t>
      </w:r>
      <w:r>
        <w:rPr>
          <w:rFonts w:hint="eastAsia"/>
        </w:rPr>
        <w:t>公里，其中：国主干线（不含阳城至蟒河高速4</w:t>
      </w:r>
      <w:r>
        <w:t>0.1</w:t>
      </w:r>
      <w:r>
        <w:rPr>
          <w:rFonts w:hint="eastAsia"/>
        </w:rPr>
        <w:t>km）2条，境内里程</w:t>
      </w:r>
      <w:r>
        <w:t>48.416</w:t>
      </w:r>
      <w:r>
        <w:rPr>
          <w:rFonts w:hint="eastAsia"/>
        </w:rPr>
        <w:t>公里；省道境内里程</w:t>
      </w:r>
      <w:r>
        <w:t>96.054</w:t>
      </w:r>
      <w:r>
        <w:rPr>
          <w:rFonts w:hint="eastAsia"/>
        </w:rPr>
        <w:t>公里；县道境内里程</w:t>
      </w:r>
      <w:r>
        <w:t>243.996</w:t>
      </w:r>
      <w:r>
        <w:rPr>
          <w:rFonts w:hint="eastAsia"/>
        </w:rPr>
        <w:t>公里；乡道境内里程</w:t>
      </w:r>
      <w:r>
        <w:t>941.907</w:t>
      </w:r>
      <w:r>
        <w:rPr>
          <w:rFonts w:hint="eastAsia"/>
        </w:rPr>
        <w:t>公里；专用道路</w:t>
      </w:r>
      <w:r>
        <w:t>8.496</w:t>
      </w:r>
      <w:r>
        <w:rPr>
          <w:rFonts w:hint="eastAsia"/>
        </w:rPr>
        <w:t>公里；村道境内里程</w:t>
      </w:r>
      <w:r>
        <w:t>898.087</w:t>
      </w:r>
      <w:r>
        <w:rPr>
          <w:rFonts w:hint="eastAsia"/>
        </w:rPr>
        <w:t>公里。形成了以高速公路、国、省干线公路为骨架，以县乡公路为依托，村道为补充的综合公路交通运输网络。全县实现乡镇全部通三级以上沥青路，行政村全部通水泥路或沥青路，通自然村和村民小组道路已得到全面硬化。“十三五”期间，阳城至运城高速公路已经纳入国家高速公路建设规划网，山西省交通运输厅正在推进前期工作。阳城至蟒河高速公路已建成并通车。农村公路建设成效显著，公路技术等级得到全面提高。</w:t>
      </w:r>
    </w:p>
    <w:p w14:paraId="6F235611">
      <w:pPr>
        <w:ind w:firstLine="640"/>
      </w:pPr>
      <w:r>
        <w:rPr>
          <w:rFonts w:hint="eastAsia"/>
        </w:rPr>
        <w:t>交通服务能力稳步提升。城乡客运一体化得到全面提升，共有客运企业1家，客运班线5条，省际2条，市际3条；客运车辆10台，其中省际2台，市际4台；旅游车4台；客运站场1家（二级站）；公交企业3家，公交线路110条，其中城际3条、城市9条、城乡26条、乡村73条；公交车185台，其中，城际公交16台、城市公交71台、城乡公交65台、乡村公交25台、旅游公交8台；客运量860万人，客运周转量26860万人公里。</w:t>
      </w:r>
    </w:p>
    <w:p w14:paraId="6B86F84D">
      <w:pPr>
        <w:pStyle w:val="3"/>
        <w:ind w:firstLine="640"/>
      </w:pPr>
      <w:bookmarkStart w:id="19" w:name="_Toc44603492"/>
      <w:r>
        <w:rPr>
          <w:rFonts w:hint="eastAsia"/>
        </w:rPr>
        <w:t xml:space="preserve"> </w:t>
      </w:r>
      <w:bookmarkStart w:id="20" w:name="_Toc53133704"/>
      <w:r>
        <w:rPr>
          <w:rFonts w:hint="eastAsia"/>
        </w:rPr>
        <w:t>存在的问题</w:t>
      </w:r>
      <w:bookmarkEnd w:id="19"/>
      <w:bookmarkEnd w:id="20"/>
    </w:p>
    <w:p w14:paraId="43E5958C">
      <w:pPr>
        <w:ind w:firstLine="640"/>
      </w:pPr>
      <w:r>
        <w:rPr>
          <w:rFonts w:hint="eastAsia"/>
        </w:rPr>
        <w:t xml:space="preserve"> “十三五”时期，阳城县公路、铁路、港口、城乡交通都获得了较大发展，综合交通运输体系逐步完善，交通运输结构逐步合理。但是，由于原有基础薄弱，投融资困难，交通基础设施网络和主要通道布局还不完善，技术等级和功能还不能很好地适应快速交通发展的需求，主要还处于适应性发展、改善型发展的过程中，尚未做到引领型发展。</w:t>
      </w:r>
    </w:p>
    <w:p w14:paraId="606B7846">
      <w:pPr>
        <w:pStyle w:val="4"/>
        <w:ind w:firstLine="602"/>
      </w:pPr>
      <w:r>
        <w:rPr>
          <w:rFonts w:hint="eastAsia"/>
        </w:rPr>
        <w:t>综合交通运输体系尚未形成，运输结构单一</w:t>
      </w:r>
    </w:p>
    <w:p w14:paraId="411F1FE6">
      <w:pPr>
        <w:ind w:firstLine="640"/>
      </w:pPr>
      <w:r>
        <w:rPr>
          <w:rFonts w:hint="eastAsia"/>
        </w:rPr>
        <w:t>目前，阳城县交通运输只能通过公路、铁路来实现，航空运输需要依靠郑州新郑国际机场、长治王村机场来实现，综合交通运输体系尚未完全形成。从阳城客货运输结构来看，旅客运输只能通过公路实现，并未实现公路、铁路以及航空全面开花的景象；而货运运输主要通过公路和铁路实现，但铁路发展滞后，公路占据主导地位，总体运输结构较为单一。</w:t>
      </w:r>
    </w:p>
    <w:p w14:paraId="3441FA1E">
      <w:pPr>
        <w:pStyle w:val="4"/>
        <w:ind w:firstLine="602"/>
      </w:pPr>
      <w:r>
        <w:rPr>
          <w:rFonts w:hint="eastAsia"/>
        </w:rPr>
        <w:t>各种运输方式尚未实现一体化衔接与配合</w:t>
      </w:r>
    </w:p>
    <w:p w14:paraId="0F048ADF">
      <w:pPr>
        <w:ind w:firstLine="640"/>
      </w:pPr>
      <w:r>
        <w:rPr>
          <w:rFonts w:hint="eastAsia"/>
        </w:rPr>
        <w:t>从阳城县的交通运输发展来看，基本上是以各种运输方式自我发展为主，按各自的运输组织要求进行设施配套，在网络、枢纽、信息化建设中，缺少从综合角度统筹规划、一体化设计、同步建设，以及设施的互联互通和共享共用，致使综合交通枢纽发展缓慢，各种运输方式之间衔接配合水平低下。</w:t>
      </w:r>
    </w:p>
    <w:p w14:paraId="0A4BE2C6">
      <w:pPr>
        <w:ind w:firstLine="640"/>
      </w:pPr>
      <w:r>
        <w:rPr>
          <w:rFonts w:hint="eastAsia"/>
        </w:rPr>
        <w:t>同时，由于各种交通运输方式的经营管理体制不同，导致各运输方式管理方在合作建设中处于极不对称的地位，而且由于发展目标和所代表利益不同，往往难以达成共识，这就造成了各种交通运输方式的站场都是按照各自的运输生产要求各自规划，各自分立建设，自成体系，形不成综合交通枢纽，各种运输方式的衔接需在各自的站场间进行倒转，系统效率低下。</w:t>
      </w:r>
    </w:p>
    <w:p w14:paraId="726A2A6D">
      <w:pPr>
        <w:pStyle w:val="4"/>
        <w:ind w:firstLine="602"/>
      </w:pPr>
      <w:r>
        <w:rPr>
          <w:rFonts w:hint="eastAsia"/>
        </w:rPr>
        <w:t>快速网络未形成，对外通道不足</w:t>
      </w:r>
    </w:p>
    <w:p w14:paraId="58994C91">
      <w:pPr>
        <w:ind w:firstLine="640"/>
      </w:pPr>
      <w:r>
        <w:rPr>
          <w:rFonts w:hint="eastAsia"/>
        </w:rPr>
        <w:t>阳城位于山西省东南端，地处太岳山脉东支，中条山东北，太行山以西，沁河中游的西岸。东与晋城市郊区为界，北与沁水县为邻，西南与垣曲县接壤，南与河南省济源市相连，这一地理位置决定了阳城对外通道的重要性。目前，阳城实际上只有三个对外通道，一是北上沁水县，通过安阳高速、国道G</w:t>
      </w:r>
      <w:r>
        <w:t>342</w:t>
      </w:r>
      <w:r>
        <w:rPr>
          <w:rFonts w:hint="eastAsia"/>
        </w:rPr>
        <w:t>陵沁线连接沁水县；二是南下河南济源市，通过阳济高速和省道S</w:t>
      </w:r>
      <w:r>
        <w:t>229</w:t>
      </w:r>
      <w:r>
        <w:rPr>
          <w:rFonts w:hint="eastAsia"/>
        </w:rPr>
        <w:t>阳济线连接济源；三是东至晋城市区，通过晋运高速、国道G</w:t>
      </w:r>
      <w:r>
        <w:t>342</w:t>
      </w:r>
      <w:r>
        <w:rPr>
          <w:rFonts w:hint="eastAsia"/>
        </w:rPr>
        <w:t>陵沁线连接泽州县、晋城市。国道G</w:t>
      </w:r>
      <w:r>
        <w:t>342</w:t>
      </w:r>
      <w:r>
        <w:rPr>
          <w:rFonts w:hint="eastAsia"/>
        </w:rPr>
        <w:t>陵沁线在县域北部与安阳高速相依并行、在县域东部与晋运高速相依并行，且县域西部缺少通往运城垣曲的大通道，使得阳城对外交通呈浅表型辐射，致使承接中原城市群、“一带一路”辐射的能力弱，同时对县域城镇特别是对西、南部经济欠发达地区的社会经济和旅游发展的带动作用相对有限。</w:t>
      </w:r>
    </w:p>
    <w:p w14:paraId="026CFECB">
      <w:pPr>
        <w:pStyle w:val="4"/>
        <w:ind w:firstLine="602"/>
      </w:pPr>
      <w:r>
        <w:rPr>
          <w:rFonts w:hint="eastAsia"/>
        </w:rPr>
        <w:t>公路骨架尚未搭建完成、等级结构不均</w:t>
      </w:r>
    </w:p>
    <w:p w14:paraId="43335016">
      <w:pPr>
        <w:ind w:firstLine="640"/>
      </w:pPr>
      <w:r>
        <w:rPr>
          <w:rFonts w:hint="eastAsia"/>
        </w:rPr>
        <w:t>阳城县共有两条高速，一条国道，一条省道，高速（S</w:t>
      </w:r>
      <w:r>
        <w:t>65</w:t>
      </w:r>
      <w:r>
        <w:rPr>
          <w:rFonts w:hint="eastAsia"/>
        </w:rPr>
        <w:t>安阳高速、S</w:t>
      </w:r>
      <w:r>
        <w:t>86</w:t>
      </w:r>
      <w:r>
        <w:rPr>
          <w:rFonts w:hint="eastAsia"/>
        </w:rPr>
        <w:t>晋运高速）、国道（</w:t>
      </w:r>
      <w:r>
        <w:t>G342</w:t>
      </w:r>
      <w:r>
        <w:rPr>
          <w:rFonts w:hint="eastAsia"/>
        </w:rPr>
        <w:t>陵沁线）、省道（S</w:t>
      </w:r>
      <w:r>
        <w:t>229</w:t>
      </w:r>
      <w:r>
        <w:rPr>
          <w:rFonts w:hint="eastAsia"/>
        </w:rPr>
        <w:t>阳济线），并集中分布于县域中部和东部，公路网骨架并未真正形成。且</w:t>
      </w:r>
      <w:r>
        <w:t>G342</w:t>
      </w:r>
      <w:r>
        <w:rPr>
          <w:rFonts w:hint="eastAsia"/>
        </w:rPr>
        <w:t>国道已逐步被主城区覆盖，逐渐沦为城市道路，服务水平较低，国道功能逐渐被弱化。</w:t>
      </w:r>
    </w:p>
    <w:p w14:paraId="541E6F03">
      <w:pPr>
        <w:ind w:firstLine="640"/>
      </w:pPr>
      <w:r>
        <w:rPr>
          <w:rFonts w:hint="eastAsia"/>
        </w:rPr>
        <w:t>县域内主要公路技术改造相对落后，</w:t>
      </w:r>
      <w:r>
        <w:t>2019</w:t>
      </w:r>
      <w:r>
        <w:rPr>
          <w:rFonts w:hint="eastAsia"/>
        </w:rPr>
        <w:t>年阳城县公路里程为</w:t>
      </w:r>
      <w:r>
        <w:t>2330.803</w:t>
      </w:r>
      <w:r>
        <w:rPr>
          <w:rFonts w:hint="eastAsia"/>
        </w:rPr>
        <w:t>公里，二级及以上公路仅占县域等级路网的</w:t>
      </w:r>
      <w:r>
        <w:t>12.82</w:t>
      </w:r>
      <w:r>
        <w:rPr>
          <w:rFonts w:hint="eastAsia"/>
        </w:rPr>
        <w:t>％，而四级及以下等级道路占了7</w:t>
      </w:r>
      <w:r>
        <w:t>7.</w:t>
      </w:r>
      <w:r>
        <w:rPr>
          <w:rFonts w:hint="eastAsia"/>
        </w:rPr>
        <w:t>41％，整体等级结构不均。并且，县乡公路断头路多、质量差、标准低，致使与邻县、乡镇间要绕道行驶，绝大部分车流量集中在少数干线公路上。公路沿线城镇发展迅速，公路街道化现象不断突显，尤其国、省道街道化日益严重，使得公路的服务水平显著降低，反过来制约了县域经济的进一步发展。</w:t>
      </w:r>
    </w:p>
    <w:p w14:paraId="2A5E7333">
      <w:pPr>
        <w:pStyle w:val="4"/>
        <w:ind w:firstLine="602"/>
      </w:pPr>
      <w:r>
        <w:rPr>
          <w:rFonts w:hint="eastAsia"/>
        </w:rPr>
        <w:t>场站建设落后，行业管理不规范，现代物流发展缓慢</w:t>
      </w:r>
    </w:p>
    <w:p w14:paraId="5D3FC426">
      <w:pPr>
        <w:ind w:firstLine="640"/>
      </w:pPr>
      <w:r>
        <w:rPr>
          <w:rFonts w:hint="eastAsia"/>
        </w:rPr>
        <w:t>“十三五”期间，阳城县不断完善城乡客运系统，加大客运场站的建设布局，但受制于资金、土地等因素影响，导致客运站场设施建设依然滞后于运力发展，部分重点站场难以拓容提质，简易停车场的大量涌现，站场的软硬件设施较为落后，站场服务的舒适性、便捷性、安全性等都难以保证。</w:t>
      </w:r>
    </w:p>
    <w:p w14:paraId="0DE6A852">
      <w:pPr>
        <w:ind w:firstLine="640"/>
      </w:pPr>
      <w:r>
        <w:rPr>
          <w:rFonts w:hint="eastAsia"/>
        </w:rPr>
        <w:t>条块分割、自成体系，行业管理不规范。阳城县的交通运输、仓储设施、加工配送、信息通讯等物流相关行业分属不同的部门，管理不统一，法规不完善，条块分割严重，物流管理工作呈现明显的管理部门各自为政的局面，管理制度和管理方式尚不适应现代物流发展的需求，由此带来资源利用率较低，浪费现象严重。加之企业之间协作配合不够，使物流整体系统全程化优势难以充分发挥。</w:t>
      </w:r>
    </w:p>
    <w:p w14:paraId="70637554">
      <w:pPr>
        <w:pStyle w:val="4"/>
        <w:ind w:firstLine="602"/>
      </w:pPr>
      <w:r>
        <w:rPr>
          <w:rFonts w:hint="eastAsia"/>
        </w:rPr>
        <w:t>城乡公交体系支撑力不足，运输服务水平有待提升</w:t>
      </w:r>
    </w:p>
    <w:p w14:paraId="10B73709">
      <w:pPr>
        <w:ind w:firstLine="640"/>
      </w:pPr>
      <w:r>
        <w:rPr>
          <w:rFonts w:hint="eastAsia"/>
        </w:rPr>
        <w:t>公交线网覆盖不均匀、站点不足，山区居民进城、学生上学需求迫切。目前，阳城城乡公共客运覆盖区主要集中在县域的东部和北部，县域西部、南部缺乏公交线路的覆盖，山区大部分居民进镇需要步行较长路段或搭乘非法营运车辆，安全系数低下，交通事故时有发生。</w:t>
      </w:r>
    </w:p>
    <w:p w14:paraId="1BC91FCC">
      <w:pPr>
        <w:ind w:firstLine="640"/>
      </w:pPr>
      <w:r>
        <w:rPr>
          <w:rFonts w:hint="eastAsia"/>
        </w:rPr>
        <w:t>班线客运的快捷性、农村客运的普遍性服务不足；随着居民对出行舒适性的关注和环保要求的不断提高，中、高级客车在公路营运车辆中的比重仍需提升；市场运营诚信与规范性不足，运输市场秩序有待进一步完善。</w:t>
      </w:r>
    </w:p>
    <w:p w14:paraId="4F85BF77">
      <w:pPr>
        <w:pStyle w:val="4"/>
        <w:ind w:firstLine="602"/>
      </w:pPr>
      <w:r>
        <w:rPr>
          <w:rFonts w:hint="eastAsia"/>
        </w:rPr>
        <w:t>交通科技与信息化水平仍需提高</w:t>
      </w:r>
    </w:p>
    <w:p w14:paraId="0AA368B1">
      <w:pPr>
        <w:ind w:firstLine="640"/>
      </w:pPr>
      <w:r>
        <w:rPr>
          <w:rFonts w:hint="eastAsia"/>
        </w:rPr>
        <w:t>全市交通信息化基础设施和信息安全保障能力建设有待加强，县级信息化发展条件相对薄弱；信息系统建设主要侧重于行业监管领域，公众服务领域信息化发展相对滞后；行业数据资源开放共享程度不够，难以实现业务深度协同应用。</w:t>
      </w:r>
    </w:p>
    <w:p w14:paraId="41D093D9">
      <w:pPr>
        <w:pStyle w:val="4"/>
        <w:ind w:firstLine="602"/>
      </w:pPr>
      <w:r>
        <w:rPr>
          <w:rFonts w:hint="eastAsia"/>
        </w:rPr>
        <w:t>绿色交通建设仍需加强</w:t>
      </w:r>
    </w:p>
    <w:p w14:paraId="617D9DF7">
      <w:pPr>
        <w:ind w:firstLine="640"/>
      </w:pPr>
      <w:r>
        <w:rPr>
          <w:rFonts w:hint="eastAsia"/>
        </w:rPr>
        <w:t>绿色低碳的交通基础设施网络尚未建成，综合运输效率有待提升；以公共交通为导向的出行方式需要继续强化；节能、环保型交通工具投放力度仍需加大；交通基础设施建设用地还有较大的优化空间；交通建设和运营过程中对生态环境的污染急需治理。</w:t>
      </w:r>
    </w:p>
    <w:p w14:paraId="76ACE9A0">
      <w:pPr>
        <w:pStyle w:val="4"/>
        <w:ind w:firstLine="602"/>
      </w:pPr>
      <w:r>
        <w:rPr>
          <w:rFonts w:hint="eastAsia"/>
        </w:rPr>
        <w:t>安全和应急保障能力亟待提升</w:t>
      </w:r>
    </w:p>
    <w:p w14:paraId="4C2753D1">
      <w:pPr>
        <w:ind w:firstLine="640"/>
      </w:pPr>
      <w:r>
        <w:rPr>
          <w:rFonts w:hint="eastAsia"/>
        </w:rPr>
        <w:t>公路特别是农村公路安保工程投入不足，标志标牌、警示桩、安保设施缺乏，致使交通事故时有发生。运输安全管理的源头性、根本性、基础性问题尚未得到全面解决。安全监管效率及能力还有待提升。统一的安全监管和应急平台尚未建立，各种运输方式之间的应急信息不能完全共享，交通运输应急保障能力有待提升。</w:t>
      </w:r>
    </w:p>
    <w:p w14:paraId="00E84C4E">
      <w:pPr>
        <w:ind w:firstLine="640"/>
        <w:sectPr>
          <w:headerReference r:id="rId16" w:type="default"/>
          <w:pgSz w:w="11906" w:h="16838"/>
          <w:pgMar w:top="1701" w:right="1531" w:bottom="1531" w:left="1531" w:header="851" w:footer="992" w:gutter="0"/>
          <w:cols w:space="425" w:num="1"/>
          <w:docGrid w:type="lines" w:linePitch="312" w:charSpace="0"/>
        </w:sectPr>
      </w:pPr>
    </w:p>
    <w:p w14:paraId="04A5A731">
      <w:pPr>
        <w:pStyle w:val="2"/>
        <w:spacing w:before="156" w:after="156"/>
      </w:pPr>
      <w:bookmarkStart w:id="21" w:name="_Toc44603493"/>
      <w:bookmarkStart w:id="22" w:name="_Toc53133705"/>
      <w:r>
        <w:rPr>
          <w:rFonts w:hint="eastAsia"/>
          <w:lang w:eastAsia="zh-CN"/>
        </w:rPr>
        <w:t>“十四五”</w:t>
      </w:r>
      <w:r>
        <w:rPr>
          <w:rFonts w:hint="eastAsia"/>
        </w:rPr>
        <w:t>交通运输发展面临的形势和需求</w:t>
      </w:r>
      <w:bookmarkEnd w:id="21"/>
      <w:bookmarkEnd w:id="22"/>
    </w:p>
    <w:p w14:paraId="2D17C0E9">
      <w:pPr>
        <w:pStyle w:val="3"/>
        <w:ind w:firstLine="640"/>
      </w:pPr>
      <w:bookmarkStart w:id="23" w:name="_Toc44603494"/>
      <w:bookmarkStart w:id="24" w:name="_Toc53133706"/>
      <w:r>
        <w:rPr>
          <w:rFonts w:hint="eastAsia"/>
          <w:lang w:eastAsia="zh-CN"/>
        </w:rPr>
        <w:t>“十四五”</w:t>
      </w:r>
      <w:r>
        <w:rPr>
          <w:rFonts w:hint="eastAsia"/>
        </w:rPr>
        <w:t>面临的形势分析</w:t>
      </w:r>
      <w:bookmarkEnd w:id="23"/>
      <w:bookmarkEnd w:id="24"/>
    </w:p>
    <w:p w14:paraId="65512AEB">
      <w:pPr>
        <w:pStyle w:val="4"/>
        <w:ind w:firstLine="602"/>
      </w:pPr>
      <w:r>
        <w:rPr>
          <w:rFonts w:hint="eastAsia"/>
        </w:rPr>
        <w:t>加快提升综合交通运输能力和水平</w:t>
      </w:r>
    </w:p>
    <w:p w14:paraId="34531A43">
      <w:pPr>
        <w:ind w:firstLine="640"/>
      </w:pPr>
      <w:r>
        <w:rPr>
          <w:rFonts w:hint="eastAsia"/>
          <w:lang w:eastAsia="zh-CN"/>
        </w:rPr>
        <w:t>“十四五”</w:t>
      </w:r>
      <w:r>
        <w:rPr>
          <w:rFonts w:hint="eastAsia"/>
        </w:rPr>
        <w:t>期是中国经济在全面小康基础上，迈向现代化目标的第一个五年规划，在中国迈向全面现代化历程中，居于承前启后的非常重要的历史位置。我国经济由高速增长阶段转向高质量发展阶段，供给侧结构性改革深入推进，国土空间开发格局加速重构，产业结构、消费结构、能源结构等不断调整，人口老龄化趋势凸显，创新驱动、新型城镇化、乡村振兴、区域协调发展、可持续发展等战略深入实施，全方位开放格局加快形成，生产生活方式不断变革，引发出行模式和流通方式发生结构性变化。</w:t>
      </w:r>
    </w:p>
    <w:p w14:paraId="26D43E90">
      <w:pPr>
        <w:ind w:firstLine="640"/>
      </w:pPr>
      <w:r>
        <w:rPr>
          <w:rFonts w:hint="eastAsia"/>
        </w:rPr>
        <w:t>交通运输作为稳增长的重要领域，要继续加强基础设施建设，加快提升综合运输服务能力和水平，进一步统筹城乡间运输服务协调发展，提升运输服务网络的通达深度和覆盖范围，加快推进交通运输基本公共服务均等化，让全体人民更公平地分享交通运输发展成果，有更多的获得感。</w:t>
      </w:r>
    </w:p>
    <w:p w14:paraId="3FECA052">
      <w:pPr>
        <w:pStyle w:val="4"/>
        <w:ind w:firstLine="602"/>
      </w:pPr>
      <w:r>
        <w:rPr>
          <w:rFonts w:hint="eastAsia"/>
        </w:rPr>
        <w:t>加快优化综合交通运输体系布局和结构</w:t>
      </w:r>
    </w:p>
    <w:p w14:paraId="1A33DEB0">
      <w:pPr>
        <w:ind w:firstLine="640"/>
      </w:pPr>
      <w:r>
        <w:rPr>
          <w:rFonts w:hint="eastAsia"/>
        </w:rPr>
        <w:t>山西正处于转型发展的重要历史关头，省委、省政府认真贯彻落实习近平总书记视察山西重要指示精神，准确把握山西发展阶段特征、演进趋势和内在规律，明确了“四为四高两同步”的总体思路和要求，提出到2025年转型出雏形、2030年基本实现转型、2035年全面实现转型，努力在转型发展上率先</w:t>
      </w:r>
      <w:r>
        <w:rPr>
          <w:rFonts w:hint="eastAsia"/>
          <w:lang w:eastAsia="zh-CN"/>
        </w:rPr>
        <w:t>蹚出</w:t>
      </w:r>
      <w:r>
        <w:rPr>
          <w:rFonts w:hint="eastAsia"/>
        </w:rPr>
        <w:t>一条新</w:t>
      </w:r>
      <w:r>
        <w:rPr>
          <w:rFonts w:hint="eastAsia" w:ascii="仿宋_GB2312" w:hAnsi="仿宋_GB2312" w:cs="仿宋_GB2312"/>
        </w:rPr>
        <w:t>路来，山西产业结构、能源结构、消费结构、城镇化布局、对外开放格局等将</w:t>
      </w:r>
      <w:r>
        <w:rPr>
          <w:rFonts w:hint="eastAsia"/>
        </w:rPr>
        <w:t>发生重塑性变革，引发交通运输需求总量、结构、方式等发生质的改变。</w:t>
      </w:r>
    </w:p>
    <w:p w14:paraId="1455AA65">
      <w:pPr>
        <w:ind w:firstLine="640"/>
      </w:pPr>
      <w:r>
        <w:rPr>
          <w:rFonts w:hint="eastAsia"/>
          <w:lang w:eastAsia="zh-CN"/>
        </w:rPr>
        <w:t>“十四五”</w:t>
      </w:r>
      <w:r>
        <w:rPr>
          <w:rFonts w:hint="eastAsia"/>
        </w:rPr>
        <w:t>时期，阳城将持续深化“田园城市、美丽乡村、产城融合、城乡一体”发展战略，扎实做好工业转型、城市提升、乡村振兴、全域旅游四篇大文章。为此，要打通县域、城际客流和物流大通道，坚持项目为王不放松，推动建设大提速，引领“内畅外达，方便快捷”和山、水、城相融的空间布局优化、人口和产业集聚以及区域协调发展；建成辐射周边地区发展的交通服务中心，构筑县域便捷通道。</w:t>
      </w:r>
    </w:p>
    <w:p w14:paraId="2DF5A137">
      <w:pPr>
        <w:pStyle w:val="4"/>
        <w:ind w:firstLine="602"/>
      </w:pPr>
      <w:r>
        <w:rPr>
          <w:rFonts w:hint="eastAsia"/>
        </w:rPr>
        <w:t>加快改善综合交通运输服务效率和质量</w:t>
      </w:r>
    </w:p>
    <w:p w14:paraId="0819A887">
      <w:pPr>
        <w:ind w:firstLine="640"/>
      </w:pPr>
      <w:r>
        <w:rPr>
          <w:rFonts w:hint="eastAsia"/>
          <w:lang w:eastAsia="zh-CN"/>
        </w:rPr>
        <w:t>“十四五”</w:t>
      </w:r>
      <w:r>
        <w:rPr>
          <w:rFonts w:hint="eastAsia"/>
        </w:rPr>
        <w:t>期间，阳城将加快产业转型升级，培育形成一批产业链，第三产业比重和高新技术产业占规模以上工业总产值比重将持续增加。在此期间，公众对高铁和民航等快速化运输，高品质公共交通、城乡客运和无缝化换乘服务的要求将进一步提高；多式联运等先进组织模式，多批次、小批量、高附加值和时效性强的货运需求显著增强。</w:t>
      </w:r>
    </w:p>
    <w:p w14:paraId="12354B69">
      <w:pPr>
        <w:pStyle w:val="4"/>
        <w:ind w:firstLine="602"/>
      </w:pPr>
      <w:r>
        <w:rPr>
          <w:rFonts w:hint="eastAsia"/>
        </w:rPr>
        <w:t>加快推动交通运输智慧、绿色和平安发展</w:t>
      </w:r>
    </w:p>
    <w:p w14:paraId="1ECF14A7">
      <w:pPr>
        <w:ind w:firstLine="640"/>
      </w:pPr>
      <w:r>
        <w:rPr>
          <w:rFonts w:hint="eastAsia"/>
          <w:lang w:eastAsia="zh-CN"/>
        </w:rPr>
        <w:t>“十四五”</w:t>
      </w:r>
      <w:r>
        <w:rPr>
          <w:rFonts w:hint="eastAsia"/>
        </w:rPr>
        <w:t>时期，阳城以建成生态文明示范县，构筑安全可靠的城市公共安全体系，打造智能完善的智慧城市为发展目标。为此，要求交通运输综合运用移动互联网、云计算、大数据、物联网等新一代信息技术提升服务和治理水平；把绿色发展理念</w:t>
      </w:r>
      <w:r>
        <w:rPr>
          <w:rFonts w:hint="eastAsia"/>
          <w:lang w:eastAsia="zh-CN"/>
        </w:rPr>
        <w:t>贯彻</w:t>
      </w:r>
      <w:r>
        <w:rPr>
          <w:rFonts w:hint="eastAsia"/>
        </w:rPr>
        <w:t>落实到交通运输发展全过程，以绿色交通发展全面支撑生态文明建设；进一步提升交通运输系统整体的安全性，加强交通运输安全监管和应急救助。</w:t>
      </w:r>
    </w:p>
    <w:p w14:paraId="68CC05F1">
      <w:pPr>
        <w:pStyle w:val="4"/>
        <w:ind w:firstLine="602"/>
      </w:pPr>
      <w:r>
        <w:rPr>
          <w:rFonts w:hint="eastAsia"/>
        </w:rPr>
        <w:t>加快推进交通运输改革和创新</w:t>
      </w:r>
    </w:p>
    <w:p w14:paraId="1740AC52">
      <w:pPr>
        <w:ind w:firstLine="640"/>
      </w:pPr>
      <w:r>
        <w:rPr>
          <w:rFonts w:hint="eastAsia"/>
        </w:rPr>
        <w:t>推进改革创新，构建具有地方特色的系统完备、科学规范、运行有效的制度体系，是阳城</w:t>
      </w:r>
      <w:r>
        <w:rPr>
          <w:rFonts w:hint="eastAsia"/>
          <w:lang w:eastAsia="zh-CN"/>
        </w:rPr>
        <w:t>“十四五”</w:t>
      </w:r>
      <w:r>
        <w:rPr>
          <w:rFonts w:hint="eastAsia"/>
        </w:rPr>
        <w:t>期发展的重要任务。为此，必须创新交通运输治理思维和方式方法，进一步深化大交通体制改革，不断完善综合交通统筹协调、互动联动的体制机制，持续推进重点领域改革，切实推进综合运输服务领域的政策法规、科技创新和标准规范建设，加快健全综合运输市场体系，为各种运输方式衔接协调、竞合融合发展注入新动力。</w:t>
      </w:r>
    </w:p>
    <w:p w14:paraId="4C16F885">
      <w:pPr>
        <w:pStyle w:val="3"/>
        <w:ind w:firstLine="640"/>
      </w:pPr>
      <w:bookmarkStart w:id="25" w:name="_Toc53133707"/>
      <w:r>
        <w:rPr>
          <w:rFonts w:hint="eastAsia"/>
          <w:lang w:eastAsia="zh-CN"/>
        </w:rPr>
        <w:t>“十四五”</w:t>
      </w:r>
      <w:r>
        <w:rPr>
          <w:rFonts w:hint="eastAsia"/>
        </w:rPr>
        <w:t>交通运输需求预测</w:t>
      </w:r>
      <w:bookmarkEnd w:id="25"/>
    </w:p>
    <w:p w14:paraId="4F209F3A">
      <w:pPr>
        <w:ind w:firstLine="640"/>
      </w:pPr>
      <w:r>
        <w:rPr>
          <w:rFonts w:hint="eastAsia"/>
        </w:rPr>
        <w:t>“十三五”时期，阳城县地区生产总值年均增速为</w:t>
      </w:r>
      <w:r>
        <w:t>6.8</w:t>
      </w:r>
      <w:r>
        <w:rPr>
          <w:rFonts w:hint="eastAsia"/>
        </w:rPr>
        <w:t>%，经济增长方式将逐步由粗放式向集约化转变，经济发展将更依靠创新型的新经济增长模式形成经济增长的核心竞争力。</w:t>
      </w:r>
    </w:p>
    <w:p w14:paraId="4F921D28">
      <w:pPr>
        <w:ind w:firstLine="643"/>
      </w:pPr>
      <w:r>
        <w:rPr>
          <w:rFonts w:hint="eastAsia"/>
          <w:b/>
        </w:rPr>
        <w:t>从运输需求总量上看</w:t>
      </w:r>
      <w:r>
        <w:rPr>
          <w:rFonts w:hint="eastAsia"/>
        </w:rPr>
        <w:t>，虽然增速较“十三五”期将有所放缓，但总量将持续快速增长，旅客运输量年均增速将达到</w:t>
      </w:r>
      <w:r>
        <w:t>10</w:t>
      </w:r>
      <w:r>
        <w:rPr>
          <w:rFonts w:hint="eastAsia"/>
        </w:rPr>
        <w:t>%-</w:t>
      </w:r>
      <w:r>
        <w:t>12</w:t>
      </w:r>
      <w:r>
        <w:rPr>
          <w:rFonts w:hint="eastAsia"/>
        </w:rPr>
        <w:t>%，货物运输量年均增速将达到</w:t>
      </w:r>
      <w:r>
        <w:t>11</w:t>
      </w:r>
      <w:r>
        <w:rPr>
          <w:rFonts w:hint="eastAsia"/>
        </w:rPr>
        <w:t>%-1</w:t>
      </w:r>
      <w:r>
        <w:t>3</w:t>
      </w:r>
      <w:r>
        <w:rPr>
          <w:rFonts w:hint="eastAsia"/>
        </w:rPr>
        <w:t>%。</w:t>
      </w:r>
    </w:p>
    <w:p w14:paraId="09B98358">
      <w:pPr>
        <w:ind w:firstLine="640"/>
      </w:pPr>
      <w:r>
        <w:rPr>
          <w:rFonts w:hint="eastAsia"/>
        </w:rPr>
        <w:t>从运输需求结构上看，阳城与周边经济腹地间的中长距离货物以及旅客出行均将呈现快速增长态势，运输结构和方式将发生变化，预计高铁和机场建成后将从公路运输方式转移约5</w:t>
      </w:r>
      <w:r>
        <w:t>0</w:t>
      </w:r>
      <w:r>
        <w:rPr>
          <w:rFonts w:hint="eastAsia"/>
        </w:rPr>
        <w:t>%的客运量，公路货运输量占比也将不断降低。</w:t>
      </w:r>
    </w:p>
    <w:p w14:paraId="721DA9EB">
      <w:pPr>
        <w:ind w:firstLine="643"/>
      </w:pPr>
      <w:r>
        <w:rPr>
          <w:rFonts w:hint="eastAsia"/>
          <w:b/>
        </w:rPr>
        <w:t>从运输需求分布上看</w:t>
      </w:r>
      <w:r>
        <w:rPr>
          <w:rFonts w:hint="eastAsia"/>
        </w:rPr>
        <w:t>，阳城县对外交通需求将呈现“十字形、多方式”全面增长的态势。一是与东西方向的晋城市区、运城、关中城市群等地区的需求将不断增长；二是在南北方向与长治、临汾、中原城市群等地区之间的走廊，高密度、大容量的客货运输需求将持续增长；三是与中东部地区之间铁路、公路大宗货物运输需求将进一步增长。同时，阳城县域内部将进一步呈现“放射式”的需求态势，以凤城镇为中心大运量、快速化连接各个乡镇和重要枢纽（场站）的交通基础设施建设需求将进一步显现，“公共+慢行”的绿色交通出行理念将进一步普及。</w:t>
      </w:r>
    </w:p>
    <w:p w14:paraId="1524656B">
      <w:pPr>
        <w:pStyle w:val="28"/>
      </w:pPr>
      <w:r>
        <w:rPr>
          <w:rFonts w:hint="eastAsia"/>
        </w:rPr>
        <w:t xml:space="preserve">表 </w:t>
      </w:r>
      <w:r>
        <w:fldChar w:fldCharType="begin"/>
      </w:r>
      <w:r>
        <w:instrText xml:space="preserve"> </w:instrText>
      </w:r>
      <w:r>
        <w:rPr>
          <w:rFonts w:hint="eastAsia"/>
        </w:rPr>
        <w:instrText xml:space="preserve">STYLEREF 1 \s</w:instrText>
      </w:r>
      <w:r>
        <w:instrText xml:space="preserve"> </w:instrText>
      </w:r>
      <w:r>
        <w:fldChar w:fldCharType="separate"/>
      </w:r>
      <w:r>
        <w:t>3</w:t>
      </w:r>
      <w:r>
        <w:fldChar w:fldCharType="end"/>
      </w:r>
      <w:r>
        <w:noBreakHyphen/>
      </w:r>
      <w:r>
        <w:fldChar w:fldCharType="begin"/>
      </w:r>
      <w:r>
        <w:instrText xml:space="preserve"> </w:instrText>
      </w:r>
      <w:r>
        <w:rPr>
          <w:rFonts w:hint="eastAsia"/>
        </w:rPr>
        <w:instrText xml:space="preserve">SEQ 表 \* ARABIC \s 1</w:instrText>
      </w:r>
      <w:r>
        <w:instrText xml:space="preserve"> </w:instrText>
      </w:r>
      <w:r>
        <w:fldChar w:fldCharType="separate"/>
      </w:r>
      <w:r>
        <w:t>1</w:t>
      </w:r>
      <w:r>
        <w:fldChar w:fldCharType="end"/>
      </w:r>
      <w:r>
        <w:rPr>
          <w:rFonts w:hint="eastAsia"/>
          <w:lang w:eastAsia="zh-CN"/>
        </w:rPr>
        <w:t>“十四五”</w:t>
      </w:r>
      <w:r>
        <w:rPr>
          <w:rFonts w:hint="eastAsia"/>
        </w:rPr>
        <w:t>期间阳城县全社会运输总量及结构预测表</w:t>
      </w:r>
    </w:p>
    <w:tbl>
      <w:tblPr>
        <w:tblStyle w:val="14"/>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140"/>
        <w:gridCol w:w="1125"/>
        <w:gridCol w:w="1125"/>
        <w:gridCol w:w="1755"/>
        <w:gridCol w:w="1755"/>
      </w:tblGrid>
      <w:tr w14:paraId="2EFCB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3028" w:type="pct"/>
            <w:gridSpan w:val="3"/>
            <w:vMerge w:val="restart"/>
            <w:vAlign w:val="center"/>
          </w:tcPr>
          <w:p w14:paraId="08EC4389">
            <w:pPr>
              <w:pStyle w:val="29"/>
            </w:pPr>
            <w:r>
              <w:rPr>
                <w:rFonts w:hint="eastAsia"/>
              </w:rPr>
              <w:t>项目</w:t>
            </w:r>
          </w:p>
        </w:tc>
        <w:tc>
          <w:tcPr>
            <w:tcW w:w="986" w:type="pct"/>
            <w:vMerge w:val="restart"/>
            <w:vAlign w:val="center"/>
          </w:tcPr>
          <w:p w14:paraId="44A53F8D">
            <w:pPr>
              <w:pStyle w:val="29"/>
            </w:pPr>
            <w:r>
              <w:rPr>
                <w:rFonts w:hint="eastAsia"/>
              </w:rPr>
              <w:t>2020年</w:t>
            </w:r>
          </w:p>
        </w:tc>
        <w:tc>
          <w:tcPr>
            <w:tcW w:w="986" w:type="pct"/>
            <w:vMerge w:val="restart"/>
            <w:vAlign w:val="center"/>
          </w:tcPr>
          <w:p w14:paraId="7D6E217E">
            <w:pPr>
              <w:pStyle w:val="29"/>
            </w:pPr>
            <w:r>
              <w:rPr>
                <w:rFonts w:hint="eastAsia"/>
              </w:rPr>
              <w:t>2025年</w:t>
            </w:r>
          </w:p>
        </w:tc>
      </w:tr>
      <w:tr w14:paraId="2AD688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3028" w:type="pct"/>
            <w:gridSpan w:val="3"/>
            <w:vMerge w:val="continue"/>
            <w:vAlign w:val="center"/>
          </w:tcPr>
          <w:p w14:paraId="75EC0EAA">
            <w:pPr>
              <w:pStyle w:val="29"/>
            </w:pPr>
          </w:p>
        </w:tc>
        <w:tc>
          <w:tcPr>
            <w:tcW w:w="986" w:type="pct"/>
            <w:vMerge w:val="continue"/>
            <w:vAlign w:val="center"/>
          </w:tcPr>
          <w:p w14:paraId="64509A89">
            <w:pPr>
              <w:pStyle w:val="29"/>
            </w:pPr>
          </w:p>
        </w:tc>
        <w:tc>
          <w:tcPr>
            <w:tcW w:w="986" w:type="pct"/>
            <w:vMerge w:val="continue"/>
            <w:vAlign w:val="center"/>
          </w:tcPr>
          <w:p w14:paraId="159FC95F">
            <w:pPr>
              <w:pStyle w:val="29"/>
            </w:pPr>
          </w:p>
        </w:tc>
      </w:tr>
      <w:tr w14:paraId="3B4567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028" w:type="pct"/>
            <w:gridSpan w:val="3"/>
            <w:vAlign w:val="center"/>
          </w:tcPr>
          <w:p w14:paraId="2588CB61">
            <w:pPr>
              <w:pStyle w:val="29"/>
            </w:pPr>
            <w:r>
              <w:rPr>
                <w:rFonts w:hint="eastAsia"/>
              </w:rPr>
              <w:t>综合客运量</w:t>
            </w:r>
          </w:p>
          <w:p w14:paraId="1D20655D">
            <w:pPr>
              <w:pStyle w:val="29"/>
            </w:pPr>
            <w:r>
              <w:rPr>
                <w:rFonts w:hint="eastAsia"/>
              </w:rPr>
              <w:t>（万人次）</w:t>
            </w:r>
          </w:p>
        </w:tc>
        <w:tc>
          <w:tcPr>
            <w:tcW w:w="986" w:type="pct"/>
            <w:vAlign w:val="center"/>
          </w:tcPr>
          <w:p w14:paraId="53E78186">
            <w:pPr>
              <w:pStyle w:val="29"/>
            </w:pPr>
            <w:r>
              <w:rPr>
                <w:rFonts w:hint="eastAsia"/>
              </w:rPr>
              <w:t>8</w:t>
            </w:r>
            <w:r>
              <w:t>60</w:t>
            </w:r>
          </w:p>
        </w:tc>
        <w:tc>
          <w:tcPr>
            <w:tcW w:w="986" w:type="pct"/>
            <w:vAlign w:val="center"/>
          </w:tcPr>
          <w:p w14:paraId="5D31D422">
            <w:pPr>
              <w:pStyle w:val="29"/>
            </w:pPr>
            <w:r>
              <w:rPr>
                <w:rFonts w:hint="eastAsia"/>
              </w:rPr>
              <w:t>1</w:t>
            </w:r>
            <w:r>
              <w:t>450</w:t>
            </w:r>
          </w:p>
        </w:tc>
      </w:tr>
      <w:tr w14:paraId="730A4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restart"/>
            <w:vAlign w:val="center"/>
          </w:tcPr>
          <w:p w14:paraId="4E9EAE31">
            <w:pPr>
              <w:pStyle w:val="29"/>
            </w:pPr>
            <w:r>
              <w:rPr>
                <w:rFonts w:hint="eastAsia"/>
              </w:rPr>
              <w:t>分方式客运量</w:t>
            </w:r>
          </w:p>
        </w:tc>
        <w:tc>
          <w:tcPr>
            <w:tcW w:w="632" w:type="pct"/>
            <w:vMerge w:val="restart"/>
            <w:vAlign w:val="center"/>
          </w:tcPr>
          <w:p w14:paraId="4B61B471">
            <w:pPr>
              <w:pStyle w:val="29"/>
            </w:pPr>
            <w:r>
              <w:rPr>
                <w:rFonts w:hint="eastAsia"/>
              </w:rPr>
              <w:t>公路</w:t>
            </w:r>
          </w:p>
        </w:tc>
        <w:tc>
          <w:tcPr>
            <w:tcW w:w="632" w:type="pct"/>
            <w:vAlign w:val="center"/>
          </w:tcPr>
          <w:p w14:paraId="2A8FF93E">
            <w:pPr>
              <w:pStyle w:val="29"/>
            </w:pPr>
            <w:r>
              <w:rPr>
                <w:rFonts w:hint="eastAsia"/>
              </w:rPr>
              <w:t>运量</w:t>
            </w:r>
          </w:p>
        </w:tc>
        <w:tc>
          <w:tcPr>
            <w:tcW w:w="986" w:type="pct"/>
            <w:vAlign w:val="center"/>
          </w:tcPr>
          <w:p w14:paraId="24942223">
            <w:pPr>
              <w:pStyle w:val="29"/>
            </w:pPr>
            <w:r>
              <w:rPr>
                <w:rFonts w:hint="eastAsia"/>
              </w:rPr>
              <w:t>8</w:t>
            </w:r>
            <w:r>
              <w:t>60</w:t>
            </w:r>
          </w:p>
        </w:tc>
        <w:tc>
          <w:tcPr>
            <w:tcW w:w="986" w:type="pct"/>
            <w:vAlign w:val="center"/>
          </w:tcPr>
          <w:p w14:paraId="696EB354">
            <w:pPr>
              <w:pStyle w:val="29"/>
            </w:pPr>
            <w:r>
              <w:rPr>
                <w:rFonts w:hint="eastAsia"/>
              </w:rPr>
              <w:t>7</w:t>
            </w:r>
            <w:r>
              <w:t>25</w:t>
            </w:r>
          </w:p>
        </w:tc>
      </w:tr>
      <w:tr w14:paraId="6165CB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continue"/>
            <w:vAlign w:val="center"/>
          </w:tcPr>
          <w:p w14:paraId="310AC088">
            <w:pPr>
              <w:pStyle w:val="29"/>
            </w:pPr>
          </w:p>
        </w:tc>
        <w:tc>
          <w:tcPr>
            <w:tcW w:w="632" w:type="pct"/>
            <w:vMerge w:val="continue"/>
            <w:vAlign w:val="center"/>
          </w:tcPr>
          <w:p w14:paraId="46C0A05B">
            <w:pPr>
              <w:pStyle w:val="29"/>
            </w:pPr>
          </w:p>
        </w:tc>
        <w:tc>
          <w:tcPr>
            <w:tcW w:w="632" w:type="pct"/>
            <w:vAlign w:val="center"/>
          </w:tcPr>
          <w:p w14:paraId="679F5983">
            <w:pPr>
              <w:pStyle w:val="29"/>
            </w:pPr>
            <w:r>
              <w:rPr>
                <w:rFonts w:hint="eastAsia"/>
              </w:rPr>
              <w:t>占比</w:t>
            </w:r>
          </w:p>
        </w:tc>
        <w:tc>
          <w:tcPr>
            <w:tcW w:w="986" w:type="pct"/>
            <w:vAlign w:val="center"/>
          </w:tcPr>
          <w:p w14:paraId="546911EF">
            <w:pPr>
              <w:pStyle w:val="29"/>
            </w:pPr>
            <w:r>
              <w:rPr>
                <w:rFonts w:hint="eastAsia"/>
              </w:rPr>
              <w:t>1</w:t>
            </w:r>
            <w:r>
              <w:t>00</w:t>
            </w:r>
            <w:r>
              <w:rPr>
                <w:rFonts w:hint="eastAsia"/>
              </w:rPr>
              <w:t>%</w:t>
            </w:r>
          </w:p>
        </w:tc>
        <w:tc>
          <w:tcPr>
            <w:tcW w:w="986" w:type="pct"/>
            <w:vAlign w:val="center"/>
          </w:tcPr>
          <w:p w14:paraId="39A0F50E">
            <w:pPr>
              <w:pStyle w:val="29"/>
            </w:pPr>
            <w:r>
              <w:rPr>
                <w:rFonts w:hint="eastAsia"/>
              </w:rPr>
              <w:t>5</w:t>
            </w:r>
            <w:r>
              <w:t>0</w:t>
            </w:r>
            <w:r>
              <w:rPr>
                <w:rFonts w:hint="eastAsia"/>
              </w:rPr>
              <w:t>%</w:t>
            </w:r>
          </w:p>
        </w:tc>
      </w:tr>
      <w:tr w14:paraId="55475A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continue"/>
            <w:vAlign w:val="center"/>
          </w:tcPr>
          <w:p w14:paraId="72F42CDC">
            <w:pPr>
              <w:pStyle w:val="29"/>
            </w:pPr>
          </w:p>
        </w:tc>
        <w:tc>
          <w:tcPr>
            <w:tcW w:w="632" w:type="pct"/>
            <w:vMerge w:val="restart"/>
            <w:vAlign w:val="center"/>
          </w:tcPr>
          <w:p w14:paraId="3D44BE9F">
            <w:pPr>
              <w:pStyle w:val="29"/>
            </w:pPr>
            <w:r>
              <w:rPr>
                <w:rFonts w:hint="eastAsia"/>
              </w:rPr>
              <w:t>铁路</w:t>
            </w:r>
          </w:p>
        </w:tc>
        <w:tc>
          <w:tcPr>
            <w:tcW w:w="632" w:type="pct"/>
            <w:vAlign w:val="center"/>
          </w:tcPr>
          <w:p w14:paraId="112319F8">
            <w:pPr>
              <w:pStyle w:val="29"/>
            </w:pPr>
            <w:r>
              <w:rPr>
                <w:rFonts w:hint="eastAsia"/>
              </w:rPr>
              <w:t>运量</w:t>
            </w:r>
          </w:p>
        </w:tc>
        <w:tc>
          <w:tcPr>
            <w:tcW w:w="986" w:type="pct"/>
            <w:tcBorders>
              <w:top w:val="single" w:color="auto" w:sz="4" w:space="0"/>
              <w:bottom w:val="single" w:color="auto" w:sz="4" w:space="0"/>
            </w:tcBorders>
            <w:vAlign w:val="center"/>
          </w:tcPr>
          <w:p w14:paraId="2D20F3F8">
            <w:pPr>
              <w:pStyle w:val="29"/>
            </w:pPr>
            <w:r>
              <w:rPr>
                <w:rFonts w:hint="eastAsia"/>
              </w:rPr>
              <w:t>——</w:t>
            </w:r>
          </w:p>
        </w:tc>
        <w:tc>
          <w:tcPr>
            <w:tcW w:w="986" w:type="pct"/>
            <w:tcBorders>
              <w:top w:val="single" w:color="auto" w:sz="4" w:space="0"/>
              <w:bottom w:val="single" w:color="auto" w:sz="4" w:space="0"/>
            </w:tcBorders>
            <w:vAlign w:val="center"/>
          </w:tcPr>
          <w:p w14:paraId="06B224FA">
            <w:pPr>
              <w:pStyle w:val="29"/>
            </w:pPr>
            <w:r>
              <w:rPr>
                <w:rFonts w:hint="eastAsia"/>
              </w:rPr>
              <w:t>6</w:t>
            </w:r>
            <w:r>
              <w:t>52.5</w:t>
            </w:r>
          </w:p>
        </w:tc>
      </w:tr>
      <w:tr w14:paraId="18220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continue"/>
            <w:vAlign w:val="center"/>
          </w:tcPr>
          <w:p w14:paraId="3C89A1D2">
            <w:pPr>
              <w:pStyle w:val="29"/>
            </w:pPr>
          </w:p>
        </w:tc>
        <w:tc>
          <w:tcPr>
            <w:tcW w:w="632" w:type="pct"/>
            <w:vMerge w:val="continue"/>
            <w:vAlign w:val="center"/>
          </w:tcPr>
          <w:p w14:paraId="67E1AC28">
            <w:pPr>
              <w:pStyle w:val="29"/>
            </w:pPr>
          </w:p>
        </w:tc>
        <w:tc>
          <w:tcPr>
            <w:tcW w:w="632" w:type="pct"/>
            <w:vAlign w:val="center"/>
          </w:tcPr>
          <w:p w14:paraId="1D4D5D1A">
            <w:pPr>
              <w:pStyle w:val="29"/>
            </w:pPr>
            <w:r>
              <w:rPr>
                <w:rFonts w:hint="eastAsia"/>
              </w:rPr>
              <w:t>占比</w:t>
            </w:r>
          </w:p>
        </w:tc>
        <w:tc>
          <w:tcPr>
            <w:tcW w:w="986" w:type="pct"/>
            <w:tcBorders>
              <w:top w:val="single" w:color="auto" w:sz="4" w:space="0"/>
            </w:tcBorders>
            <w:vAlign w:val="center"/>
          </w:tcPr>
          <w:p w14:paraId="5C894324">
            <w:pPr>
              <w:pStyle w:val="29"/>
            </w:pPr>
            <w:r>
              <w:rPr>
                <w:rFonts w:hint="eastAsia"/>
              </w:rPr>
              <w:t>——</w:t>
            </w:r>
          </w:p>
        </w:tc>
        <w:tc>
          <w:tcPr>
            <w:tcW w:w="986" w:type="pct"/>
            <w:tcBorders>
              <w:top w:val="single" w:color="auto" w:sz="4" w:space="0"/>
            </w:tcBorders>
            <w:vAlign w:val="center"/>
          </w:tcPr>
          <w:p w14:paraId="2FF7B56B">
            <w:pPr>
              <w:pStyle w:val="29"/>
            </w:pPr>
            <w:r>
              <w:t>45</w:t>
            </w:r>
            <w:r>
              <w:rPr>
                <w:rFonts w:hint="eastAsia"/>
              </w:rPr>
              <w:t>%</w:t>
            </w:r>
          </w:p>
        </w:tc>
      </w:tr>
      <w:tr w14:paraId="635486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continue"/>
            <w:vAlign w:val="center"/>
          </w:tcPr>
          <w:p w14:paraId="0BB153E1">
            <w:pPr>
              <w:pStyle w:val="29"/>
            </w:pPr>
          </w:p>
        </w:tc>
        <w:tc>
          <w:tcPr>
            <w:tcW w:w="632" w:type="pct"/>
            <w:vMerge w:val="restart"/>
            <w:vAlign w:val="center"/>
          </w:tcPr>
          <w:p w14:paraId="49CF8778">
            <w:pPr>
              <w:pStyle w:val="29"/>
            </w:pPr>
            <w:r>
              <w:rPr>
                <w:rFonts w:hint="eastAsia"/>
              </w:rPr>
              <w:t>民航</w:t>
            </w:r>
          </w:p>
        </w:tc>
        <w:tc>
          <w:tcPr>
            <w:tcW w:w="632" w:type="pct"/>
            <w:vAlign w:val="center"/>
          </w:tcPr>
          <w:p w14:paraId="33D46D6E">
            <w:pPr>
              <w:pStyle w:val="29"/>
            </w:pPr>
            <w:r>
              <w:rPr>
                <w:rFonts w:hint="eastAsia"/>
              </w:rPr>
              <w:t>运量</w:t>
            </w:r>
          </w:p>
        </w:tc>
        <w:tc>
          <w:tcPr>
            <w:tcW w:w="986" w:type="pct"/>
            <w:vAlign w:val="center"/>
          </w:tcPr>
          <w:p w14:paraId="45B51346">
            <w:pPr>
              <w:pStyle w:val="29"/>
            </w:pPr>
            <w:r>
              <w:rPr>
                <w:rFonts w:hint="eastAsia"/>
              </w:rPr>
              <w:t>——</w:t>
            </w:r>
          </w:p>
        </w:tc>
        <w:tc>
          <w:tcPr>
            <w:tcW w:w="986" w:type="pct"/>
            <w:vAlign w:val="center"/>
          </w:tcPr>
          <w:p w14:paraId="2F47367A">
            <w:pPr>
              <w:pStyle w:val="29"/>
            </w:pPr>
            <w:r>
              <w:rPr>
                <w:rFonts w:hint="eastAsia"/>
              </w:rPr>
              <w:t>7</w:t>
            </w:r>
            <w:r>
              <w:t>2.5</w:t>
            </w:r>
          </w:p>
        </w:tc>
      </w:tr>
      <w:tr w14:paraId="785A06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continue"/>
            <w:vAlign w:val="center"/>
          </w:tcPr>
          <w:p w14:paraId="3520A85E">
            <w:pPr>
              <w:pStyle w:val="29"/>
            </w:pPr>
          </w:p>
        </w:tc>
        <w:tc>
          <w:tcPr>
            <w:tcW w:w="632" w:type="pct"/>
            <w:vMerge w:val="continue"/>
            <w:vAlign w:val="center"/>
          </w:tcPr>
          <w:p w14:paraId="34BAE64E">
            <w:pPr>
              <w:pStyle w:val="29"/>
            </w:pPr>
          </w:p>
        </w:tc>
        <w:tc>
          <w:tcPr>
            <w:tcW w:w="632" w:type="pct"/>
            <w:vAlign w:val="center"/>
          </w:tcPr>
          <w:p w14:paraId="37C415C3">
            <w:pPr>
              <w:pStyle w:val="29"/>
            </w:pPr>
            <w:r>
              <w:rPr>
                <w:rFonts w:hint="eastAsia"/>
              </w:rPr>
              <w:t>占比</w:t>
            </w:r>
          </w:p>
        </w:tc>
        <w:tc>
          <w:tcPr>
            <w:tcW w:w="986" w:type="pct"/>
            <w:vAlign w:val="center"/>
          </w:tcPr>
          <w:p w14:paraId="45BA0B20">
            <w:pPr>
              <w:pStyle w:val="29"/>
            </w:pPr>
            <w:r>
              <w:rPr>
                <w:rFonts w:hint="eastAsia"/>
              </w:rPr>
              <w:t>——</w:t>
            </w:r>
          </w:p>
        </w:tc>
        <w:tc>
          <w:tcPr>
            <w:tcW w:w="986" w:type="pct"/>
            <w:vAlign w:val="center"/>
          </w:tcPr>
          <w:p w14:paraId="2D65FF2C">
            <w:pPr>
              <w:pStyle w:val="29"/>
            </w:pPr>
            <w:r>
              <w:rPr>
                <w:rFonts w:hint="eastAsia"/>
              </w:rPr>
              <w:t>5%</w:t>
            </w:r>
          </w:p>
        </w:tc>
      </w:tr>
      <w:tr w14:paraId="0620F2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028" w:type="pct"/>
            <w:gridSpan w:val="3"/>
            <w:vAlign w:val="center"/>
          </w:tcPr>
          <w:p w14:paraId="7A6852E0">
            <w:pPr>
              <w:pStyle w:val="29"/>
            </w:pPr>
            <w:r>
              <w:rPr>
                <w:rFonts w:hint="eastAsia"/>
              </w:rPr>
              <w:t>综合货运量</w:t>
            </w:r>
          </w:p>
          <w:p w14:paraId="51AAC106">
            <w:pPr>
              <w:pStyle w:val="29"/>
            </w:pPr>
            <w:r>
              <w:rPr>
                <w:rFonts w:hint="eastAsia"/>
              </w:rPr>
              <w:t>（万吨）</w:t>
            </w:r>
          </w:p>
        </w:tc>
        <w:tc>
          <w:tcPr>
            <w:tcW w:w="986" w:type="pct"/>
            <w:vAlign w:val="center"/>
          </w:tcPr>
          <w:p w14:paraId="25DA8ACC">
            <w:pPr>
              <w:pStyle w:val="29"/>
            </w:pPr>
          </w:p>
        </w:tc>
        <w:tc>
          <w:tcPr>
            <w:tcW w:w="986" w:type="pct"/>
            <w:vAlign w:val="center"/>
          </w:tcPr>
          <w:p w14:paraId="42C03279">
            <w:pPr>
              <w:pStyle w:val="29"/>
            </w:pPr>
          </w:p>
        </w:tc>
      </w:tr>
      <w:tr w14:paraId="0E926D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restart"/>
            <w:vAlign w:val="center"/>
          </w:tcPr>
          <w:p w14:paraId="113D2A07">
            <w:pPr>
              <w:pStyle w:val="29"/>
            </w:pPr>
            <w:r>
              <w:rPr>
                <w:rFonts w:hint="eastAsia"/>
              </w:rPr>
              <w:t>分方式货运量</w:t>
            </w:r>
          </w:p>
        </w:tc>
        <w:tc>
          <w:tcPr>
            <w:tcW w:w="632" w:type="pct"/>
            <w:vMerge w:val="restart"/>
            <w:vAlign w:val="center"/>
          </w:tcPr>
          <w:p w14:paraId="013E17EE">
            <w:pPr>
              <w:pStyle w:val="29"/>
            </w:pPr>
            <w:r>
              <w:rPr>
                <w:rFonts w:hint="eastAsia"/>
              </w:rPr>
              <w:t>公路</w:t>
            </w:r>
          </w:p>
        </w:tc>
        <w:tc>
          <w:tcPr>
            <w:tcW w:w="632" w:type="pct"/>
            <w:vAlign w:val="center"/>
          </w:tcPr>
          <w:p w14:paraId="68920C55">
            <w:pPr>
              <w:pStyle w:val="29"/>
            </w:pPr>
            <w:r>
              <w:rPr>
                <w:rFonts w:hint="eastAsia"/>
              </w:rPr>
              <w:t>运量</w:t>
            </w:r>
          </w:p>
        </w:tc>
        <w:tc>
          <w:tcPr>
            <w:tcW w:w="986" w:type="pct"/>
            <w:vAlign w:val="center"/>
          </w:tcPr>
          <w:p w14:paraId="73BE3011">
            <w:pPr>
              <w:pStyle w:val="29"/>
            </w:pPr>
          </w:p>
        </w:tc>
        <w:tc>
          <w:tcPr>
            <w:tcW w:w="986" w:type="pct"/>
            <w:vAlign w:val="center"/>
          </w:tcPr>
          <w:p w14:paraId="0D679D52">
            <w:pPr>
              <w:pStyle w:val="29"/>
            </w:pPr>
          </w:p>
        </w:tc>
      </w:tr>
      <w:tr w14:paraId="203768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continue"/>
            <w:vAlign w:val="center"/>
          </w:tcPr>
          <w:p w14:paraId="0A7B7754">
            <w:pPr>
              <w:pStyle w:val="29"/>
            </w:pPr>
          </w:p>
        </w:tc>
        <w:tc>
          <w:tcPr>
            <w:tcW w:w="632" w:type="pct"/>
            <w:vMerge w:val="continue"/>
            <w:vAlign w:val="center"/>
          </w:tcPr>
          <w:p w14:paraId="270B46F6">
            <w:pPr>
              <w:pStyle w:val="29"/>
            </w:pPr>
          </w:p>
        </w:tc>
        <w:tc>
          <w:tcPr>
            <w:tcW w:w="632" w:type="pct"/>
            <w:vAlign w:val="center"/>
          </w:tcPr>
          <w:p w14:paraId="6F8562FF">
            <w:pPr>
              <w:pStyle w:val="29"/>
            </w:pPr>
            <w:r>
              <w:rPr>
                <w:rFonts w:hint="eastAsia"/>
              </w:rPr>
              <w:t>占比</w:t>
            </w:r>
          </w:p>
        </w:tc>
        <w:tc>
          <w:tcPr>
            <w:tcW w:w="986" w:type="pct"/>
            <w:vAlign w:val="center"/>
          </w:tcPr>
          <w:p w14:paraId="79ADCF4D">
            <w:pPr>
              <w:pStyle w:val="29"/>
            </w:pPr>
          </w:p>
        </w:tc>
        <w:tc>
          <w:tcPr>
            <w:tcW w:w="986" w:type="pct"/>
            <w:vAlign w:val="center"/>
          </w:tcPr>
          <w:p w14:paraId="6FB29256">
            <w:pPr>
              <w:pStyle w:val="29"/>
            </w:pPr>
          </w:p>
        </w:tc>
      </w:tr>
      <w:tr w14:paraId="365FF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continue"/>
            <w:vAlign w:val="center"/>
          </w:tcPr>
          <w:p w14:paraId="363C1AF0">
            <w:pPr>
              <w:pStyle w:val="29"/>
            </w:pPr>
          </w:p>
        </w:tc>
        <w:tc>
          <w:tcPr>
            <w:tcW w:w="632" w:type="pct"/>
            <w:vMerge w:val="restart"/>
            <w:vAlign w:val="center"/>
          </w:tcPr>
          <w:p w14:paraId="2A7053DF">
            <w:pPr>
              <w:pStyle w:val="29"/>
            </w:pPr>
            <w:r>
              <w:rPr>
                <w:rFonts w:hint="eastAsia"/>
              </w:rPr>
              <w:t>铁路</w:t>
            </w:r>
          </w:p>
        </w:tc>
        <w:tc>
          <w:tcPr>
            <w:tcW w:w="632" w:type="pct"/>
            <w:vAlign w:val="center"/>
          </w:tcPr>
          <w:p w14:paraId="198E2D08">
            <w:pPr>
              <w:pStyle w:val="29"/>
            </w:pPr>
            <w:r>
              <w:rPr>
                <w:rFonts w:hint="eastAsia"/>
              </w:rPr>
              <w:t>运量</w:t>
            </w:r>
          </w:p>
        </w:tc>
        <w:tc>
          <w:tcPr>
            <w:tcW w:w="986" w:type="pct"/>
            <w:tcBorders>
              <w:top w:val="single" w:color="auto" w:sz="4" w:space="0"/>
              <w:bottom w:val="single" w:color="auto" w:sz="4" w:space="0"/>
            </w:tcBorders>
            <w:vAlign w:val="center"/>
          </w:tcPr>
          <w:p w14:paraId="426005EF">
            <w:pPr>
              <w:pStyle w:val="29"/>
            </w:pPr>
          </w:p>
        </w:tc>
        <w:tc>
          <w:tcPr>
            <w:tcW w:w="986" w:type="pct"/>
            <w:tcBorders>
              <w:top w:val="single" w:color="auto" w:sz="4" w:space="0"/>
              <w:bottom w:val="single" w:color="auto" w:sz="4" w:space="0"/>
            </w:tcBorders>
            <w:vAlign w:val="center"/>
          </w:tcPr>
          <w:p w14:paraId="4110F852">
            <w:pPr>
              <w:pStyle w:val="29"/>
            </w:pPr>
          </w:p>
        </w:tc>
      </w:tr>
      <w:tr w14:paraId="4EA027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continue"/>
            <w:vAlign w:val="center"/>
          </w:tcPr>
          <w:p w14:paraId="4E85DE24">
            <w:pPr>
              <w:pStyle w:val="29"/>
            </w:pPr>
          </w:p>
        </w:tc>
        <w:tc>
          <w:tcPr>
            <w:tcW w:w="632" w:type="pct"/>
            <w:vMerge w:val="continue"/>
            <w:vAlign w:val="center"/>
          </w:tcPr>
          <w:p w14:paraId="0F43888B">
            <w:pPr>
              <w:pStyle w:val="29"/>
            </w:pPr>
          </w:p>
        </w:tc>
        <w:tc>
          <w:tcPr>
            <w:tcW w:w="632" w:type="pct"/>
            <w:vAlign w:val="center"/>
          </w:tcPr>
          <w:p w14:paraId="2EA2DB50">
            <w:pPr>
              <w:pStyle w:val="29"/>
            </w:pPr>
            <w:r>
              <w:rPr>
                <w:rFonts w:hint="eastAsia"/>
              </w:rPr>
              <w:t>占比</w:t>
            </w:r>
          </w:p>
        </w:tc>
        <w:tc>
          <w:tcPr>
            <w:tcW w:w="986" w:type="pct"/>
            <w:tcBorders>
              <w:top w:val="single" w:color="auto" w:sz="4" w:space="0"/>
            </w:tcBorders>
            <w:vAlign w:val="center"/>
          </w:tcPr>
          <w:p w14:paraId="321902F8">
            <w:pPr>
              <w:pStyle w:val="29"/>
            </w:pPr>
          </w:p>
        </w:tc>
        <w:tc>
          <w:tcPr>
            <w:tcW w:w="986" w:type="pct"/>
            <w:tcBorders>
              <w:top w:val="single" w:color="auto" w:sz="4" w:space="0"/>
            </w:tcBorders>
            <w:vAlign w:val="center"/>
          </w:tcPr>
          <w:p w14:paraId="4F536115">
            <w:pPr>
              <w:pStyle w:val="29"/>
            </w:pPr>
          </w:p>
        </w:tc>
      </w:tr>
      <w:tr w14:paraId="21F534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continue"/>
            <w:vAlign w:val="center"/>
          </w:tcPr>
          <w:p w14:paraId="246479BE">
            <w:pPr>
              <w:pStyle w:val="29"/>
            </w:pPr>
          </w:p>
        </w:tc>
        <w:tc>
          <w:tcPr>
            <w:tcW w:w="632" w:type="pct"/>
            <w:vMerge w:val="restart"/>
            <w:vAlign w:val="center"/>
          </w:tcPr>
          <w:p w14:paraId="43C73C7D">
            <w:pPr>
              <w:pStyle w:val="29"/>
            </w:pPr>
            <w:r>
              <w:rPr>
                <w:rFonts w:hint="eastAsia"/>
              </w:rPr>
              <w:t>民航</w:t>
            </w:r>
          </w:p>
        </w:tc>
        <w:tc>
          <w:tcPr>
            <w:tcW w:w="632" w:type="pct"/>
            <w:vAlign w:val="center"/>
          </w:tcPr>
          <w:p w14:paraId="7839FBA6">
            <w:pPr>
              <w:pStyle w:val="29"/>
            </w:pPr>
            <w:r>
              <w:rPr>
                <w:rFonts w:hint="eastAsia"/>
              </w:rPr>
              <w:t>运量</w:t>
            </w:r>
          </w:p>
        </w:tc>
        <w:tc>
          <w:tcPr>
            <w:tcW w:w="986" w:type="pct"/>
            <w:vAlign w:val="center"/>
          </w:tcPr>
          <w:p w14:paraId="107B43E2">
            <w:pPr>
              <w:pStyle w:val="29"/>
            </w:pPr>
          </w:p>
        </w:tc>
        <w:tc>
          <w:tcPr>
            <w:tcW w:w="986" w:type="pct"/>
            <w:vAlign w:val="center"/>
          </w:tcPr>
          <w:p w14:paraId="3B9C991F">
            <w:pPr>
              <w:pStyle w:val="29"/>
            </w:pPr>
          </w:p>
        </w:tc>
      </w:tr>
      <w:tr w14:paraId="221C9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64" w:type="pct"/>
            <w:vMerge w:val="continue"/>
            <w:vAlign w:val="center"/>
          </w:tcPr>
          <w:p w14:paraId="1292736C">
            <w:pPr>
              <w:pStyle w:val="29"/>
            </w:pPr>
          </w:p>
        </w:tc>
        <w:tc>
          <w:tcPr>
            <w:tcW w:w="632" w:type="pct"/>
            <w:vMerge w:val="continue"/>
            <w:vAlign w:val="center"/>
          </w:tcPr>
          <w:p w14:paraId="7E7B6A8C">
            <w:pPr>
              <w:pStyle w:val="29"/>
            </w:pPr>
          </w:p>
        </w:tc>
        <w:tc>
          <w:tcPr>
            <w:tcW w:w="632" w:type="pct"/>
            <w:vAlign w:val="center"/>
          </w:tcPr>
          <w:p w14:paraId="409BAEFA">
            <w:pPr>
              <w:pStyle w:val="29"/>
            </w:pPr>
            <w:r>
              <w:rPr>
                <w:rFonts w:hint="eastAsia"/>
              </w:rPr>
              <w:t>占比</w:t>
            </w:r>
          </w:p>
        </w:tc>
        <w:tc>
          <w:tcPr>
            <w:tcW w:w="986" w:type="pct"/>
            <w:vAlign w:val="center"/>
          </w:tcPr>
          <w:p w14:paraId="4C64A242">
            <w:pPr>
              <w:pStyle w:val="29"/>
            </w:pPr>
          </w:p>
        </w:tc>
        <w:tc>
          <w:tcPr>
            <w:tcW w:w="986" w:type="pct"/>
            <w:vAlign w:val="center"/>
          </w:tcPr>
          <w:p w14:paraId="62711F4A">
            <w:pPr>
              <w:pStyle w:val="29"/>
            </w:pPr>
          </w:p>
        </w:tc>
      </w:tr>
    </w:tbl>
    <w:p w14:paraId="2F4718DE">
      <w:pPr>
        <w:ind w:firstLine="640"/>
        <w:sectPr>
          <w:headerReference r:id="rId17" w:type="default"/>
          <w:pgSz w:w="11906" w:h="16838"/>
          <w:pgMar w:top="1701" w:right="1531" w:bottom="1531" w:left="1531" w:header="851" w:footer="992" w:gutter="0"/>
          <w:cols w:space="425" w:num="1"/>
          <w:docGrid w:type="lines" w:linePitch="312" w:charSpace="0"/>
        </w:sectPr>
      </w:pPr>
    </w:p>
    <w:p w14:paraId="1AB747E5">
      <w:pPr>
        <w:pStyle w:val="2"/>
        <w:spacing w:before="156" w:after="156"/>
      </w:pPr>
      <w:bookmarkStart w:id="26" w:name="_Toc44603499"/>
      <w:r>
        <w:rPr>
          <w:rFonts w:hint="eastAsia"/>
        </w:rPr>
        <w:t xml:space="preserve"> </w:t>
      </w:r>
      <w:bookmarkStart w:id="27" w:name="_Toc53133708"/>
      <w:r>
        <w:rPr>
          <w:rFonts w:hint="eastAsia"/>
        </w:rPr>
        <w:t>发展目标</w:t>
      </w:r>
      <w:bookmarkEnd w:id="27"/>
    </w:p>
    <w:p w14:paraId="28FFAC96">
      <w:pPr>
        <w:pStyle w:val="3"/>
        <w:ind w:firstLine="640"/>
      </w:pPr>
      <w:bookmarkStart w:id="28" w:name="_Toc53133709"/>
      <w:r>
        <w:rPr>
          <w:rFonts w:hint="eastAsia"/>
          <w:lang w:eastAsia="zh-CN"/>
        </w:rPr>
        <w:t>“十四五”</w:t>
      </w:r>
      <w:r>
        <w:rPr>
          <w:rFonts w:hint="eastAsia"/>
        </w:rPr>
        <w:t>发展目标</w:t>
      </w:r>
      <w:bookmarkEnd w:id="26"/>
      <w:bookmarkEnd w:id="28"/>
    </w:p>
    <w:p w14:paraId="578CDE1F">
      <w:pPr>
        <w:pStyle w:val="4"/>
        <w:ind w:firstLine="602"/>
      </w:pPr>
      <w:r>
        <w:rPr>
          <w:rFonts w:hint="eastAsia"/>
        </w:rPr>
        <w:t>总体目标</w:t>
      </w:r>
    </w:p>
    <w:p w14:paraId="64EEFE13">
      <w:pPr>
        <w:ind w:firstLine="640"/>
      </w:pPr>
      <w:r>
        <w:rPr>
          <w:rFonts w:hint="eastAsia"/>
        </w:rPr>
        <w:t>围绕“综合交通、智慧交通、绿色交通、平安交通”建设要求，</w:t>
      </w:r>
      <w:r>
        <w:rPr>
          <w:rFonts w:hint="eastAsia"/>
          <w:lang w:eastAsia="zh-CN"/>
        </w:rPr>
        <w:t>“十四五”</w:t>
      </w:r>
      <w:r>
        <w:rPr>
          <w:rFonts w:hint="eastAsia"/>
        </w:rPr>
        <w:t>期间，阳城县以打造成为晋豫省际交界交通枢纽为总体目标，加快推进阳城县</w:t>
      </w:r>
      <w:r>
        <w:rPr>
          <w:rFonts w:hint="eastAsia"/>
          <w:b/>
        </w:rPr>
        <w:t>“空港建设”，继续“完善铁路网”</w:t>
      </w:r>
      <w:r>
        <w:rPr>
          <w:rFonts w:hint="eastAsia"/>
        </w:rPr>
        <w:t>，坚持“南拓北畅东融西进中提升”引领阳城县综合交通运输体系建设；依托通用航空与铁路建设，打造综合交通运输大通道和综合交通运输枢纽；围绕阳城高铁站、阳城客运站相融合的客运集散核心区，</w:t>
      </w:r>
      <w:r>
        <w:rPr>
          <w:rFonts w:hint="eastAsia"/>
          <w:b/>
        </w:rPr>
        <w:t>“打造综合枢纽，增强物流服务”</w:t>
      </w:r>
      <w:r>
        <w:rPr>
          <w:rFonts w:hint="eastAsia"/>
        </w:rPr>
        <w:t>，依托高速公路、国省道、干线公路建设，</w:t>
      </w:r>
      <w:r>
        <w:rPr>
          <w:rFonts w:hint="eastAsia"/>
          <w:b/>
        </w:rPr>
        <w:t>“补充高速干线”</w:t>
      </w:r>
      <w:r>
        <w:rPr>
          <w:rFonts w:hint="eastAsia"/>
        </w:rPr>
        <w:t>，构建</w:t>
      </w:r>
      <w:r>
        <w:rPr>
          <w:rFonts w:hint="eastAsia"/>
          <w:b/>
        </w:rPr>
        <w:t>“一纵一横一环线”</w:t>
      </w:r>
      <w:r>
        <w:rPr>
          <w:rFonts w:hint="eastAsia"/>
        </w:rPr>
        <w:t>区域综合路网骨架；结合交通枢纽及产业布局，以皇城相府、蟒河景区、析城山景区三大景区、现代物流基地、等级客运场站建设为切入点，加快推进客、货运枢纽体系建设，构建现代化客、货运枢纽体系；全面提升公共服务能力、行业管理能力、支持保障能力，</w:t>
      </w:r>
      <w:r>
        <w:rPr>
          <w:rFonts w:hint="eastAsia"/>
          <w:b/>
        </w:rPr>
        <w:t>“保障居民出行，助力旅游发展”</w:t>
      </w:r>
      <w:r>
        <w:rPr>
          <w:rFonts w:hint="eastAsia"/>
        </w:rPr>
        <w:t>。</w:t>
      </w:r>
    </w:p>
    <w:p w14:paraId="35B08F62">
      <w:pPr>
        <w:ind w:firstLine="643"/>
      </w:pPr>
      <w:r>
        <w:rPr>
          <w:rFonts w:hint="eastAsia"/>
          <w:b/>
        </w:rPr>
        <w:t>“推进空港建设，完善铁路网”</w:t>
      </w:r>
      <w:r>
        <w:rPr>
          <w:rFonts w:hint="eastAsia"/>
        </w:rPr>
        <w:t>：</w:t>
      </w:r>
    </w:p>
    <w:p w14:paraId="51178F39">
      <w:pPr>
        <w:ind w:firstLine="640"/>
        <w:rPr>
          <w:b/>
        </w:rPr>
      </w:pPr>
      <w:r>
        <w:rPr>
          <w:rFonts w:hint="eastAsia"/>
        </w:rPr>
        <w:t>重点打造通用航空基地、晋城至侯马城际铁路阳城段项目；</w:t>
      </w:r>
    </w:p>
    <w:p w14:paraId="1B321CFB">
      <w:pPr>
        <w:ind w:firstLine="643"/>
      </w:pPr>
      <w:r>
        <w:rPr>
          <w:rFonts w:hint="eastAsia"/>
          <w:b/>
        </w:rPr>
        <w:t>“打造综合枢纽，增强物流服务”</w:t>
      </w:r>
      <w:r>
        <w:rPr>
          <w:rFonts w:hint="eastAsia"/>
        </w:rPr>
        <w:t>：</w:t>
      </w:r>
    </w:p>
    <w:p w14:paraId="2CB10459">
      <w:pPr>
        <w:ind w:firstLine="640"/>
      </w:pPr>
      <w:r>
        <w:rPr>
          <w:rFonts w:hint="eastAsia"/>
        </w:rPr>
        <w:t>推进以阳城高铁站、阳城客运站相融合的客运集散核心区建设，新建7个县乡公路服务区；对县级电子商务服务平台提升，仓储建设，镇、村电商物流服务站点改造，功能完善提升，配送设施配置；小区、社区布设不同类型的智能快件箱，提供便捷安全的“最后100米”服务等。</w:t>
      </w:r>
    </w:p>
    <w:p w14:paraId="689E28B7">
      <w:pPr>
        <w:ind w:firstLine="643"/>
      </w:pPr>
      <w:r>
        <w:rPr>
          <w:rFonts w:hint="eastAsia"/>
          <w:b/>
        </w:rPr>
        <w:t>“补充高速干线，构建一纵一横一环线格局”</w:t>
      </w:r>
      <w:r>
        <w:rPr>
          <w:rFonts w:hint="eastAsia"/>
        </w:rPr>
        <w:t>：</w:t>
      </w:r>
    </w:p>
    <w:p w14:paraId="6C0FB01B">
      <w:pPr>
        <w:ind w:firstLine="640"/>
      </w:pPr>
      <w:r>
        <w:rPr>
          <w:rFonts w:hint="eastAsia"/>
        </w:rPr>
        <w:t>“一横一纵”为晋阳高速和阳运高速组成的横线以及安阳高速、阳济高速组成的纵线；</w:t>
      </w:r>
    </w:p>
    <w:p w14:paraId="78EA4F83">
      <w:pPr>
        <w:ind w:firstLine="640"/>
      </w:pPr>
      <w:r>
        <w:rPr>
          <w:rFonts w:hint="eastAsia"/>
        </w:rPr>
        <w:t>“一环线”为阳城绕城高速；</w:t>
      </w:r>
    </w:p>
    <w:p w14:paraId="51CAFFE5">
      <w:pPr>
        <w:ind w:firstLine="640"/>
        <w:rPr>
          <w:b/>
        </w:rPr>
      </w:pPr>
      <w:r>
        <w:rPr>
          <w:rFonts w:hint="eastAsia"/>
        </w:rPr>
        <w:t>重点推进晋阳高速公路改扩建、阳运高速公路建设和晋阳高速阳城南联络线建设。</w:t>
      </w:r>
    </w:p>
    <w:p w14:paraId="46300D07">
      <w:pPr>
        <w:ind w:firstLine="643"/>
        <w:rPr>
          <w:b/>
        </w:rPr>
      </w:pPr>
      <w:r>
        <w:rPr>
          <w:rFonts w:hint="eastAsia"/>
          <w:b/>
        </w:rPr>
        <w:t>“保障居民出行，助力旅游发展”</w:t>
      </w:r>
      <w:r>
        <w:rPr>
          <w:rFonts w:hint="eastAsia"/>
        </w:rPr>
        <w:t>：</w:t>
      </w:r>
    </w:p>
    <w:p w14:paraId="5D92B942">
      <w:pPr>
        <w:ind w:firstLine="640"/>
      </w:pPr>
      <w:r>
        <w:rPr>
          <w:rFonts w:hint="eastAsia"/>
        </w:rPr>
        <w:t>建设阳高泉至张峰道路工程、改造阳城县环城路网，打通两处出境口通道、改建晋阳一级路，继续推进农村公路改造工程，并为太行一号公路、沁河古堡群等旅游景区提供便捷通道。</w:t>
      </w:r>
    </w:p>
    <w:p w14:paraId="0542772C">
      <w:pPr>
        <w:pStyle w:val="4"/>
        <w:ind w:firstLine="602"/>
      </w:pPr>
      <w:r>
        <w:rPr>
          <w:rFonts w:hint="eastAsia"/>
        </w:rPr>
        <w:t>具体目标</w:t>
      </w:r>
    </w:p>
    <w:p w14:paraId="69395119">
      <w:pPr>
        <w:ind w:firstLine="640"/>
      </w:pPr>
      <w:r>
        <w:rPr>
          <w:rFonts w:hint="eastAsia"/>
        </w:rPr>
        <w:t>到202</w:t>
      </w:r>
      <w:r>
        <w:t>5</w:t>
      </w:r>
      <w:r>
        <w:rPr>
          <w:rFonts w:hint="eastAsia"/>
        </w:rPr>
        <w:t>年，阳城县交通运输发展争取达到以下具体目标：</w:t>
      </w:r>
    </w:p>
    <w:p w14:paraId="1E73097B">
      <w:pPr>
        <w:ind w:firstLine="643"/>
        <w:rPr>
          <w:b/>
        </w:rPr>
      </w:pPr>
      <w:r>
        <w:rPr>
          <w:rFonts w:hint="eastAsia"/>
          <w:b/>
        </w:rPr>
        <w:t>——基础设施</w:t>
      </w:r>
    </w:p>
    <w:p w14:paraId="2C659F5B">
      <w:pPr>
        <w:ind w:firstLine="640"/>
      </w:pPr>
      <w:r>
        <w:rPr>
          <w:rFonts w:hint="eastAsia"/>
        </w:rPr>
        <w:t>公路骨架网络加快完善。基本建成或开工建设已批准规划的高速公路网、国省干线公路网，加快推进农村公路联网工程建设。公路总里程达到</w:t>
      </w:r>
      <w:r>
        <w:t>234</w:t>
      </w:r>
      <w:r>
        <w:rPr>
          <w:rFonts w:hint="eastAsia"/>
        </w:rPr>
        <w:t>公里，高速公路总里程约</w:t>
      </w:r>
      <w:r>
        <w:t>142</w:t>
      </w:r>
      <w:r>
        <w:rPr>
          <w:rFonts w:hint="eastAsia"/>
        </w:rPr>
        <w:t>公里，普通国省道里程约</w:t>
      </w:r>
      <w:r>
        <w:t>92</w:t>
      </w:r>
      <w:r>
        <w:rPr>
          <w:rFonts w:hint="eastAsia"/>
        </w:rPr>
        <w:t>公里。</w:t>
      </w:r>
    </w:p>
    <w:p w14:paraId="51105396">
      <w:pPr>
        <w:ind w:firstLine="640"/>
      </w:pPr>
      <w:r>
        <w:rPr>
          <w:rFonts w:hint="eastAsia"/>
        </w:rPr>
        <w:t>场站枢纽进一步强化。建成综合客运枢纽1个，旅游集散中心</w:t>
      </w:r>
      <w:r>
        <w:t>3</w:t>
      </w:r>
      <w:r>
        <w:rPr>
          <w:rFonts w:hint="eastAsia"/>
        </w:rPr>
        <w:t>个，县乡公路服务区7个，运输车辆公共停车场5个。</w:t>
      </w:r>
    </w:p>
    <w:p w14:paraId="7C218761">
      <w:pPr>
        <w:ind w:firstLine="640"/>
      </w:pPr>
      <w:r>
        <w:rPr>
          <w:rFonts w:hint="eastAsia"/>
        </w:rPr>
        <w:t>——运输服务</w:t>
      </w:r>
    </w:p>
    <w:p w14:paraId="2EF4A1FA">
      <w:pPr>
        <w:ind w:firstLine="640"/>
      </w:pPr>
      <w:r>
        <w:rPr>
          <w:rFonts w:hint="eastAsia"/>
        </w:rPr>
        <w:t>重要节点时空距离进一步缩小。依托高速铁路、客运专线，争取</w:t>
      </w:r>
      <w:r>
        <w:t>2</w:t>
      </w:r>
      <w:r>
        <w:rPr>
          <w:rFonts w:hint="eastAsia"/>
        </w:rPr>
        <w:t>小时至省会城市太原和郑州；依托高速公路、城市轨道交通，争取</w:t>
      </w:r>
      <w:r>
        <w:t>0.5</w:t>
      </w:r>
      <w:r>
        <w:rPr>
          <w:rFonts w:hint="eastAsia"/>
        </w:rPr>
        <w:t>小时内到达晋城主城区；依托干线公路、城市快速路，打造阳城县县域1小时交通圈。</w:t>
      </w:r>
    </w:p>
    <w:p w14:paraId="23EF5512">
      <w:pPr>
        <w:ind w:firstLine="640"/>
      </w:pPr>
      <w:r>
        <w:rPr>
          <w:rFonts w:hint="eastAsia"/>
        </w:rPr>
        <w:t>公路服务水平稳步提高。主要区域干线公路平日车流密度（V/C）在0.8以下，公路网整体服务水平大幅度提高。</w:t>
      </w:r>
    </w:p>
    <w:p w14:paraId="297E6DBC">
      <w:pPr>
        <w:ind w:firstLine="640"/>
      </w:pPr>
      <w:r>
        <w:rPr>
          <w:rFonts w:hint="eastAsia"/>
        </w:rPr>
        <w:t>城乡客运服务有效增强。城市公共交通突破性发展，城市公交与枢纽站场实现有效衔接，主城区公交站点300米半径基本全覆盖，公交出行分担率大幅度提升；行政村客运班线通达率达到9</w:t>
      </w:r>
      <w:r>
        <w:t>8</w:t>
      </w:r>
      <w:r>
        <w:rPr>
          <w:rFonts w:hint="eastAsia"/>
        </w:rPr>
        <w:t>%，城乡客运一体化水平进一步提高，城乡公交一体化覆盖主要乡镇。</w:t>
      </w:r>
    </w:p>
    <w:p w14:paraId="5F34ECA1">
      <w:pPr>
        <w:ind w:firstLine="640"/>
      </w:pPr>
      <w:r>
        <w:rPr>
          <w:rFonts w:hint="eastAsia"/>
        </w:rPr>
        <w:t>快递物流服务能力增强。乡、镇、村快递配送节点、邮政网点基本配置完善，农村物流配送体系得到有效发展。</w:t>
      </w:r>
    </w:p>
    <w:p w14:paraId="6F6A2AF1">
      <w:pPr>
        <w:pStyle w:val="3"/>
        <w:ind w:firstLine="640"/>
      </w:pPr>
      <w:bookmarkStart w:id="29" w:name="_Toc53133710"/>
      <w:r>
        <w:rPr>
          <w:rFonts w:hint="eastAsia"/>
        </w:rPr>
        <w:t>远期发展目标</w:t>
      </w:r>
      <w:bookmarkEnd w:id="29"/>
    </w:p>
    <w:p w14:paraId="2D7F8D2B">
      <w:pPr>
        <w:ind w:firstLine="640"/>
      </w:pPr>
      <w:r>
        <w:rPr>
          <w:rFonts w:hint="eastAsia"/>
        </w:rPr>
        <w:t>至2030年，全面建成“面向全市、贯通全县、辐射晋陕豫”的现代化综合交通运输体系，综合运输能力显著提高，综合运输效率明显增强，交通信息化水平和服务质量大幅度提升，晋豫省际交界的交通枢纽地位不断强化，逐步打造成为晋城市乃至山西省对接中原城市群、“一带一路”前沿阵地、对外经贸合作的重要交通节点城市。</w:t>
      </w:r>
    </w:p>
    <w:p w14:paraId="4124629E">
      <w:pPr>
        <w:ind w:firstLine="640"/>
      </w:pPr>
      <w:r>
        <w:rPr>
          <w:rFonts w:hint="eastAsia"/>
        </w:rPr>
        <w:t>力争建成晋豫交界的重要综合交通枢纽，全县形成“内畅外达，方便快捷”的综合交通运输体系。新增高速公路对外大通道线路，初步形成“晋城0.5小时、运城1小时、洛阳2小时”的对外经济交通走廊。普通国道省道技术等级全面提升，建设重要产业和旅游经济干线，实现所有乡镇、建制村通水泥（油）路，构建一体化枢纽站场体系，航空发展实现零突破，运输服务提质升级，行业管理和治理水平进一步提高。</w:t>
      </w:r>
    </w:p>
    <w:p w14:paraId="425AD7C2">
      <w:pPr>
        <w:ind w:firstLine="640"/>
      </w:pPr>
    </w:p>
    <w:p w14:paraId="46817B67">
      <w:pPr>
        <w:ind w:firstLine="640"/>
      </w:pPr>
    </w:p>
    <w:p w14:paraId="4D1BB9E2">
      <w:pPr>
        <w:ind w:firstLine="640"/>
        <w:sectPr>
          <w:headerReference r:id="rId18" w:type="default"/>
          <w:pgSz w:w="11906" w:h="16838"/>
          <w:pgMar w:top="1701" w:right="1531" w:bottom="1531" w:left="1531" w:header="851" w:footer="992" w:gutter="0"/>
          <w:cols w:space="425" w:num="1"/>
          <w:docGrid w:type="lines" w:linePitch="312" w:charSpace="0"/>
        </w:sectPr>
      </w:pPr>
    </w:p>
    <w:p w14:paraId="2114F8C3">
      <w:pPr>
        <w:pStyle w:val="2"/>
        <w:spacing w:before="156" w:after="156"/>
      </w:pPr>
      <w:bookmarkStart w:id="30" w:name="_Toc53133711"/>
      <w:r>
        <w:rPr>
          <w:rFonts w:hint="eastAsia"/>
          <w:lang w:eastAsia="zh-CN"/>
        </w:rPr>
        <w:t>“十四五”</w:t>
      </w:r>
      <w:r>
        <w:rPr>
          <w:rFonts w:hint="eastAsia"/>
        </w:rPr>
        <w:t>综合交通运输发展主要任务</w:t>
      </w:r>
      <w:bookmarkEnd w:id="30"/>
    </w:p>
    <w:p w14:paraId="6AA7B484">
      <w:pPr>
        <w:pStyle w:val="3"/>
        <w:ind w:firstLine="640"/>
      </w:pPr>
      <w:bookmarkStart w:id="31" w:name="_Toc53133712"/>
      <w:r>
        <w:rPr>
          <w:rFonts w:hint="eastAsia"/>
        </w:rPr>
        <w:t>综合交通基础设施建设</w:t>
      </w:r>
      <w:bookmarkEnd w:id="31"/>
    </w:p>
    <w:p w14:paraId="1624FC26">
      <w:pPr>
        <w:ind w:firstLine="640"/>
      </w:pPr>
      <w:r>
        <w:rPr>
          <w:rFonts w:hint="eastAsia"/>
          <w:lang w:eastAsia="zh-CN"/>
        </w:rPr>
        <w:t>“十四五”</w:t>
      </w:r>
      <w:r>
        <w:rPr>
          <w:rFonts w:hint="eastAsia"/>
        </w:rPr>
        <w:t>时期，阳城将加快完善综合交通运输体系，快速推进高速公路、国省干线以及区域干线公路建设步伐，优化现代物流节点布局，搭建综合交通运输网络大骨架。</w:t>
      </w:r>
    </w:p>
    <w:p w14:paraId="569D8A5D">
      <w:pPr>
        <w:pStyle w:val="4"/>
        <w:ind w:firstLine="602"/>
      </w:pPr>
      <w:r>
        <w:rPr>
          <w:rFonts w:hint="eastAsia"/>
        </w:rPr>
        <w:t>“推进空港建设，完善铁路网”</w:t>
      </w:r>
    </w:p>
    <w:p w14:paraId="3AA4C7F3">
      <w:pPr>
        <w:ind w:firstLine="640"/>
      </w:pPr>
      <w:r>
        <w:rPr>
          <w:rFonts w:hint="eastAsia"/>
        </w:rPr>
        <w:t>“空港建设”。阳城通用机场规划面积</w:t>
      </w:r>
      <w:r>
        <w:t>2075</w:t>
      </w:r>
      <w:r>
        <w:rPr>
          <w:rFonts w:hint="eastAsia"/>
        </w:rPr>
        <w:t>亩，是阳城最重要的发展平台，在发展通用航空产业方面具备区位、地形、交通等诸多优势。阳城县应结合《山西省通用航空产业发展规划》，把打造阳城航空产业园的建设作为全国新型城镇化试点的一项重要内容，将阳城通用机场打造成现代空港。</w:t>
      </w:r>
      <w:r>
        <w:rPr>
          <w:rFonts w:hint="eastAsia"/>
          <w:lang w:eastAsia="zh-CN"/>
        </w:rPr>
        <w:t>“十四五”</w:t>
      </w:r>
      <w:r>
        <w:rPr>
          <w:rFonts w:hint="eastAsia"/>
        </w:rPr>
        <w:t>期，应加快推进通用航空发展，引入或培育1-2家通用航空运营企业，依托阳城丰富的旅游资源，开发飞行观光，探索建设小型通用机场，助推阳城进入“飞行时代”。</w:t>
      </w:r>
    </w:p>
    <w:p w14:paraId="29777C84">
      <w:pPr>
        <w:ind w:firstLine="640"/>
      </w:pPr>
      <w:r>
        <w:rPr>
          <w:rFonts w:hint="eastAsia"/>
        </w:rPr>
        <w:t>“完善铁路网”。</w:t>
      </w:r>
      <w:r>
        <w:rPr>
          <w:rFonts w:hint="eastAsia"/>
          <w:lang w:eastAsia="zh-CN"/>
        </w:rPr>
        <w:t>“十四五”</w:t>
      </w:r>
      <w:r>
        <w:rPr>
          <w:rFonts w:hint="eastAsia"/>
        </w:rPr>
        <w:t>时期，阳城重点推进晋城至侯马城际铁路的建设，实施阳城高铁站建设工程，将更好的服务、带动阳城商贸业的发展；解决日益增长的实际旅客发送需求与公路单一的交通出行方式之间的矛盾，为人民群众提供优质的铁路交通服务；有效提升并展示阳城作为连通晋豫重要节点的良好城市形象。晋城至侯马城际铁路的建设将进一步拉近阳城与运城、临汾、河南间的距离，使阳城县经济社会发展更好的融入中原城市群、“一带一路”建设。</w:t>
      </w:r>
    </w:p>
    <w:p w14:paraId="000B175D">
      <w:pPr>
        <w:ind w:firstLine="640"/>
      </w:pPr>
      <w:r>
        <w:rPr>
          <w:rFonts w:hint="eastAsia"/>
        </w:rPr>
        <w:t>适时推进侯月铁路和阳城站提质升级，为晋煤外运提供有力保障，实现安全生产和运输经营双丰收。</w:t>
      </w:r>
    </w:p>
    <w:p w14:paraId="10EE6951">
      <w:pPr>
        <w:pStyle w:val="4"/>
        <w:ind w:firstLine="602"/>
      </w:pPr>
      <w:r>
        <w:rPr>
          <w:rFonts w:hint="eastAsia"/>
        </w:rPr>
        <w:t>“打造综合枢纽，增强物流服务”</w:t>
      </w:r>
    </w:p>
    <w:p w14:paraId="0CD4583E">
      <w:pPr>
        <w:ind w:firstLine="640"/>
      </w:pPr>
      <w:r>
        <w:rPr>
          <w:rFonts w:hint="eastAsia"/>
        </w:rPr>
        <w:t>按照县域“南拓北畅东融西进中提升”的发展思路，</w:t>
      </w:r>
      <w:r>
        <w:t>进一步提高新城首位度，努力打造现代化、高品质的宜居之城。</w:t>
      </w:r>
      <w:r>
        <w:rPr>
          <w:rFonts w:hint="eastAsia"/>
        </w:rPr>
        <w:t>以新型城镇化为牵引，聚焦高水平崛起，深入实施“大县城”战略，加快构建西河、演礼、八甲口、润城、白桑“五凤朝阳”组团式发展格局，进一步拉大城市框架。</w:t>
      </w:r>
    </w:p>
    <w:p w14:paraId="535E4312">
      <w:pPr>
        <w:ind w:firstLine="640"/>
      </w:pPr>
      <w:r>
        <w:rPr>
          <w:rFonts w:hint="eastAsia"/>
        </w:rPr>
        <w:t>围绕县域城市空间发展方向，结合人口布局、客运流向及现有客运枢纽布局情况，以“核心突出、中心承接、全面覆盖”为目标，做强做优综合枢纽，重点打造中长途旅客运输，成为全县主要对外运输窗口；优化中心客运站布局，做好与枢纽及乡镇间的衔接，重点打造中短途旅客运输；加大城乡公交站点布设，结合居民分布，力争做到全面覆盖。</w:t>
      </w:r>
    </w:p>
    <w:p w14:paraId="575BAEF4">
      <w:pPr>
        <w:ind w:firstLine="640"/>
      </w:pPr>
      <w:r>
        <w:rPr>
          <w:rFonts w:hint="eastAsia"/>
        </w:rPr>
        <w:t xml:space="preserve"> </w:t>
      </w:r>
      <w:r>
        <w:rPr>
          <w:rFonts w:hint="eastAsia"/>
          <w:lang w:eastAsia="zh-CN"/>
        </w:rPr>
        <w:t>“十四五”</w:t>
      </w:r>
      <w:r>
        <w:rPr>
          <w:rFonts w:hint="eastAsia"/>
        </w:rPr>
        <w:t>期重点推进以</w:t>
      </w:r>
      <w:r>
        <w:rPr>
          <w:rFonts w:hint="eastAsia"/>
          <w:b/>
        </w:rPr>
        <w:t>阳城高铁站、阳城客运站相融合的客运集散核心区</w:t>
      </w:r>
      <w:r>
        <w:rPr>
          <w:rFonts w:hint="eastAsia"/>
        </w:rPr>
        <w:t>建设，做好阳城公铁物流园区的前期研究工作。打造阳城县综合交通客运枢纽，阳城县对外旅客运输主窗口。</w:t>
      </w:r>
    </w:p>
    <w:p w14:paraId="3A892844">
      <w:pPr>
        <w:ind w:firstLine="640"/>
      </w:pPr>
      <w:r>
        <w:rPr>
          <w:rFonts w:hint="eastAsia"/>
        </w:rPr>
        <w:t>在加快推进阳城高铁站建设的同时，注重阳城高铁站与汽车客运站间的无缝换乘，注重该核心区与县域各乡镇间、功能区块间的客运集疏运衔接。重点研究公交场站、线路布局，出租车上下客点规划，公共停车场规划，该区块交通组织设计及各方式换乘系统设计等。</w:t>
      </w:r>
    </w:p>
    <w:p w14:paraId="30CC13BC">
      <w:pPr>
        <w:ind w:firstLine="643"/>
      </w:pPr>
      <w:r>
        <w:rPr>
          <w:rFonts w:hint="eastAsia"/>
          <w:b/>
        </w:rPr>
        <w:t>增大旅游、物流综合服务内容</w:t>
      </w:r>
      <w:r>
        <w:rPr>
          <w:rFonts w:hint="eastAsia"/>
        </w:rPr>
        <w:t>，培育旅游和物流产业，形成旅游、物流综合产业规模优势。重点围绕皇城相府、蟒河景区、析城山景区三大骨干景区，依托阳泰、阳电、大宁、美中、兰花、惠阳六大核心煤、电、气、化产业园区，以建设阳城陶瓷战略储备供应基地、琉璃“一园一城一基地”生产供应基地为切入点，重点构建“三个体系”：完善以物流园区为核心、物流中心为骨干、配送节点为基础、农村物流站点为补充的物流网络体系。</w:t>
      </w:r>
    </w:p>
    <w:p w14:paraId="692D0D3B">
      <w:pPr>
        <w:ind w:firstLine="640"/>
      </w:pPr>
      <w:r>
        <w:rPr>
          <w:rFonts w:hint="eastAsia"/>
          <w:lang w:eastAsia="zh-CN"/>
        </w:rPr>
        <w:t>“十四五”</w:t>
      </w:r>
      <w:r>
        <w:rPr>
          <w:rFonts w:hint="eastAsia"/>
        </w:rPr>
        <w:t>期重点推进运输车辆公共停车场的建设，同时不断完善旅游、物流综合服务设施，优化公共交通线路，提升服务品质。打造便捷舒适的县乡公路服务区，对县级电子商务服务平台提质升级，改造镇、村电商物流服务站点，不断配齐配套功能为人民提供更贴心的服务。</w:t>
      </w:r>
    </w:p>
    <w:p w14:paraId="7EDCE1F1">
      <w:pPr>
        <w:pStyle w:val="4"/>
        <w:ind w:firstLine="602"/>
      </w:pPr>
      <w:r>
        <w:rPr>
          <w:rFonts w:hint="eastAsia"/>
        </w:rPr>
        <w:t xml:space="preserve"> “补充高速干线，构建一纵一横一环线格局”</w:t>
      </w:r>
    </w:p>
    <w:p w14:paraId="026928BD">
      <w:pPr>
        <w:ind w:firstLine="640"/>
      </w:pPr>
      <w:r>
        <w:rPr>
          <w:rFonts w:hint="eastAsia"/>
        </w:rPr>
        <w:t>“一横一纵”为晋阳高速和阳运高速组成的横线以及安阳高速、阳济高速组成的纵线，“一环线”为阳城绕城高速。</w:t>
      </w:r>
      <w:r>
        <w:rPr>
          <w:rFonts w:hint="eastAsia"/>
          <w:lang w:eastAsia="zh-CN"/>
        </w:rPr>
        <w:t>“十四五”</w:t>
      </w:r>
      <w:r>
        <w:rPr>
          <w:rFonts w:hint="eastAsia"/>
        </w:rPr>
        <w:t>期，重点推进晋阳高速公路改扩建、阳运高速公路建设和晋阳高速阳城南联络线建设。</w:t>
      </w:r>
    </w:p>
    <w:p w14:paraId="7702F564">
      <w:pPr>
        <w:ind w:firstLine="640"/>
      </w:pPr>
      <w:r>
        <w:rPr>
          <w:rFonts w:hint="eastAsia"/>
        </w:rPr>
        <w:t>——晋阳高速公路改扩建。</w:t>
      </w:r>
    </w:p>
    <w:p w14:paraId="471E327E">
      <w:pPr>
        <w:ind w:firstLine="640"/>
      </w:pPr>
      <w:r>
        <w:rPr>
          <w:rFonts w:hint="eastAsia"/>
        </w:rPr>
        <w:t>晋阳高速公路，即晋城城区—阳城高速公路。是山西S86晋运高速的晋城城区至阳城段，简称晋运高速晋阳段。山西省高速公路网规划第十二横（泽州韩家寨～芮城风陵渡）的重要组成部分。它西接晋运高速阳（城）运（城）段、东接S5503晋城绕城高速，与G55二广高速、G5512晋新高速互联互通。晋阳高速公路改扩建的建设将进一步拉开城镇框架，改变阳城东面交通设施不足的格局，为阳城东部提供更加通畅的横向通道，为晋城市交通运输体系提供强有力支撑。因此，需要在</w:t>
      </w:r>
      <w:r>
        <w:rPr>
          <w:rFonts w:hint="eastAsia"/>
          <w:lang w:eastAsia="zh-CN"/>
        </w:rPr>
        <w:t>“十四五”</w:t>
      </w:r>
      <w:r>
        <w:rPr>
          <w:rFonts w:hint="eastAsia"/>
        </w:rPr>
        <w:t>期进行规划建设。</w:t>
      </w:r>
    </w:p>
    <w:p w14:paraId="340B6E0F">
      <w:pPr>
        <w:ind w:firstLine="640"/>
      </w:pPr>
      <w:r>
        <w:rPr>
          <w:rFonts w:hint="eastAsia"/>
        </w:rPr>
        <w:t>线路全长43公里，设计速度80公里/小时，概算投资64.5亿元。其中：阳城境内长16公里，投资26亿元。规划建设期限为20</w:t>
      </w:r>
      <w:r>
        <w:t>20</w:t>
      </w:r>
      <w:r>
        <w:rPr>
          <w:rFonts w:hint="eastAsia"/>
        </w:rPr>
        <w:t>-20</w:t>
      </w:r>
      <w:r>
        <w:t>24</w:t>
      </w:r>
      <w:r>
        <w:rPr>
          <w:rFonts w:hint="eastAsia"/>
        </w:rPr>
        <w:t>年，目前已经完成初步设计评审，预计2</w:t>
      </w:r>
      <w:r>
        <w:t>020</w:t>
      </w:r>
      <w:r>
        <w:rPr>
          <w:rFonts w:hint="eastAsia"/>
        </w:rPr>
        <w:t>年可以开工建设，并于</w:t>
      </w:r>
      <w:r>
        <w:rPr>
          <w:rFonts w:hint="eastAsia"/>
          <w:lang w:eastAsia="zh-CN"/>
        </w:rPr>
        <w:t>“十四五”</w:t>
      </w:r>
      <w:r>
        <w:rPr>
          <w:rFonts w:hint="eastAsia"/>
        </w:rPr>
        <w:t>期建设完成。</w:t>
      </w:r>
    </w:p>
    <w:p w14:paraId="7391AC8E">
      <w:pPr>
        <w:ind w:firstLine="640"/>
      </w:pPr>
      <w:r>
        <w:rPr>
          <w:rFonts w:hint="eastAsia"/>
        </w:rPr>
        <w:t>——阳运高速公路建设。</w:t>
      </w:r>
    </w:p>
    <w:p w14:paraId="3AE9025B">
      <w:pPr>
        <w:ind w:firstLine="640"/>
      </w:pPr>
      <w:r>
        <w:rPr>
          <w:rFonts w:hint="eastAsia"/>
        </w:rPr>
        <w:t>阳运高速公路，即阳城—运城高速公路，简称阳运高速。是山西S86晋运高速的阳城至运城段，山西省高速公路网规划第十二横（泽州韩家寨～芮城风陵渡）的重要组成部分。阳运高速起点位于阳城县演礼乡，接S65临（汾）洛（阳）高速公路，终点位于S75侯平高速运三段东郭枢纽，接S75侯平高速、S5902运城绕城高速，公路总里程约135公里。</w:t>
      </w:r>
    </w:p>
    <w:p w14:paraId="02547FE4">
      <w:pPr>
        <w:ind w:firstLine="640"/>
      </w:pPr>
      <w:r>
        <w:rPr>
          <w:rFonts w:hint="eastAsia"/>
        </w:rPr>
        <w:t>拟建方案路线全长135公里，标准为双向四车道高速公路，设计速度80公里/小时，路基宽度25.5米，估算投资170亿元。其中：阳城段长35.7公里，估算投资50亿元。规划建设期限为20</w:t>
      </w:r>
      <w:r>
        <w:t>22</w:t>
      </w:r>
      <w:r>
        <w:rPr>
          <w:rFonts w:hint="eastAsia"/>
        </w:rPr>
        <w:t>-20</w:t>
      </w:r>
      <w:r>
        <w:t>25</w:t>
      </w:r>
      <w:r>
        <w:rPr>
          <w:rFonts w:hint="eastAsia"/>
        </w:rPr>
        <w:t>年，目前已列入国高网，山西省交通运输厅正在推进本项目的前期工作。</w:t>
      </w:r>
    </w:p>
    <w:p w14:paraId="6B5893A3">
      <w:pPr>
        <w:ind w:firstLine="640"/>
      </w:pPr>
      <w:r>
        <w:rPr>
          <w:rFonts w:hint="eastAsia"/>
        </w:rPr>
        <w:t>——晋阳高速阳城南联络线。起点位于白桑乡上村晋阳高速阳城东出口，途径凤城镇南安阳村村东、岳庄村村东、宋庄村村北、前贯沟村东，终点接阳济高速并于阳城南互通，路线全长约13公里，拟按双向四车道高速公路标准建设，设计速度 80 公里/小时。</w:t>
      </w:r>
    </w:p>
    <w:p w14:paraId="7882C2C3">
      <w:pPr>
        <w:pStyle w:val="4"/>
        <w:ind w:firstLine="602"/>
      </w:pPr>
      <w:r>
        <w:rPr>
          <w:rFonts w:hint="eastAsia"/>
        </w:rPr>
        <w:t xml:space="preserve"> “保障居民出行，助力旅游发展”</w:t>
      </w:r>
    </w:p>
    <w:p w14:paraId="0F2B79D6">
      <w:pPr>
        <w:ind w:firstLine="640"/>
      </w:pPr>
      <w:r>
        <w:rPr>
          <w:rFonts w:hint="eastAsia"/>
        </w:rPr>
        <w:t>“保障居民出行”。</w:t>
      </w:r>
      <w:r>
        <w:rPr>
          <w:rFonts w:hint="eastAsia"/>
          <w:lang w:eastAsia="zh-CN"/>
        </w:rPr>
        <w:t>“十四五”</w:t>
      </w:r>
      <w:r>
        <w:rPr>
          <w:rFonts w:hint="eastAsia"/>
        </w:rPr>
        <w:t>期，建设阳高泉至张峰道路工程、改造阳城县环城路网，打通两处出境口通道、改建晋阳一级路，继续推进农村公路改造工程，并为太行一号公路、沁河古堡群等旅游景区提供便捷通道。</w:t>
      </w:r>
    </w:p>
    <w:p w14:paraId="54120C52">
      <w:pPr>
        <w:ind w:firstLine="640"/>
      </w:pPr>
      <w:r>
        <w:rPr>
          <w:rFonts w:hint="eastAsia"/>
        </w:rPr>
        <w:t>——阳高泉至张峰道路工程</w:t>
      </w:r>
    </w:p>
    <w:p w14:paraId="1D94DA17">
      <w:pPr>
        <w:ind w:firstLine="640"/>
      </w:pPr>
      <w:r>
        <w:rPr>
          <w:rFonts w:hint="eastAsia"/>
        </w:rPr>
        <w:t>阳高泉至下李丘段：长4.5公里，宽40米，等级为城市主干路，设计速度40公里/小时，双向八车道。下李丘至张峰段：长3.53公里，。其中主线长2.53公里，宽36米，等级为城市主干路，设计速度40公里/小时，双向八车道；支线长1公里，宽20米，双向四车道。规划建设期限为20</w:t>
      </w:r>
      <w:r>
        <w:t>20</w:t>
      </w:r>
      <w:r>
        <w:rPr>
          <w:rFonts w:hint="eastAsia"/>
        </w:rPr>
        <w:t>-20</w:t>
      </w:r>
      <w:r>
        <w:t>22</w:t>
      </w:r>
      <w:r>
        <w:rPr>
          <w:rFonts w:hint="eastAsia"/>
        </w:rPr>
        <w:t>年，现已完成初步设计，准备评审，并进行社会投资人资格预审。</w:t>
      </w:r>
    </w:p>
    <w:p w14:paraId="30D5CF64">
      <w:pPr>
        <w:ind w:firstLine="640"/>
      </w:pPr>
      <w:r>
        <w:rPr>
          <w:rFonts w:hint="eastAsia"/>
        </w:rPr>
        <w:t>——阳城县环城路网改造项目</w:t>
      </w:r>
    </w:p>
    <w:p w14:paraId="6B911CFD">
      <w:pPr>
        <w:ind w:firstLine="640"/>
      </w:pPr>
      <w:r>
        <w:rPr>
          <w:rFonts w:hint="eastAsia"/>
        </w:rPr>
        <w:t>阳城县环城路网改造两段，其中：栅村至固隆段，长9公里；前贯沟至白桑段，长6公里，拟建二级公路，路面宽12米。规划建设期限为20</w:t>
      </w:r>
      <w:r>
        <w:t>21</w:t>
      </w:r>
      <w:r>
        <w:rPr>
          <w:rFonts w:hint="eastAsia"/>
        </w:rPr>
        <w:t>-20</w:t>
      </w:r>
      <w:r>
        <w:t>25</w:t>
      </w:r>
      <w:r>
        <w:rPr>
          <w:rFonts w:hint="eastAsia"/>
        </w:rPr>
        <w:t>年，栅村至固隆段正在编制工可；前贯沟至白桑段处于方案研究阶段。</w:t>
      </w:r>
    </w:p>
    <w:p w14:paraId="0AAB9379">
      <w:pPr>
        <w:ind w:firstLine="640"/>
      </w:pPr>
      <w:r>
        <w:rPr>
          <w:rFonts w:hint="eastAsia"/>
        </w:rPr>
        <w:t>——出境口通道建设项目</w:t>
      </w:r>
    </w:p>
    <w:p w14:paraId="1488455F">
      <w:pPr>
        <w:ind w:firstLine="640"/>
      </w:pPr>
      <w:r>
        <w:rPr>
          <w:rFonts w:hint="eastAsia"/>
        </w:rPr>
        <w:t>新增马寺线延伸（寺头张家庄接沁水县郑庄镇）、董封临涧旅游路（董封临涧接沁水县土沃乡）2个出境口通道。规划建设期限为20</w:t>
      </w:r>
      <w:r>
        <w:t>21</w:t>
      </w:r>
      <w:r>
        <w:rPr>
          <w:rFonts w:hint="eastAsia"/>
        </w:rPr>
        <w:t>-20</w:t>
      </w:r>
      <w:r>
        <w:t>25</w:t>
      </w:r>
      <w:r>
        <w:rPr>
          <w:rFonts w:hint="eastAsia"/>
        </w:rPr>
        <w:t>年，项目目前处于前期工作阶段。</w:t>
      </w:r>
    </w:p>
    <w:p w14:paraId="227233E1">
      <w:pPr>
        <w:ind w:firstLine="640"/>
      </w:pPr>
      <w:r>
        <w:rPr>
          <w:rFonts w:hint="eastAsia"/>
        </w:rPr>
        <w:t>——晋阳一级路改建项目</w:t>
      </w:r>
    </w:p>
    <w:p w14:paraId="6F8A5826">
      <w:pPr>
        <w:ind w:firstLine="640"/>
      </w:pPr>
      <w:r>
        <w:rPr>
          <w:rFonts w:hint="eastAsia"/>
        </w:rPr>
        <w:t>晋阳一级路路线全长54.406公里，一级公路技术标准，设计速度60公里／小时，路基宽度整体式采用20米，估算投资33.2亿元。其中：阳城段26公里，估算投资16亿元。规划建设期限为20</w:t>
      </w:r>
      <w:r>
        <w:t>21</w:t>
      </w:r>
      <w:r>
        <w:rPr>
          <w:rFonts w:hint="eastAsia"/>
        </w:rPr>
        <w:t>-20</w:t>
      </w:r>
      <w:r>
        <w:t>23</w:t>
      </w:r>
      <w:r>
        <w:rPr>
          <w:rFonts w:hint="eastAsia"/>
        </w:rPr>
        <w:t>年，项目处于市政府与晋城公路分局研究项目合作模式与融资方案阶段。</w:t>
      </w:r>
    </w:p>
    <w:p w14:paraId="746E2B63">
      <w:pPr>
        <w:ind w:firstLine="640"/>
      </w:pPr>
      <w:r>
        <w:rPr>
          <w:rFonts w:hint="eastAsia"/>
        </w:rPr>
        <w:t>——太行一号公路支线项目</w:t>
      </w:r>
    </w:p>
    <w:p w14:paraId="542C9DE4">
      <w:pPr>
        <w:ind w:firstLine="640"/>
      </w:pPr>
      <w:r>
        <w:rPr>
          <w:rFonts w:hint="eastAsia"/>
          <w:lang w:eastAsia="zh-CN"/>
        </w:rPr>
        <w:t>“十四五”</w:t>
      </w:r>
      <w:r>
        <w:rPr>
          <w:rFonts w:hint="eastAsia"/>
        </w:rPr>
        <w:t>期间建设两条太行一号公路支线，其中：</w:t>
      </w:r>
    </w:p>
    <w:p w14:paraId="533226F8">
      <w:pPr>
        <w:ind w:firstLine="640"/>
      </w:pPr>
      <w:r>
        <w:rPr>
          <w:rFonts w:hint="eastAsia"/>
        </w:rPr>
        <w:t>支线一为泥河至黑龙背长约46公里，新建道路标准为四级公路，路面宽6.5米；支线二为横河至次滩，长约24公里，新建道路标准为四级公路，路面宽6.5米。规划建设期限为20</w:t>
      </w:r>
      <w:r>
        <w:t>22</w:t>
      </w:r>
      <w:r>
        <w:rPr>
          <w:rFonts w:hint="eastAsia"/>
        </w:rPr>
        <w:t>-20</w:t>
      </w:r>
      <w:r>
        <w:t>24</w:t>
      </w:r>
      <w:r>
        <w:rPr>
          <w:rFonts w:hint="eastAsia"/>
        </w:rPr>
        <w:t>年，目前项目工可已经批复。</w:t>
      </w:r>
    </w:p>
    <w:p w14:paraId="2BCEB111">
      <w:pPr>
        <w:ind w:firstLine="640"/>
      </w:pPr>
      <w:r>
        <w:rPr>
          <w:rFonts w:hint="eastAsia"/>
        </w:rPr>
        <w:t>——晋城东至沁河古堡群磁浮旅游线路</w:t>
      </w:r>
    </w:p>
    <w:p w14:paraId="554C097F">
      <w:pPr>
        <w:ind w:firstLine="640"/>
      </w:pPr>
      <w:r>
        <w:rPr>
          <w:rFonts w:hint="eastAsia"/>
          <w:lang w:eastAsia="zh-CN"/>
        </w:rPr>
        <w:t>“十四五”</w:t>
      </w:r>
      <w:r>
        <w:rPr>
          <w:rFonts w:hint="eastAsia"/>
        </w:rPr>
        <w:t>至“十五五”期间新建一条旅游专线：晋城东至沁河古堡群磁浮旅游线。路线起点接晋城东站，终点接沁河古堡群（润城砥洎城），全长46.1公里，估算总投资116.4亿元，其中阳城段9.5公里，估算投资约30亿元。规划建设期限为20</w:t>
      </w:r>
      <w:r>
        <w:t>23</w:t>
      </w:r>
      <w:r>
        <w:rPr>
          <w:rFonts w:hint="eastAsia"/>
        </w:rPr>
        <w:t>-20</w:t>
      </w:r>
      <w:r>
        <w:t>28</w:t>
      </w:r>
      <w:r>
        <w:rPr>
          <w:rFonts w:hint="eastAsia"/>
        </w:rPr>
        <w:t>年，目前项目处于前期方案研究阶段。</w:t>
      </w:r>
    </w:p>
    <w:p w14:paraId="5FB2B71C">
      <w:pPr>
        <w:ind w:firstLine="640"/>
      </w:pPr>
      <w:r>
        <w:rPr>
          <w:rFonts w:hint="eastAsia"/>
        </w:rPr>
        <w:t>——阳城县农村公路改造工程</w:t>
      </w:r>
    </w:p>
    <w:p w14:paraId="0B0AF086">
      <w:pPr>
        <w:ind w:firstLine="640"/>
      </w:pPr>
      <w:r>
        <w:rPr>
          <w:rFonts w:hint="eastAsia"/>
        </w:rPr>
        <w:t>根据现状道路通行能力评价分析，稳步推进县道的改造提升，加大对山区道路提升的扶持力度；结合县、乡、村道的布局以及各地间的需求，通过利用即有线路改造提升、新建路段等措施，进一步优化路网格局。另外，继续加大对“四好农村路”的建设，在完成以上农村公路建设工程的同时，完成其它县、乡道改造提升等在内的</w:t>
      </w:r>
      <w:r>
        <w:t>163</w:t>
      </w:r>
      <w:r>
        <w:rPr>
          <w:rFonts w:hint="eastAsia"/>
        </w:rPr>
        <w:t>项工程，新改建里程约</w:t>
      </w:r>
      <w:r>
        <w:t>535.053</w:t>
      </w:r>
      <w:r>
        <w:rPr>
          <w:rFonts w:hint="eastAsia"/>
        </w:rPr>
        <w:t>公里。</w:t>
      </w:r>
    </w:p>
    <w:p w14:paraId="15788A4B">
      <w:pPr>
        <w:pStyle w:val="3"/>
        <w:ind w:firstLine="640"/>
      </w:pPr>
      <w:bookmarkStart w:id="32" w:name="_Toc53133713"/>
      <w:r>
        <w:rPr>
          <w:rFonts w:hint="eastAsia"/>
        </w:rPr>
        <w:t>交通设施养护</w:t>
      </w:r>
      <w:bookmarkEnd w:id="32"/>
    </w:p>
    <w:p w14:paraId="6A91AB34">
      <w:pPr>
        <w:ind w:firstLine="640"/>
      </w:pPr>
      <w:r>
        <w:rPr>
          <w:rFonts w:hint="eastAsia"/>
          <w:lang w:eastAsia="zh-CN"/>
        </w:rPr>
        <w:t>“十四五”</w:t>
      </w:r>
      <w:r>
        <w:rPr>
          <w:rFonts w:hint="eastAsia"/>
        </w:rPr>
        <w:t>期间，</w:t>
      </w:r>
      <w:r>
        <w:rPr>
          <w:rFonts w:cs="Times New Roman"/>
        </w:rPr>
        <w:t>按照省委“四为四高两同步”总体思路要求，牢固树立“建好是基础，管好是手段，护好是保障，运营好是目的”的发展理念，以推进交通强国建设为总抓手，以深化农村公路管养体制改革为动力，以美丽农村路建设为载体，优布局、调结构、转方式、重衔接，统筹推进农村公路建管养运协调发展，努力实现农村公路发展“五个转变”（从“行业主导”向“政府主导”转变、从“规模速度”向“质量效益”转变、从“粗放管理”向“精细管理”转变、从“会战式发展”向“可持续发展”转变、从“单兵推进”向“融合发展”转变），促进城乡交通运输基本公共服务均等化，为巩固脱贫攻坚成果、实施乡村振兴战略提供坚实的交通运输保障。</w:t>
      </w:r>
    </w:p>
    <w:p w14:paraId="0F18B1CE">
      <w:pPr>
        <w:ind w:firstLine="640"/>
      </w:pPr>
      <w:r>
        <w:rPr>
          <w:rFonts w:hint="eastAsia"/>
          <w:lang w:eastAsia="zh-CN"/>
        </w:rPr>
        <w:t>“十四五”</w:t>
      </w:r>
      <w:r>
        <w:rPr>
          <w:rFonts w:hint="eastAsia"/>
        </w:rPr>
        <w:t>期，全面做好公路预防性养护工作，重点做好G</w:t>
      </w:r>
      <w:r>
        <w:t>342</w:t>
      </w:r>
      <w:r>
        <w:rPr>
          <w:rFonts w:hint="eastAsia"/>
        </w:rPr>
        <w:t>国道、S</w:t>
      </w:r>
      <w:r>
        <w:t>229</w:t>
      </w:r>
      <w:r>
        <w:rPr>
          <w:rFonts w:hint="eastAsia"/>
        </w:rPr>
        <w:t>省道等干线公路路面大中修工程及预防性养护，实施完成国省干线大中修</w:t>
      </w:r>
      <w:r>
        <w:t xml:space="preserve">   </w:t>
      </w:r>
      <w:r>
        <w:rPr>
          <w:rFonts w:hint="eastAsia"/>
        </w:rPr>
        <w:t>公里；实施完成农村公路大中修</w:t>
      </w:r>
    </w:p>
    <w:p w14:paraId="7861CD54">
      <w:pPr>
        <w:ind w:firstLine="640"/>
      </w:pPr>
      <w:r>
        <w:rPr>
          <w:rFonts w:hint="eastAsia"/>
        </w:rPr>
        <w:t>公里，使阳城县公路基本达到“畅、安、舒、绿、美、谐”的文明公路标准要求。</w:t>
      </w:r>
    </w:p>
    <w:p w14:paraId="11B2F405">
      <w:pPr>
        <w:pStyle w:val="3"/>
        <w:ind w:firstLine="640"/>
      </w:pPr>
      <w:bookmarkStart w:id="33" w:name="_Toc53133714"/>
      <w:r>
        <w:rPr>
          <w:rFonts w:hint="eastAsia"/>
        </w:rPr>
        <w:t>综合运输服务</w:t>
      </w:r>
      <w:bookmarkEnd w:id="33"/>
    </w:p>
    <w:p w14:paraId="37AF7217">
      <w:pPr>
        <w:pStyle w:val="4"/>
        <w:ind w:firstLine="602"/>
      </w:pPr>
      <w:r>
        <w:rPr>
          <w:rFonts w:hint="eastAsia"/>
        </w:rPr>
        <w:t>客运运输</w:t>
      </w:r>
    </w:p>
    <w:p w14:paraId="2096C0AB">
      <w:pPr>
        <w:ind w:firstLine="640"/>
      </w:pPr>
      <w:r>
        <w:rPr>
          <w:rFonts w:hint="eastAsia"/>
        </w:rPr>
        <w:t>优化运输结构，完善干线和区域运输服务网络。适应铁路客运的快速发展、民用汽车保有量急剧增加、城市交通加剧拥堵等新形势，通过调整运输结构、规范运输市场，充分发挥道路运输灵活便捷的比较优势，实现区域运输、城乡运输、综合运输的协调发展。推动和优化中长途客运资源整合，完善城际、城乡中短途快速客运直达网络。到</w:t>
      </w:r>
      <w:r>
        <w:rPr>
          <w:rFonts w:hint="eastAsia"/>
          <w:lang w:eastAsia="zh-CN"/>
        </w:rPr>
        <w:t>“十四五”</w:t>
      </w:r>
      <w:r>
        <w:rPr>
          <w:rFonts w:hint="eastAsia"/>
        </w:rPr>
        <w:t>末，形成以铁路中长途为核心，公路中短途直达成网，城乡公交全面覆盖的格局。</w:t>
      </w:r>
    </w:p>
    <w:p w14:paraId="01310A29">
      <w:pPr>
        <w:ind w:firstLine="640"/>
      </w:pPr>
      <w:r>
        <w:rPr>
          <w:rFonts w:hint="eastAsia"/>
        </w:rPr>
        <w:t>完善铁路和城乡公交、城区公交的换乘体系。充分利用道路运输灵活机动的特点，大力发展连接火车站、乡镇节点的客运班车，注重城乡巴士与阳城火车站间的连接；加快推进阳城高铁站建设，建设过程中注意与阳城客运站之间的客运换乘功能；加密与通用机场间的机场班车，提高综合运输服务能力。</w:t>
      </w:r>
    </w:p>
    <w:p w14:paraId="7976179E">
      <w:pPr>
        <w:ind w:firstLine="640"/>
      </w:pPr>
      <w:r>
        <w:rPr>
          <w:rFonts w:hint="eastAsia"/>
        </w:rPr>
        <w:t>加大对山区公共交通的扶持力度，切实解决居民出行问题。针对山区学生进镇上学问题，联合相关部门，利用政府补助、社会捐赠等资金配置校车，根据学生家庭住址设置合理的校车路线，并定时定点对偏远山区学生进行接送；同时，要对校车所经路段进行改造提升并达到校车通行标准，对乘坐校车的学生每月收取一定的费用作为司机工资以及校车养护，不足部分由政府财政给予补贴。对于山区居民进镇问题，充分调研各居住点居民的出行特征，设置形成以山区中心镇区为中心，辐射周边各行政村、居民区等的乡村公交环线，合理安排公交发车班次及发车时间，公交车型重点以10座面包车为主，对班车所经路段进行改造提升并达到通行标准；同时，可适当提高票价，车辆购置及日常运行开支费用由县、乡两级政府为出资主体，票价收入及社会捐赠作为补充，切实解决学生进镇上下学，老人进镇、入城等公共出行问题。</w:t>
      </w:r>
    </w:p>
    <w:p w14:paraId="6BDD230C">
      <w:pPr>
        <w:ind w:firstLine="640"/>
      </w:pPr>
      <w:r>
        <w:rPr>
          <w:rFonts w:hint="eastAsia"/>
        </w:rPr>
        <w:t>大力发展公共交通，提高公共交通的快捷和便利程度。落实公交优先发展战略，保障城市公共交通的道路使用权，及时根据城市格局变化新设、延伸、改造常规公交线路，重点加大对公交站点的建设及覆盖面，加密公交客运班次；加强出租汽车管理，合理确定出租汽车运力规模，实现出租汽车运力合理、有序增长；大力推进汽车、自行车租赁系统建设，实现城市定线交通与出租车、汽车、自行车租赁间的协调发展和“零距离”换乘。争取到</w:t>
      </w:r>
      <w:r>
        <w:rPr>
          <w:rFonts w:hint="eastAsia"/>
          <w:lang w:eastAsia="zh-CN"/>
        </w:rPr>
        <w:t>“十四五”</w:t>
      </w:r>
      <w:r>
        <w:rPr>
          <w:rFonts w:hint="eastAsia"/>
        </w:rPr>
        <w:t>末城市公共交通出行分担率明显提升。</w:t>
      </w:r>
    </w:p>
    <w:p w14:paraId="2284C7BA">
      <w:pPr>
        <w:ind w:firstLine="640"/>
      </w:pPr>
      <w:r>
        <w:rPr>
          <w:rFonts w:hint="eastAsia"/>
        </w:rPr>
        <w:t>稳步拓展多样化与个性化旅游客运市场。大力发展包车客运、旅游客运、旅游环线、精品班线、机场快线、商务快客、短途驳载等特色客运业务,建立以主要旅游景区为依托、与干线客运相衔接的区域性旅游客运专线网络。</w:t>
      </w:r>
    </w:p>
    <w:p w14:paraId="25D3F124">
      <w:pPr>
        <w:pStyle w:val="4"/>
        <w:ind w:firstLine="602"/>
      </w:pPr>
      <w:r>
        <w:rPr>
          <w:rFonts w:hint="eastAsia"/>
        </w:rPr>
        <w:t>货运运输与物流服务</w:t>
      </w:r>
    </w:p>
    <w:p w14:paraId="57A6735D">
      <w:pPr>
        <w:ind w:firstLine="640"/>
      </w:pPr>
      <w:r>
        <w:rPr>
          <w:rFonts w:hint="eastAsia"/>
        </w:rPr>
        <w:t>大力推进运输车辆公共停车场和旅游、物流综合服务区建设，发展多式联运。重点推进县城东、北留、润城、演礼、蟒河5个运输车辆公共停车场工程建设，加快推进旅游、物流综合服务平台的改造和建设。重点做好皇城相府、蟒河景区、析城山景区三大综合服务平台改造升级；新建7个县乡公路服务区；积极引导铁路货运与县内物流基地、大型货运场间的信息共享与互联互通，实现多种运输方式数据的高效有机衔接，提高多式联运水平。</w:t>
      </w:r>
    </w:p>
    <w:p w14:paraId="2DDBE875">
      <w:pPr>
        <w:ind w:firstLine="640"/>
      </w:pPr>
      <w:r>
        <w:rPr>
          <w:rFonts w:hint="eastAsia"/>
        </w:rPr>
        <w:t>建设电子商务物流服务体系。鼓励物流企业加强与电子商务企业合作，完善物流网络节点，完善信息共享和利益分配机制；在现有物流空间布局基础上，建设面向阳城县主要网络销售产品区域的电子商务物流节点和支线体系。整合现有物流资源，加快推动快递业、邮政系统和干线运输的横向联盟，提高配送网络的城乡服务能力和农村覆盖面。引导第三方物流企业按电子商务供应链管理要求，主动创新商业模式，开发针对电子商务企业需要的物流服务产品。对县级电子商务服务平台提升，仓储建设，镇、村电商物流服务站点改造，功能完善提升，配送设施配置。</w:t>
      </w:r>
    </w:p>
    <w:p w14:paraId="07ED1E1A">
      <w:pPr>
        <w:ind w:firstLine="640"/>
      </w:pPr>
      <w:r>
        <w:rPr>
          <w:rFonts w:hint="eastAsia"/>
        </w:rPr>
        <w:t>提升发展专业市场物流。依托汽车贸易城、家电建材、农贸综合等产业基地、专业市场，以物流园区建设为契机，推进各类专线物流资源的整合，完善快速专线物流网络。加快引导商贸企业剥离物流业务，交由第三方物流企业运作，促进商贸业与物流业联动；引导商贸物流企业采用先进运作模式，大力发展城市配送、集中配送等，提升全县商贸物流服务能力。</w:t>
      </w:r>
    </w:p>
    <w:p w14:paraId="23D39EAF">
      <w:pPr>
        <w:ind w:firstLine="640"/>
      </w:pPr>
      <w:r>
        <w:rPr>
          <w:rFonts w:hint="eastAsia"/>
        </w:rPr>
        <w:t>提升城市配送服务水平。适应阳城和周边地区需求为目标，推进公共配送中心、中转分拨场站、社区配送网点、物流配送车辆等相关城市配送设施的建设，完善城市配送网络。加强对各类配送主体的引导规范，培育整合一批社会化、专业化的商贸物流配送企业，推行“共同配送”物流运作模式，建立物流联盟，提高统一配送比例。结合阳城智能交通管理平台建设，建立基于地理信息系统（GIS）的城市配送查询系统，适度调整城市快递、商业配送等货运车辆的道路通行规定，不断提高城市配送的交通管理水平。小区、社区布设不同类型的智能快件箱，提供便捷安全的“最后100米”服务。</w:t>
      </w:r>
    </w:p>
    <w:p w14:paraId="3988A13D">
      <w:pPr>
        <w:ind w:firstLine="640"/>
      </w:pPr>
      <w:r>
        <w:rPr>
          <w:rFonts w:hint="eastAsia"/>
        </w:rPr>
        <w:t>推进农村现代物流发展。以“千镇连锁超市、万村便利店”建设为载体，拓展农村物流市场，推进农村现代物流发展；加快推进城乡配送中心、农村货运站、配送网络站等建设；加大扶持力度，支持快递公司设立农村快递配送网点，发展面向农村乡镇企业的小件快递产品的配送和广大农村个体消费者小件产品配送；加快邮政系统开放步伐，促进邮政与交通、商贸物流企业、农村合作社商贸机构合作，支持利用邮政网络体系，建设城乡物流配送体系。整合家电超市配送网、医药系统配送网、烟草系统配送，拓展农村物流市场，联合发展城乡配送。</w:t>
      </w:r>
    </w:p>
    <w:p w14:paraId="24CA52DC">
      <w:pPr>
        <w:pStyle w:val="4"/>
        <w:ind w:firstLine="602"/>
      </w:pPr>
      <w:r>
        <w:rPr>
          <w:rFonts w:hint="eastAsia"/>
        </w:rPr>
        <w:t>运输装备</w:t>
      </w:r>
    </w:p>
    <w:p w14:paraId="0E578ACC">
      <w:pPr>
        <w:ind w:firstLine="640"/>
      </w:pPr>
      <w:r>
        <w:rPr>
          <w:rFonts w:hint="eastAsia"/>
        </w:rPr>
        <w:t>优化公交线路布局，公交车辆更换升级，完善县域公交一体化基础配套设施，提升服务品质。</w:t>
      </w:r>
    </w:p>
    <w:p w14:paraId="367AE3E7">
      <w:pPr>
        <w:ind w:firstLine="640"/>
      </w:pPr>
      <w:r>
        <w:rPr>
          <w:rFonts w:hint="eastAsia"/>
        </w:rPr>
        <w:t>努力提高客运车辆的性能水平。鼓励高效、低耗、安全、舒适的客运车辆发展，在铁路快速发展形成新的市场格局中保持目前中高级营运客车的比重；加大城乡客运车辆的投入，优化乘运环境。到202</w:t>
      </w:r>
      <w:r>
        <w:t>5</w:t>
      </w:r>
      <w:r>
        <w:rPr>
          <w:rFonts w:hint="eastAsia"/>
        </w:rPr>
        <w:t>年，全县9</w:t>
      </w:r>
      <w:r>
        <w:t>9</w:t>
      </w:r>
      <w:r>
        <w:rPr>
          <w:rFonts w:hint="eastAsia"/>
        </w:rPr>
        <w:t>%的建制村通客车，新能源和清洁能源公共汽车比例达到</w:t>
      </w:r>
      <w:r>
        <w:t>98</w:t>
      </w:r>
      <w:r>
        <w:rPr>
          <w:rFonts w:hint="eastAsia"/>
        </w:rPr>
        <w:t>%。</w:t>
      </w:r>
    </w:p>
    <w:p w14:paraId="3395D5AA">
      <w:pPr>
        <w:ind w:firstLine="640"/>
      </w:pPr>
      <w:r>
        <w:rPr>
          <w:rFonts w:hint="eastAsia"/>
        </w:rPr>
        <w:t>积极扶持货运车辆结构调整。鼓励发展厢式运输、甩挂运输和重载化运输，引导运输经营者购买使用节能、环保、标准化车辆，重点引导5吨以上厢式车、20吨以上普通货运车辆和集装箱运输车辆（牵引头和挂车）比重的提高。</w:t>
      </w:r>
    </w:p>
    <w:p w14:paraId="2738A21D">
      <w:pPr>
        <w:ind w:firstLine="640"/>
      </w:pPr>
      <w:r>
        <w:rPr>
          <w:rFonts w:hint="eastAsia"/>
        </w:rPr>
        <w:t>铁路方面，以晋城至侯马城际铁路为依托，以晋城、侯马为节点，开设阳城到河南、西安等地区的城市高铁客运。</w:t>
      </w:r>
    </w:p>
    <w:p w14:paraId="192B82A8">
      <w:pPr>
        <w:pStyle w:val="3"/>
        <w:ind w:firstLine="640"/>
      </w:pPr>
      <w:bookmarkStart w:id="34" w:name="_Toc53133715"/>
      <w:r>
        <w:rPr>
          <w:rFonts w:hint="eastAsia"/>
        </w:rPr>
        <w:t>智慧交通建设</w:t>
      </w:r>
      <w:bookmarkEnd w:id="34"/>
    </w:p>
    <w:p w14:paraId="31D88E47">
      <w:pPr>
        <w:ind w:firstLine="640"/>
      </w:pPr>
      <w:r>
        <w:rPr>
          <w:rFonts w:hint="eastAsia"/>
          <w:lang w:eastAsia="zh-CN"/>
        </w:rPr>
        <w:t>“十四五”</w:t>
      </w:r>
      <w:r>
        <w:rPr>
          <w:rFonts w:hint="eastAsia"/>
        </w:rPr>
        <w:t>期间，将以先进的信息技术为支撑，推动交通运输现代化、智能化，以智慧交通系统为依托，以交通综合信息中心为载体，以交通信息采集、交换、服务和指挥决策为主线，利用物联网、移动互联网、云计算等技术，着力构建阳城县智慧交通服务、监督、指挥框架体系，全面提升阳城县交通运输管理与服务水平，最终实现“人、车、路、环境”和谐发展。重点推进智能交通基础设施建设；提升区域交通数据采集体系，实现数据的交互共享；推广城乡公共交通智能系统建设；推进阳城智慧交通运行、管理、评估机制建设。</w:t>
      </w:r>
    </w:p>
    <w:p w14:paraId="59977C9D">
      <w:pPr>
        <w:ind w:firstLine="640"/>
      </w:pPr>
      <w:r>
        <w:rPr>
          <w:rFonts w:hint="eastAsia"/>
        </w:rPr>
        <w:t>加快推进智能交通基础设施建设。快速推进阳城县智慧交通综合信息中心、阳城智慧公路、智慧客运站等项目的建设，打造成为阳城交通管理的信息枢纽中心、出行服务中心、智慧决策中心，同时作为晋城市“智慧交通”框架体系内的一个必不可少的组成部分。重点建设以满足数据采集和应用系统的发布、交通相关的视频资源的整合和发布、交通信息采集和感知系统建设、阳城县智慧交通综合信息中心建设以及网络的升级改造；加大对云计算、大数据、物联网、电子车牌等现代信息技术在交通运输领域的推广应用；加快完善高速公路ETC不停车收费系统，提升ETC用户量，建议在晋运、晋阳等高速的收费站建设多条ETC车道，并在高速收费站改造多条ETC车道。</w:t>
      </w:r>
    </w:p>
    <w:p w14:paraId="393DA0D3">
      <w:pPr>
        <w:ind w:firstLine="640"/>
      </w:pPr>
      <w:r>
        <w:rPr>
          <w:rFonts w:hint="eastAsia"/>
        </w:rPr>
        <w:t>加快完善提升区域交通数据采集体系。以智慧交通综合信息中心建设为依托，完善现有的数据采集体系，横向增加与交通相关部门的数据互动，纵向增加重点场站、路段、交通运输工具和交通设施设备的运行监测，科学分析数据，运用于路政现场执法、养护站日常养护等日常管理工作中，保障交通运输的安全。围绕出行服务、行业管理和智慧决策三大目标，设计建设相应的应用系统。在数据采集和数据中心建设的基础上，设计建设综合信息监测、公众出行信息服务、应急指挥、智慧电召和监管服务等系统。</w:t>
      </w:r>
    </w:p>
    <w:p w14:paraId="4BF7DEC4">
      <w:pPr>
        <w:ind w:firstLine="640"/>
      </w:pPr>
      <w:r>
        <w:rPr>
          <w:rFonts w:hint="eastAsia"/>
        </w:rPr>
        <w:t>推广城乡公共交通智能系统建设。大力完善公交智能调度系统和智能站牌信息显示系统；推广普及城市公交和城乡公交“一卡通”，积极构建与周边县（市、区）公交一卡通互联互通，提升“一卡通”的使用范围和功能；建设动态停车诱导智能化系统，推进动态车载导航系统的研发与产业化应用；提升城乡公交GPS覆盖率达100%；引导“专车服务”、“代驾服务”等在阳城县规范化运营。</w:t>
      </w:r>
    </w:p>
    <w:p w14:paraId="48AEFB61">
      <w:pPr>
        <w:ind w:firstLine="640"/>
      </w:pPr>
      <w:r>
        <w:rPr>
          <w:rFonts w:hint="eastAsia"/>
        </w:rPr>
        <w:t>加快推进阳城智慧交通运行、管理、评估机制建设。结合市智慧交通建设与运行管理的机制与本县发展情况，形成一套既符合实际又切实可行的阳城县智慧交通运行管理和评估机制。明确相关部门的职责，岗位职责，配套人才、资金保障机制，后期运行维护机制等，通过制度文件，保障智慧交通平台稳定可持续化运行。</w:t>
      </w:r>
    </w:p>
    <w:p w14:paraId="41A4AFB3">
      <w:pPr>
        <w:ind w:firstLine="640"/>
      </w:pPr>
      <w:r>
        <w:rPr>
          <w:rFonts w:hint="eastAsia"/>
        </w:rPr>
        <w:t xml:space="preserve">表4-6 </w:t>
      </w:r>
      <w:r>
        <w:rPr>
          <w:rFonts w:hint="eastAsia"/>
          <w:lang w:eastAsia="zh-CN"/>
        </w:rPr>
        <w:t>“十四五”</w:t>
      </w:r>
      <w:r>
        <w:rPr>
          <w:rFonts w:hint="eastAsia"/>
        </w:rPr>
        <w:t>期阳城智慧交通建设重点项目</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4429"/>
        <w:gridCol w:w="1741"/>
        <w:gridCol w:w="2227"/>
      </w:tblGrid>
      <w:tr w14:paraId="343A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6" w:type="pct"/>
            <w:vAlign w:val="center"/>
          </w:tcPr>
          <w:p w14:paraId="012CA736">
            <w:pPr>
              <w:pStyle w:val="29"/>
            </w:pPr>
            <w:r>
              <w:rPr>
                <w:rFonts w:hint="eastAsia"/>
              </w:rPr>
              <w:t>序号</w:t>
            </w:r>
          </w:p>
        </w:tc>
        <w:tc>
          <w:tcPr>
            <w:tcW w:w="2444" w:type="pct"/>
            <w:vAlign w:val="center"/>
          </w:tcPr>
          <w:p w14:paraId="3354D9DE">
            <w:pPr>
              <w:pStyle w:val="29"/>
            </w:pPr>
            <w:r>
              <w:rPr>
                <w:rFonts w:hint="eastAsia"/>
              </w:rPr>
              <w:t>建设内容</w:t>
            </w:r>
          </w:p>
        </w:tc>
        <w:tc>
          <w:tcPr>
            <w:tcW w:w="961" w:type="pct"/>
            <w:vAlign w:val="center"/>
          </w:tcPr>
          <w:p w14:paraId="417F73B8">
            <w:pPr>
              <w:pStyle w:val="29"/>
            </w:pPr>
            <w:r>
              <w:rPr>
                <w:rFonts w:hint="eastAsia"/>
              </w:rPr>
              <w:t>投资估算（万）</w:t>
            </w:r>
          </w:p>
        </w:tc>
        <w:tc>
          <w:tcPr>
            <w:tcW w:w="1229" w:type="pct"/>
            <w:vAlign w:val="center"/>
          </w:tcPr>
          <w:p w14:paraId="6FAA689B">
            <w:pPr>
              <w:pStyle w:val="29"/>
            </w:pPr>
            <w:r>
              <w:rPr>
                <w:rFonts w:hint="eastAsia"/>
              </w:rPr>
              <w:t>建设单位</w:t>
            </w:r>
          </w:p>
        </w:tc>
      </w:tr>
      <w:tr w14:paraId="7467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6" w:type="pct"/>
            <w:vAlign w:val="center"/>
          </w:tcPr>
          <w:p w14:paraId="7058D033">
            <w:pPr>
              <w:pStyle w:val="29"/>
            </w:pPr>
            <w:r>
              <w:t>1</w:t>
            </w:r>
          </w:p>
        </w:tc>
        <w:tc>
          <w:tcPr>
            <w:tcW w:w="2444" w:type="pct"/>
            <w:vAlign w:val="center"/>
          </w:tcPr>
          <w:p w14:paraId="1CB91A50">
            <w:pPr>
              <w:pStyle w:val="29"/>
            </w:pPr>
            <w:r>
              <w:rPr>
                <w:rFonts w:hint="eastAsia"/>
              </w:rPr>
              <w:t>智慧公交站牌建设项目</w:t>
            </w:r>
          </w:p>
        </w:tc>
        <w:tc>
          <w:tcPr>
            <w:tcW w:w="961" w:type="pct"/>
            <w:vAlign w:val="center"/>
          </w:tcPr>
          <w:p w14:paraId="0844B803">
            <w:pPr>
              <w:pStyle w:val="29"/>
              <w:rPr>
                <w:color w:val="000000"/>
              </w:rPr>
            </w:pPr>
            <w:r>
              <w:rPr>
                <w:color w:val="000000"/>
              </w:rPr>
              <w:t>3000</w:t>
            </w:r>
          </w:p>
        </w:tc>
        <w:tc>
          <w:tcPr>
            <w:tcW w:w="1229" w:type="pct"/>
            <w:vAlign w:val="center"/>
          </w:tcPr>
          <w:p w14:paraId="7365C54E">
            <w:pPr>
              <w:pStyle w:val="29"/>
            </w:pPr>
            <w:r>
              <w:rPr>
                <w:rFonts w:hint="eastAsia"/>
              </w:rPr>
              <w:t>县交通运输局</w:t>
            </w:r>
          </w:p>
        </w:tc>
      </w:tr>
      <w:tr w14:paraId="1EA2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6" w:type="pct"/>
            <w:vAlign w:val="center"/>
          </w:tcPr>
          <w:p w14:paraId="17741CD1">
            <w:pPr>
              <w:pStyle w:val="29"/>
            </w:pPr>
            <w:r>
              <w:t>2</w:t>
            </w:r>
          </w:p>
        </w:tc>
        <w:tc>
          <w:tcPr>
            <w:tcW w:w="2444" w:type="pct"/>
            <w:vAlign w:val="center"/>
          </w:tcPr>
          <w:p w14:paraId="608F57BF">
            <w:pPr>
              <w:pStyle w:val="29"/>
            </w:pPr>
            <w:r>
              <w:rPr>
                <w:rFonts w:hint="eastAsia"/>
              </w:rPr>
              <w:t>智慧型二级客运站建设项目</w:t>
            </w:r>
          </w:p>
        </w:tc>
        <w:tc>
          <w:tcPr>
            <w:tcW w:w="961" w:type="pct"/>
            <w:vAlign w:val="center"/>
          </w:tcPr>
          <w:p w14:paraId="3AF1DB6C">
            <w:pPr>
              <w:pStyle w:val="29"/>
              <w:rPr>
                <w:color w:val="000000"/>
              </w:rPr>
            </w:pPr>
            <w:r>
              <w:rPr>
                <w:color w:val="000000"/>
              </w:rPr>
              <w:t>20000</w:t>
            </w:r>
          </w:p>
        </w:tc>
        <w:tc>
          <w:tcPr>
            <w:tcW w:w="1229" w:type="pct"/>
            <w:vAlign w:val="center"/>
          </w:tcPr>
          <w:p w14:paraId="167347A8">
            <w:pPr>
              <w:pStyle w:val="29"/>
            </w:pPr>
            <w:r>
              <w:rPr>
                <w:rFonts w:hint="eastAsia"/>
              </w:rPr>
              <w:t>县交通运输局</w:t>
            </w:r>
          </w:p>
        </w:tc>
      </w:tr>
    </w:tbl>
    <w:p w14:paraId="0EED8198">
      <w:pPr>
        <w:pStyle w:val="3"/>
        <w:ind w:firstLine="640"/>
      </w:pPr>
      <w:bookmarkStart w:id="35" w:name="_Toc53133716"/>
      <w:r>
        <w:rPr>
          <w:rFonts w:hint="eastAsia"/>
        </w:rPr>
        <w:t>绿色交通建设</w:t>
      </w:r>
      <w:bookmarkEnd w:id="35"/>
    </w:p>
    <w:p w14:paraId="50198BAD">
      <w:pPr>
        <w:ind w:firstLine="640"/>
      </w:pPr>
      <w:r>
        <w:rPr>
          <w:rFonts w:hint="eastAsia"/>
        </w:rPr>
        <w:t>以优化交通网络、提升运输产业、推动科技技术创新、促进行业文明为重点，强势推进绿色交通建设。</w:t>
      </w:r>
    </w:p>
    <w:p w14:paraId="6ED47C3D">
      <w:pPr>
        <w:ind w:firstLine="640"/>
      </w:pPr>
      <w:r>
        <w:rPr>
          <w:rFonts w:hint="eastAsia"/>
        </w:rPr>
        <w:t>优化交通基础设施网络结构。进一步优化交通基础设施网络结构，增强道路通行能力和运营服务水平，加大对沥青路面废旧材料的再生利用，逐步降低每公里公路隧道照明耗能，加大对干线公路预防性养护比率；大力推进“蓝天、碧水、绿野、净土”四大生态保护工程，加大对非公路标牌、违法建筑物等拆违工作，提高土地资源集约利用率和边坡复率及绿化里程；加快推进美丽公路创建工作；加大对已建交通绿道、休闲点的养护工作，持续推进交通绿道建设；围绕新建项目建设，注重城市绿色交通系统开发，以效率为优先，打造快行交通与慢性交通有机结合的城市绿色交通系统；同时，加快推进绿色低碳公共交通的建设步伐。</w:t>
      </w:r>
    </w:p>
    <w:p w14:paraId="11636718">
      <w:pPr>
        <w:ind w:firstLine="640"/>
      </w:pPr>
      <w:r>
        <w:rPr>
          <w:rFonts w:hint="eastAsia"/>
        </w:rPr>
        <w:t>优化企业结构和运力结构。进一步优化企业结构和运力结构，提高运输效率和资源的利用率，提高公路运输与其它运输方式的衔接，提高各种运输方式之间的转换效率和利用效率；完善机动车环保合格标志管理，全面完成“黄标车”及老旧车淘汰，发放机动车环保合格标志达9</w:t>
      </w:r>
      <w:r>
        <w:t>8</w:t>
      </w:r>
      <w:r>
        <w:rPr>
          <w:rFonts w:hint="eastAsia"/>
        </w:rPr>
        <w:t>%以上；大力发展公共交通，加快更新老旧公交车，提高新能源、节能环保公交车辆比例达</w:t>
      </w:r>
      <w:r>
        <w:t>98</w:t>
      </w:r>
      <w:r>
        <w:rPr>
          <w:rFonts w:hint="eastAsia"/>
        </w:rPr>
        <w:t>%。</w:t>
      </w:r>
    </w:p>
    <w:p w14:paraId="53A8DA76">
      <w:pPr>
        <w:ind w:firstLine="640"/>
      </w:pPr>
      <w:r>
        <w:rPr>
          <w:rFonts w:hint="eastAsia"/>
        </w:rPr>
        <w:t>提高科技创新对绿色交通发展的贡献度。加大科技经费投入，加快节能减排、能源节约与替代以及有利于生态建设的相关技术成果研发及引进；加快现代管理、决策支持等技术的研发应用，努力实现基础设施利用效率的最大化；加快推广现代信息技术和智能交通技术，建立和完善资源共享的行业管理信息平台和公共信息服务平台；引导企业加大技改投入，积极推广节能减排新技术。</w:t>
      </w:r>
    </w:p>
    <w:p w14:paraId="4EF5C149">
      <w:pPr>
        <w:ind w:firstLine="640"/>
      </w:pPr>
      <w:r>
        <w:rPr>
          <w:rFonts w:hint="eastAsia"/>
        </w:rPr>
        <w:t>促进行业文明，树立绿色交通理念。积极开展树立绿色交通理念、挖掘绿色交通典型、培育绿色交通文化的活动；加强废机油、铅蓄电池等危险废物管理；加强领导，做好制度建设、宣传教育、督查落实等工作；利用多种大众媒体及时宣传国家、行业的各项政策、法规及标准，广泛进行生态交通宣传教育及培训活动；组织公众参与，鼓励检举揭发违反生态环境保护法律法规的行为，奖励为绿色交通建设</w:t>
      </w:r>
      <w:r>
        <w:rPr>
          <w:rFonts w:hint="eastAsia"/>
          <w:lang w:eastAsia="zh-CN"/>
        </w:rPr>
        <w:t>作出</w:t>
      </w:r>
      <w:r>
        <w:rPr>
          <w:rFonts w:hint="eastAsia"/>
        </w:rPr>
        <w:t>突出贡献的单位个人；培育生态文化，增强资源与环境忧患意识，倡导绿色消费、资源节约的生活方式。</w:t>
      </w:r>
    </w:p>
    <w:p w14:paraId="235FF855">
      <w:pPr>
        <w:pStyle w:val="3"/>
        <w:ind w:firstLine="640"/>
      </w:pPr>
      <w:bookmarkStart w:id="36" w:name="_Toc53133717"/>
      <w:r>
        <w:rPr>
          <w:rFonts w:hint="eastAsia"/>
        </w:rPr>
        <w:t>平安交通建设</w:t>
      </w:r>
      <w:bookmarkEnd w:id="36"/>
    </w:p>
    <w:p w14:paraId="4E9FDBCC">
      <w:pPr>
        <w:ind w:firstLine="640"/>
      </w:pPr>
      <w:r>
        <w:rPr>
          <w:rFonts w:hint="eastAsia"/>
        </w:rPr>
        <w:t>实施公路安全生命防护工程。根据《山西省人民政府办公厅关于实施公路安全生命防护工程的通知》（晋政办发[2015]</w:t>
      </w:r>
      <w:r>
        <w:t>68</w:t>
      </w:r>
      <w:r>
        <w:rPr>
          <w:rFonts w:hint="eastAsia"/>
        </w:rPr>
        <w:t>号）要求，加快实施公路安全生命防护工程，制订公路安全生命防护工程规划和分年实施计划。</w:t>
      </w:r>
      <w:r>
        <w:rPr>
          <w:rFonts w:hint="eastAsia"/>
          <w:lang w:eastAsia="zh-CN"/>
        </w:rPr>
        <w:t>“十四五”</w:t>
      </w:r>
      <w:r>
        <w:rPr>
          <w:rFonts w:hint="eastAsia"/>
        </w:rPr>
        <w:t>期间，全面完成国省道公路安全隐患治理工作，以四类危桥为重点实施对农村公路的桥梁进行改造；以农村公路急弯陡坡、临水临崖等为重点路段，完善农村公路安保设施；至</w:t>
      </w:r>
      <w:r>
        <w:rPr>
          <w:rFonts w:hint="eastAsia"/>
          <w:lang w:eastAsia="zh-CN"/>
        </w:rPr>
        <w:t>“十四五”</w:t>
      </w:r>
      <w:r>
        <w:rPr>
          <w:rFonts w:hint="eastAsia"/>
        </w:rPr>
        <w:t>末，基本完成乡道及以上行政等级公路安全隐患治理，实现农村公路交通安全基础设施明显改善，公路交通安全综合治理能力全面提升。</w:t>
      </w:r>
    </w:p>
    <w:p w14:paraId="44A243B4">
      <w:pPr>
        <w:ind w:firstLine="640"/>
      </w:pPr>
      <w:r>
        <w:rPr>
          <w:rFonts w:hint="eastAsia"/>
        </w:rPr>
        <w:t>完善安全生产管理体系。编制完善交通安全生产规划，制订和完善安全生产产业政策和技术标准，健全安全生产规章制度，推动行业安全生产标准化建设。建立严格的安全准入和淘汰机制，建立交通安全生产职业资格制度和从业单位、人员定期考核评估制度；加强安全和应急管理培训，提高专业知识和技能，从事高危行业人员、工程施工“三类”人员、客运驾驶员、危险品运输驾驶员及押运员须经培训合格后持证上岗，从源头上保证参与交通运输的车、公司和从业人员的安全基本条件。继续认真开展“安全生产十大专项整治”、“打非治违”、“治超专项整治行动等专项活动”，通过多种稽查、管理、宣传手段并施，规范交通安全生产经营。</w:t>
      </w:r>
    </w:p>
    <w:p w14:paraId="5ED85CD4">
      <w:pPr>
        <w:ind w:firstLine="640"/>
      </w:pPr>
      <w:r>
        <w:rPr>
          <w:rFonts w:hint="eastAsia"/>
        </w:rPr>
        <w:t>强化综合交通安全保障体系建设。继续实施临水、临崖路段安全设施完善工程、危险路段整治工程、危病桥隧修复改造等工程。加强技术与管理创新，完善铁路运输安全保障体系</w:t>
      </w:r>
    </w:p>
    <w:p w14:paraId="2B361EE9">
      <w:pPr>
        <w:ind w:firstLine="640"/>
      </w:pPr>
      <w:r>
        <w:rPr>
          <w:rFonts w:hint="eastAsia"/>
        </w:rPr>
        <w:t>建立“两客一危”车辆监测监控系统。健全营运车辆和城市公共交通工具的维护检查和验收制度，严格安全维护和检测机构的资格管理。对“两客一危”车辆（长途客车、客运包车、危险货物运输车等）和重点营运货车的安全技术状态和运行状况全面实施跟踪监测和动态监管，一、二、三类营运客车、旅游包车和危险品运输车辆实现GPS联网联控管理。</w:t>
      </w:r>
    </w:p>
    <w:p w14:paraId="20E9A2AB">
      <w:pPr>
        <w:ind w:firstLine="640"/>
      </w:pPr>
      <w:r>
        <w:rPr>
          <w:rFonts w:hint="eastAsia"/>
        </w:rPr>
        <w:t>完善交通安全应急预案体系建设。按照省、市制定的应急体系和交通行业应急预案体系框架，完善县级交通应急预案，建立健全公路、道路运输、工程质量安全监管等行业应急预案，提升应对交通运输重（特）大事故、交通环境污染以及自然灾害突发事件的应急处置能力；充分发挥科技创新对交通安全保障的重要支撑作用，建立健全相应的交通安全预警系统，配置相应的应急处置技术装备和物资储备；加强安全救助系统建设，科学布局建设应急设施，提高应急反应速度和救援成功率，各类应急救援到达时间都要达到省、市指标要求。</w:t>
      </w:r>
    </w:p>
    <w:p w14:paraId="61747659">
      <w:pPr>
        <w:pStyle w:val="3"/>
        <w:ind w:firstLine="640"/>
      </w:pPr>
      <w:bookmarkStart w:id="37" w:name="_Toc53133718"/>
      <w:r>
        <w:rPr>
          <w:rFonts w:hint="eastAsia"/>
        </w:rPr>
        <w:t>全面深化改革</w:t>
      </w:r>
      <w:bookmarkEnd w:id="37"/>
    </w:p>
    <w:p w14:paraId="5248A6EF">
      <w:pPr>
        <w:ind w:firstLine="640"/>
      </w:pPr>
      <w:r>
        <w:rPr>
          <w:rFonts w:hint="eastAsia"/>
        </w:rPr>
        <w:t>紧跟省、市交通部门管理体制步伐，深化交通运输行政管理体制改革，坚持以政府职能转变为核心，加快推进政企、政资、政事、政府与市场中介组织分开，切实加强宏观管理，更加注重公共服务，着力改进职能手段，进一步理顺职能关系，优化职能结构，全面、正确、高效地履行好行业管理的政府职能；加快形成城乡一体的综合交通运输体系，积极探索实行职能有机统一的大部门体制。</w:t>
      </w:r>
    </w:p>
    <w:p w14:paraId="7C33AC62">
      <w:pPr>
        <w:ind w:firstLine="640"/>
        <w:sectPr>
          <w:headerReference r:id="rId19" w:type="default"/>
          <w:pgSz w:w="11906" w:h="16838"/>
          <w:pgMar w:top="1701" w:right="1531" w:bottom="1531" w:left="1531" w:header="851" w:footer="992" w:gutter="0"/>
          <w:cols w:space="425" w:num="1"/>
          <w:docGrid w:type="lines" w:linePitch="312" w:charSpace="0"/>
        </w:sectPr>
      </w:pPr>
      <w:r>
        <w:rPr>
          <w:rFonts w:hint="eastAsia"/>
        </w:rPr>
        <w:t>努力适应财政部门日趋严格的资金监管体制，积极破解资金、体制、机制瓶颈制约，进一步提升依法理财、科学理财、节约理财的财务服务水平和服务能力，确保资金有效供给和安全有效使用。主动适应财政改革，创新观念和方式方法，进一步理顺资金保障新机制。研究出台交通债务管理实施意见，积极争取并加强有利于交通运输行业发展的融资政策研究，改革创新投融资体制、机制。</w:t>
      </w:r>
    </w:p>
    <w:p w14:paraId="62582215">
      <w:pPr>
        <w:ind w:firstLine="640"/>
        <w:sectPr>
          <w:type w:val="continuous"/>
          <w:pgSz w:w="11906" w:h="16838"/>
          <w:pgMar w:top="1701" w:right="1531" w:bottom="1531" w:left="1531" w:header="851" w:footer="992" w:gutter="0"/>
          <w:cols w:space="425" w:num="1"/>
          <w:docGrid w:type="lines" w:linePitch="312" w:charSpace="0"/>
        </w:sectPr>
      </w:pPr>
    </w:p>
    <w:p w14:paraId="2638DA85">
      <w:pPr>
        <w:pStyle w:val="2"/>
        <w:spacing w:before="156" w:after="156"/>
      </w:pPr>
      <w:bookmarkStart w:id="38" w:name="_Toc453006626"/>
      <w:bookmarkStart w:id="39" w:name="_Toc53133719"/>
      <w:r>
        <w:rPr>
          <w:rFonts w:hint="eastAsia"/>
        </w:rPr>
        <w:t>环境影响评价</w:t>
      </w:r>
      <w:bookmarkEnd w:id="38"/>
      <w:bookmarkEnd w:id="39"/>
    </w:p>
    <w:p w14:paraId="5848E44C">
      <w:pPr>
        <w:pStyle w:val="3"/>
        <w:ind w:firstLine="640"/>
      </w:pPr>
      <w:bookmarkStart w:id="40" w:name="_Toc53133720"/>
      <w:r>
        <w:rPr>
          <w:rFonts w:hint="eastAsia"/>
        </w:rPr>
        <w:t>环境影响因素</w:t>
      </w:r>
      <w:bookmarkEnd w:id="40"/>
    </w:p>
    <w:p w14:paraId="7BC3CA46">
      <w:pPr>
        <w:ind w:firstLine="640"/>
      </w:pPr>
      <w:r>
        <w:rPr>
          <w:rFonts w:hint="eastAsia"/>
        </w:rPr>
        <w:t>工程建设对生态环境的主要影响因素包括农田占用、植被破坏、水土流失，施工场地的扬尘、污水、泥沙和噪声，以及港口对海洋环境影响等。交通营运对生态环境的主要影响因素包括危险品运输可能造成污染事故，交通工具的噪声污染，交通集散场所的污水排放等。交通运输对社会环境影响的主要因素包括征用大量的房屋、土地和海域，将会对农业生产和居民生活产生一定的影响，机场对周边地区净空条件形成约束等。</w:t>
      </w:r>
    </w:p>
    <w:p w14:paraId="30C22779">
      <w:pPr>
        <w:pStyle w:val="3"/>
        <w:ind w:firstLine="640"/>
      </w:pPr>
      <w:bookmarkStart w:id="41" w:name="_Toc53133721"/>
      <w:r>
        <w:rPr>
          <w:rFonts w:hint="eastAsia"/>
        </w:rPr>
        <w:t>环境保护要求</w:t>
      </w:r>
      <w:bookmarkEnd w:id="41"/>
    </w:p>
    <w:p w14:paraId="63E03940">
      <w:pPr>
        <w:ind w:firstLine="640"/>
      </w:pPr>
      <w:r>
        <w:rPr>
          <w:rFonts w:hint="eastAsia"/>
        </w:rPr>
        <w:t>设计阶段，重点合理设计项目线路走向和场站选址，尽可能避绕水源地、湿地、自然保护区、森林公园等生态敏感区，与当地城镇体系规划、环境规划、海洋环境保护规划、生态功能区规划和近岸海域环境功能区划做好衔接，制定合理的建设方案，尽可能减少对植被和自然环境的破坏，尽量不占用基本农田、基干林带，避免直接排污进入水域，充分考虑各项减噪措施。施工阶段，合理安排工期、工序，防治水土流失，处理好施工污水等，防治水污染，采取场地洒水、密闭式运输等，防治大气污染，可能选用低噪声的施工机械等，防治噪声污染。营运阶段，要严格控制尾气排放未达标车辆上路，居民密集区应禁止车辆鸣笛，使用吸声路面材料铺设或建隔声屏障，对危险品的运输安全采取应急措施。</w:t>
      </w:r>
    </w:p>
    <w:p w14:paraId="7D3211EA">
      <w:pPr>
        <w:pStyle w:val="3"/>
        <w:ind w:firstLine="640"/>
      </w:pPr>
      <w:bookmarkStart w:id="42" w:name="_Toc53133722"/>
      <w:r>
        <w:rPr>
          <w:rFonts w:hint="eastAsia"/>
        </w:rPr>
        <w:t>环境保护措施</w:t>
      </w:r>
      <w:bookmarkEnd w:id="42"/>
    </w:p>
    <w:p w14:paraId="1D0FB21F">
      <w:pPr>
        <w:ind w:firstLine="640"/>
      </w:pPr>
      <w:r>
        <w:rPr>
          <w:rFonts w:hint="eastAsia"/>
        </w:rPr>
        <w:t>本规划涉及的交通运输发展项目，必须全面考虑环境影响因素和环境保护要求，严格执行交通建设规划、建设项目环境影响评价制度，全面开展工程环保设计、工程环境监理和施工期及运营期环境监测，逐步开展运营工程的环保后评估工作，加大对建设项目环境保护“三同时”执行情况的监督检查力度。交通运输项目建设营运全过程，都要落实节能减排、环境保护目标责任制，并纳入绩效考核体系。</w:t>
      </w:r>
    </w:p>
    <w:p w14:paraId="4D2F4A89">
      <w:pPr>
        <w:ind w:firstLine="640"/>
      </w:pPr>
      <w:r>
        <w:rPr>
          <w:rFonts w:hint="eastAsia"/>
        </w:rPr>
        <w:t>公路网规划的环境保护对策分为规划期、实施建设期和营运期三个阶段。</w:t>
      </w:r>
    </w:p>
    <w:p w14:paraId="6A97CE31">
      <w:pPr>
        <w:pStyle w:val="4"/>
        <w:ind w:firstLine="602"/>
      </w:pPr>
      <w:r>
        <w:rPr>
          <w:rFonts w:hint="eastAsia"/>
        </w:rPr>
        <w:t>规划期</w:t>
      </w:r>
    </w:p>
    <w:p w14:paraId="54DF78D5">
      <w:pPr>
        <w:ind w:firstLine="640"/>
      </w:pPr>
      <w:r>
        <w:rPr>
          <w:rFonts w:hint="eastAsia"/>
        </w:rPr>
        <w:t>1、加强公路网与相关规划的协调联系。包括环保规划、城市总体规划、土地利用规划等。在公路选线和建设过程中应严格落实环境影响评价和环保“三同时”制度。</w:t>
      </w:r>
    </w:p>
    <w:p w14:paraId="65CC7134">
      <w:pPr>
        <w:ind w:firstLine="640"/>
      </w:pPr>
      <w:r>
        <w:rPr>
          <w:rFonts w:hint="eastAsia"/>
        </w:rPr>
        <w:t>2、从维护和强化整体山水格局的连续性出发，因地制宜确定相关公路的线路，尽可能避让线路通过环保规划确定的严格控制区，包括自然保护区、典型原生生态系统、珍稀物种栖息地、集中式饮用水源地及后备水源地、水土流失极敏感区、重要湿地区、生物迁徙回游通道与产卵索饵繁殖区等。</w:t>
      </w:r>
    </w:p>
    <w:p w14:paraId="555270E7">
      <w:pPr>
        <w:ind w:firstLine="640"/>
      </w:pPr>
      <w:r>
        <w:rPr>
          <w:rFonts w:hint="eastAsia"/>
        </w:rPr>
        <w:t>3、在满足技术标准和不偏离总方向的前提下，充分合理利用地形，尽可能地减少拆迁，尽量利用既有公路进行改建或扩建，新建线路选线时应尽量避免或少占农田和林地，充分利用荒地、山地，同时避免水土流失。</w:t>
      </w:r>
    </w:p>
    <w:p w14:paraId="0D7FFFA8">
      <w:pPr>
        <w:ind w:firstLine="640"/>
      </w:pPr>
      <w:r>
        <w:rPr>
          <w:rFonts w:hint="eastAsia"/>
        </w:rPr>
        <w:t>4、公路线路规划时应与沿线城镇规划相协调，遵循“靠而不进，离而不远”的原则，尽量避免穿越人口众多的城镇，学校、医院和文物景点等，以减少公路建设以及运营过程中对人们的生产、生活产生不利影响。</w:t>
      </w:r>
    </w:p>
    <w:p w14:paraId="40C2F545">
      <w:pPr>
        <w:ind w:firstLine="640"/>
      </w:pPr>
      <w:r>
        <w:rPr>
          <w:rFonts w:hint="eastAsia"/>
        </w:rPr>
        <w:t>5、设置足够的桥涵、通道及防护工程，尽量维持原有农、林、水利格局，保持原有的自然状态，在动物迁移、觅食活动区建立相应的生物通道涵洞；在合理位置设置必要数量的排水构造物，使公路上的水不直接排向两侧居民生活区、农田、菜地和鱼塘，特别防范对饮用水源的污染；在道路两侧建立一定范围的防护林带或绿色隔离带。</w:t>
      </w:r>
    </w:p>
    <w:p w14:paraId="13D888B7">
      <w:pPr>
        <w:ind w:firstLine="640"/>
      </w:pPr>
      <w:r>
        <w:rPr>
          <w:rFonts w:hint="eastAsia"/>
        </w:rPr>
        <w:t>6、综合考虑生态环境和社会环境的影响，广泛选择，深入比较，寻求最佳线位，合理决定高架桥、互通立交的位置和数量，方便沿线群众的生产、生活和经济开发的要求。</w:t>
      </w:r>
    </w:p>
    <w:p w14:paraId="505A9F02">
      <w:pPr>
        <w:ind w:firstLine="640"/>
      </w:pPr>
      <w:r>
        <w:rPr>
          <w:rFonts w:hint="eastAsia"/>
        </w:rPr>
        <w:t>7、在地形复杂的山岭区，公路的技术标准根据实际情况可适当降低，以减少工程投资、土地占用及其对环境的不利影响。</w:t>
      </w:r>
    </w:p>
    <w:p w14:paraId="3FF77723">
      <w:pPr>
        <w:ind w:firstLine="640"/>
      </w:pPr>
      <w:r>
        <w:rPr>
          <w:rFonts w:hint="eastAsia"/>
        </w:rPr>
        <w:t>8、在平原地区，当路基边坡高度过高时，为避免填土对原有土地及水系的破坏，应尽量避免高路基。</w:t>
      </w:r>
    </w:p>
    <w:p w14:paraId="6E7DEEE8">
      <w:pPr>
        <w:ind w:firstLine="640"/>
      </w:pPr>
      <w:r>
        <w:rPr>
          <w:rFonts w:hint="eastAsia"/>
        </w:rPr>
        <w:t>9、阳城县境内生态环境优美，旅游资源丰富，在公路选线时应注意处理好保持优美的自然景观和为旅游景点服务之间的关系，应尽量避绕经过不宜穿越的地区，在大力促进旅游资源开发的同时尽量减少公路建设对自然环境和旅游资源的破坏。</w:t>
      </w:r>
    </w:p>
    <w:p w14:paraId="10EED166">
      <w:pPr>
        <w:pStyle w:val="4"/>
        <w:ind w:firstLine="602"/>
      </w:pPr>
      <w:r>
        <w:rPr>
          <w:rFonts w:hint="eastAsia"/>
        </w:rPr>
        <w:t>建设期</w:t>
      </w:r>
    </w:p>
    <w:p w14:paraId="2827C75A">
      <w:pPr>
        <w:ind w:firstLine="640"/>
      </w:pPr>
      <w:r>
        <w:rPr>
          <w:rFonts w:hint="eastAsia"/>
        </w:rPr>
        <w:t>公路建设期和营运期具有对生态环境呈线状性影响的特点。路网施工时，各种机械会产生较大的噪声和振动，应严格按照《建筑施工场界噪声限值》（GB12523—90）标准和《声环境质量标准》（GB3096—2008）标准要求进行控制。对施工机械和运输车辆加强管理，限定施工时间，采取防止爆破噪声污染措施等。施工期的环境空气污染主要来自扬尘，在路基施工时，注意及时分层压实，以减少灰尘和雨水径流对路侧水质的影响；沥青混合料、路面基层材料和水泥混凝土等拌合场应与居民区等环境敏感点有合理的距离，防止灰尘、烟雾污染；施工组织设计充分考虑土地资源的合理利用，合理安排施工工序，减少临时占地面积，缩短使用时间，及时恢复土地原有功能；对于规划的环保工程要与主体工程同步完成。加大绿化力度，路网施工建设时，在沿线尽可能地种草、植树美化环境，凡是对植被破坏之处，必须防止水土流失，恢复原有的生态环境。</w:t>
      </w:r>
    </w:p>
    <w:p w14:paraId="7C4F1356">
      <w:pPr>
        <w:pStyle w:val="4"/>
        <w:ind w:firstLine="602"/>
      </w:pPr>
      <w:r>
        <w:rPr>
          <w:rFonts w:hint="eastAsia"/>
        </w:rPr>
        <w:t>营运期</w:t>
      </w:r>
    </w:p>
    <w:p w14:paraId="6ABC5A60">
      <w:pPr>
        <w:ind w:firstLine="640"/>
      </w:pPr>
      <w:r>
        <w:rPr>
          <w:rFonts w:hint="eastAsia"/>
        </w:rPr>
        <w:t>营运阶段车辆的排放物是环境空气的主要污染源之一，它会在附近地区上空形成浓度较高持续时间较长的污染区域，对人体健康形成危害；同时对动、植物和水，土等环境均有不同程度的影响，因此改进汽车性能和结构设计，是解决公路交通对环境污染的根本措施。在目前的条件下，高速公路、城市快速路等交通噪声要达到城市区域环境噪声居住区的标准（尤其在夜间）是相当困难的，因此必须采取必要的防治措施以减少声敏感目标的污染。其环保措施主要有：在道路两侧设置吸、隔声屏障、路面采用低噪声路面（橡胶沥青路面）、对受影响的建筑物进行隔声综合处理（设置通风隔声窗）、绿化降噪、交通设施完善和交通管理等。</w:t>
      </w:r>
    </w:p>
    <w:p w14:paraId="4AAE2CB9">
      <w:pPr>
        <w:ind w:firstLine="640"/>
      </w:pPr>
      <w:r>
        <w:rPr>
          <w:rFonts w:hint="eastAsia"/>
        </w:rPr>
        <w:t>此外，对服务区、停车区、收费站等的生活垃圾、生活废水以及其他污水要妥善处理，宜设置污水处理设备，达到国家《污水综合排放标准》（GB8978—1996）标准后才能排放。</w:t>
      </w:r>
    </w:p>
    <w:p w14:paraId="0DF2456F">
      <w:pPr>
        <w:ind w:firstLine="640"/>
      </w:pPr>
      <w:r>
        <w:rPr>
          <w:rFonts w:hint="eastAsia"/>
        </w:rPr>
        <w:t>本次规划的公路，都避开了主要环境敏感点的核心区域，有些路线即使靠近或穿过环境敏感点的边缘，也可在预可、工可阶段通过具体的线位优化比选进行绕避。因此从规划阶段的深度来看，本次路网规划布局方案不会对环境造成较大的影响。</w:t>
      </w:r>
    </w:p>
    <w:p w14:paraId="629EAA7C">
      <w:pPr>
        <w:ind w:firstLine="640"/>
      </w:pPr>
      <w:r>
        <w:rPr>
          <w:rFonts w:hint="eastAsia"/>
        </w:rPr>
        <w:t>综上所述，本规划与阳城县生态与环境功能区划相协调，与阳城县环境保护和生态建设、市域城镇体系发展、水资源综合利用及旅游发展等相关专项规划和大气及声环境功能区划基本相协调。</w:t>
      </w:r>
    </w:p>
    <w:p w14:paraId="3ADE4922">
      <w:pPr>
        <w:ind w:firstLine="640"/>
      </w:pPr>
      <w:r>
        <w:rPr>
          <w:rFonts w:hint="eastAsia"/>
        </w:rPr>
        <w:t>总体上，在对规划方案进行充分完善，完成与水利、环保、旅游等相关部门充分协调，严格落实本章的公路网规划环境影响分析评价提出的各项环境保护及风险防范措施，本规划基本具有环境可行性。</w:t>
      </w:r>
    </w:p>
    <w:p w14:paraId="6F94C8AB">
      <w:pPr>
        <w:ind w:firstLine="640"/>
        <w:sectPr>
          <w:headerReference r:id="rId20" w:type="default"/>
          <w:pgSz w:w="11906" w:h="16838"/>
          <w:pgMar w:top="1701" w:right="1531" w:bottom="1531" w:left="1531" w:header="851" w:footer="992" w:gutter="0"/>
          <w:cols w:space="425" w:num="1"/>
          <w:docGrid w:type="lines" w:linePitch="312" w:charSpace="0"/>
        </w:sectPr>
      </w:pPr>
    </w:p>
    <w:p w14:paraId="1F38B251">
      <w:pPr>
        <w:pStyle w:val="2"/>
        <w:spacing w:before="156" w:after="156"/>
      </w:pPr>
      <w:bookmarkStart w:id="43" w:name="_Toc53133723"/>
      <w:bookmarkStart w:id="44" w:name="_Toc44603510"/>
      <w:r>
        <w:rPr>
          <w:rFonts w:hint="eastAsia"/>
        </w:rPr>
        <w:t>保障措施</w:t>
      </w:r>
      <w:bookmarkEnd w:id="43"/>
      <w:bookmarkEnd w:id="44"/>
    </w:p>
    <w:p w14:paraId="4B9E26D8">
      <w:pPr>
        <w:pStyle w:val="3"/>
        <w:ind w:firstLine="640"/>
      </w:pPr>
      <w:bookmarkStart w:id="45" w:name="_Toc53133724"/>
      <w:r>
        <w:rPr>
          <w:rFonts w:hint="eastAsia"/>
        </w:rPr>
        <w:t>加强领导，高度重视规划实施工作</w:t>
      </w:r>
      <w:bookmarkEnd w:id="45"/>
    </w:p>
    <w:p w14:paraId="32C41DC9">
      <w:pPr>
        <w:ind w:firstLine="640"/>
      </w:pPr>
      <w:r>
        <w:rPr>
          <w:rFonts w:hint="eastAsia"/>
        </w:rPr>
        <w:t>用战略的眼光、发展的观点看待规划的实施，把规划的实施工作摆在重要位置。各部门要高度重视规划实施过程中相关重大项目及重大问题的协调，推动公路运输、铁路等运输方式的站场以及城市公共交通枢纽的规划衔接、联合建设，促进综合型运输枢纽的发展。要注意充分调动广大人民群众的积极性，使规划的实施由部门、政府行为变为广大人民群众积极参与的社会行为。</w:t>
      </w:r>
    </w:p>
    <w:p w14:paraId="28A56BD4">
      <w:pPr>
        <w:pStyle w:val="3"/>
        <w:ind w:firstLine="640"/>
      </w:pPr>
      <w:bookmarkStart w:id="46" w:name="_Toc53133725"/>
      <w:r>
        <w:rPr>
          <w:rFonts w:hint="eastAsia"/>
        </w:rPr>
        <w:t>用足政策，争取上级的支持扶持</w:t>
      </w:r>
      <w:bookmarkEnd w:id="46"/>
    </w:p>
    <w:p w14:paraId="4839FFF8">
      <w:pPr>
        <w:ind w:firstLine="640"/>
      </w:pPr>
      <w:r>
        <w:rPr>
          <w:rFonts w:hint="eastAsia"/>
        </w:rPr>
        <w:t>充分利用山西同时享受京津冀一体化发展政策、新一轮西部大开发政策的政策优势以及山西省制定的各种政策措施，结合交通行业的具体情况，认真抓好贯彻落实，把现有的政策用足用好用活，使政策效应得到充分发挥。同时针对目前影响阳城县交通基础设施建设进展的比较突出的土地问题，积极向上级及有关部门争取政策支持，简化与交通建设有关的土地、林业、水利等方面的审批手续并减免部分费用。</w:t>
      </w:r>
    </w:p>
    <w:p w14:paraId="1B7AC343">
      <w:pPr>
        <w:pStyle w:val="3"/>
        <w:ind w:firstLine="640"/>
      </w:pPr>
      <w:bookmarkStart w:id="47" w:name="_Toc53133726"/>
      <w:r>
        <w:rPr>
          <w:rFonts w:hint="eastAsia"/>
        </w:rPr>
        <w:t>深化改革，培育和健全交通建设市场体系</w:t>
      </w:r>
      <w:bookmarkEnd w:id="47"/>
    </w:p>
    <w:p w14:paraId="2E307776">
      <w:pPr>
        <w:ind w:firstLine="640"/>
      </w:pPr>
      <w:r>
        <w:rPr>
          <w:rFonts w:hint="eastAsia"/>
        </w:rPr>
        <w:t>深化交通体制改革，增大建设投入，充分发挥市场机制在交通建设中的作用，确保规划顺利实施。在交通领域落实国务院“推进简政放权放管结合转变政府职能”政策，按照市场的自主性原则，确立交通建设市场的主体，把交通建设推向市场，从而使交通建设、管理、经营部门真正成为独立的法人实体。要根据交通基础设施建设项目的不同性质和投资回报状况实施相应的政策，鼓励政府相关配套政策支持下的BOT、PPP、BT等投融资方式；对于盈利能力较好的项目，积极推向市场，吸引国内外资金投资；对于预测未来投资回报率不足以吸引社会资金的项目，采取政府投资一定比例和限定分红、税费优惠、周边土地优先开发权等措施吸引社会资金参与投资。同时，进一步深化交通运营企业改革，明确政府、企业各自职能和关系，采取基础设施资产管理与运输经营分开以委托经营和购买服务的方式落实企业经营自主权，促进经营效率和服务水平提高。</w:t>
      </w:r>
    </w:p>
    <w:p w14:paraId="53C6D8D7">
      <w:pPr>
        <w:pStyle w:val="3"/>
        <w:ind w:firstLine="640"/>
      </w:pPr>
      <w:bookmarkStart w:id="48" w:name="_Toc53133727"/>
      <w:r>
        <w:rPr>
          <w:rFonts w:hint="eastAsia"/>
        </w:rPr>
        <w:t>重视前期工作，切实抓好项目前期工作</w:t>
      </w:r>
      <w:bookmarkEnd w:id="48"/>
    </w:p>
    <w:p w14:paraId="4A14785A">
      <w:pPr>
        <w:ind w:firstLine="640"/>
      </w:pPr>
      <w:r>
        <w:rPr>
          <w:rFonts w:hint="eastAsia"/>
        </w:rPr>
        <w:t>要牢牢掌握项目建设的主动权，发挥项目建设的最佳效益，必须加强项目的前期工作。抓好公路、铁路、水运项目前期工作，各相关部门要做好项目的规划、协调、建设管理等工作，协调好项目的审批、报批、拆迁、灾害审查等工作，确保项目建设布局合理、有序、协调的发展。</w:t>
      </w:r>
    </w:p>
    <w:p w14:paraId="4E5004AB">
      <w:pPr>
        <w:ind w:firstLine="640"/>
      </w:pPr>
      <w:r>
        <w:rPr>
          <w:rFonts w:hint="eastAsia"/>
        </w:rPr>
        <w:t>加强基础设施布局规划与国土空间控制、生态环境保护等规划的衔接，为项目落地实施预留空间。市县新增建设用地规模指标优先用于保障交通强国建设项目，帮助协调落实耕地占补平衡，确保建设项目的需要。</w:t>
      </w:r>
    </w:p>
    <w:p w14:paraId="40D3D143">
      <w:pPr>
        <w:pStyle w:val="3"/>
        <w:ind w:firstLine="640"/>
      </w:pPr>
      <w:bookmarkStart w:id="49" w:name="_Toc53133728"/>
      <w:r>
        <w:rPr>
          <w:rFonts w:hint="eastAsia"/>
        </w:rPr>
        <w:t>加强交通信息化建设</w:t>
      </w:r>
      <w:bookmarkEnd w:id="49"/>
    </w:p>
    <w:p w14:paraId="472E8C01">
      <w:pPr>
        <w:ind w:firstLine="640"/>
      </w:pPr>
      <w:r>
        <w:rPr>
          <w:rFonts w:hint="eastAsia"/>
        </w:rPr>
        <w:t>信息系统是交通运输运作的神经，也是高新科技在交通运输系统中应用的一个重要方面，是提高交通运输管理水平的关键。要把工作重心放在搭建公共信息平台上，并制定相应的标准；引导企业则根据业务需要，研究提出满足交通运输枢纽在组织、调度、监控、财务、信息服务等方面所需要的软硬件配置及开发方案。</w:t>
      </w:r>
    </w:p>
    <w:p w14:paraId="441DC746">
      <w:pPr>
        <w:pStyle w:val="3"/>
        <w:ind w:firstLine="640"/>
      </w:pPr>
      <w:bookmarkStart w:id="50" w:name="_Toc53133729"/>
      <w:r>
        <w:rPr>
          <w:rFonts w:hint="eastAsia"/>
        </w:rPr>
        <w:t>注重环境保护</w:t>
      </w:r>
      <w:bookmarkEnd w:id="50"/>
    </w:p>
    <w:p w14:paraId="24C872BA">
      <w:pPr>
        <w:ind w:firstLine="640"/>
      </w:pPr>
      <w:r>
        <w:rPr>
          <w:rFonts w:hint="eastAsia"/>
        </w:rPr>
        <w:t>在建设和运营中，要做好污染防治、生态恢复和环境保护，切实实施各项环境影响减缓措施，实现交通与自然、社会的和谐发展。充分发挥各种运输方式比较优势，优化交通运输资源配置，发挥综合运输的整体优势和组合效率，降低能源消耗强度；加快发展城市公共交通、水运等低能耗运输方式，倡导低碳型交通消费模式和出行方式。</w:t>
      </w:r>
    </w:p>
    <w:p w14:paraId="297A8D1C">
      <w:pPr>
        <w:pStyle w:val="3"/>
        <w:ind w:firstLine="640"/>
      </w:pPr>
      <w:bookmarkStart w:id="51" w:name="_Toc53133730"/>
      <w:r>
        <w:rPr>
          <w:rFonts w:hint="eastAsia"/>
        </w:rPr>
        <w:t>加强人才队伍建设</w:t>
      </w:r>
      <w:bookmarkEnd w:id="51"/>
    </w:p>
    <w:p w14:paraId="7542A29E">
      <w:pPr>
        <w:ind w:firstLine="640"/>
        <w:sectPr>
          <w:headerReference r:id="rId21" w:type="default"/>
          <w:pgSz w:w="11906" w:h="16838"/>
          <w:pgMar w:top="1701" w:right="1531" w:bottom="1531" w:left="1531" w:header="851" w:footer="992" w:gutter="0"/>
          <w:cols w:space="425" w:num="1"/>
          <w:docGrid w:type="lines" w:linePitch="312" w:charSpace="0"/>
        </w:sectPr>
      </w:pPr>
      <w:r>
        <w:rPr>
          <w:rFonts w:hint="eastAsia"/>
        </w:rPr>
        <w:t>深入实施“人才强交”战略，以高层次人才、高技能实用人才、高素质管理人才及有关重点领域急需紧缺人才为重点，加强优秀拔尖人才和急需紧缺人才培养，优化人才结构，提升人才素质，强化人才使用与激励机制建设，为发展现代交通运输业提供人才保障和智力支持。努力建设一支政治坚定、业务精湛、作风过硬的高素质、专业化、职业化交通公务员队伍；建设一支数量充足、门类齐全、专业配套、素质优良的交通专业技术人才队伍。提高依法行政能力，健全完善应急反应体系，加强行业安全监管，着力维护行业稳定，抓好反腐倡廉建设。</w:t>
      </w:r>
    </w:p>
    <w:tbl>
      <w:tblPr>
        <w:tblStyle w:val="14"/>
        <w:tblW w:w="5000" w:type="pct"/>
        <w:tblInd w:w="0" w:type="dxa"/>
        <w:tblLayout w:type="autofit"/>
        <w:tblCellMar>
          <w:top w:w="0" w:type="dxa"/>
          <w:left w:w="108" w:type="dxa"/>
          <w:bottom w:w="0" w:type="dxa"/>
          <w:right w:w="108" w:type="dxa"/>
        </w:tblCellMar>
      </w:tblPr>
      <w:tblGrid>
        <w:gridCol w:w="649"/>
        <w:gridCol w:w="1507"/>
        <w:gridCol w:w="5909"/>
        <w:gridCol w:w="1153"/>
        <w:gridCol w:w="1153"/>
        <w:gridCol w:w="1441"/>
        <w:gridCol w:w="2010"/>
      </w:tblGrid>
      <w:tr w14:paraId="04206003">
        <w:tblPrEx>
          <w:tblCellMar>
            <w:top w:w="0" w:type="dxa"/>
            <w:left w:w="108" w:type="dxa"/>
            <w:bottom w:w="0" w:type="dxa"/>
            <w:right w:w="108" w:type="dxa"/>
          </w:tblCellMar>
        </w:tblPrEx>
        <w:trPr>
          <w:trHeight w:val="454" w:hRule="atLeast"/>
        </w:trPr>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127D4CAF">
            <w:pPr>
              <w:pStyle w:val="29"/>
              <w:rPr>
                <w:b/>
                <w:sz w:val="21"/>
                <w:szCs w:val="21"/>
              </w:rPr>
            </w:pPr>
            <w:r>
              <w:rPr>
                <w:rFonts w:hint="eastAsia"/>
                <w:b/>
                <w:sz w:val="21"/>
                <w:szCs w:val="21"/>
              </w:rPr>
              <w:t>序号</w:t>
            </w:r>
          </w:p>
        </w:tc>
        <w:tc>
          <w:tcPr>
            <w:tcW w:w="545" w:type="pct"/>
            <w:tcBorders>
              <w:top w:val="single" w:color="auto" w:sz="4" w:space="0"/>
              <w:left w:val="nil"/>
              <w:bottom w:val="single" w:color="auto" w:sz="4" w:space="0"/>
              <w:right w:val="single" w:color="auto" w:sz="4" w:space="0"/>
            </w:tcBorders>
            <w:shd w:val="clear" w:color="auto" w:fill="auto"/>
            <w:vAlign w:val="center"/>
          </w:tcPr>
          <w:p w14:paraId="31ED37F8">
            <w:pPr>
              <w:pStyle w:val="29"/>
              <w:rPr>
                <w:b/>
                <w:sz w:val="21"/>
                <w:szCs w:val="21"/>
              </w:rPr>
            </w:pPr>
            <w:r>
              <w:rPr>
                <w:rFonts w:hint="eastAsia"/>
                <w:b/>
                <w:sz w:val="21"/>
                <w:szCs w:val="21"/>
              </w:rPr>
              <w:t>项目名称</w:t>
            </w:r>
          </w:p>
        </w:tc>
        <w:tc>
          <w:tcPr>
            <w:tcW w:w="2137" w:type="pct"/>
            <w:tcBorders>
              <w:top w:val="single" w:color="auto" w:sz="4" w:space="0"/>
              <w:left w:val="nil"/>
              <w:bottom w:val="single" w:color="auto" w:sz="4" w:space="0"/>
              <w:right w:val="single" w:color="auto" w:sz="4" w:space="0"/>
            </w:tcBorders>
            <w:shd w:val="clear" w:color="auto" w:fill="auto"/>
            <w:vAlign w:val="center"/>
          </w:tcPr>
          <w:p w14:paraId="77B597C1">
            <w:pPr>
              <w:pStyle w:val="29"/>
              <w:rPr>
                <w:b/>
                <w:sz w:val="21"/>
                <w:szCs w:val="21"/>
              </w:rPr>
            </w:pPr>
            <w:r>
              <w:rPr>
                <w:rFonts w:hint="eastAsia"/>
                <w:b/>
                <w:sz w:val="21"/>
                <w:szCs w:val="21"/>
              </w:rPr>
              <w:t>主要建设规模及内容</w:t>
            </w:r>
          </w:p>
        </w:tc>
        <w:tc>
          <w:tcPr>
            <w:tcW w:w="417" w:type="pct"/>
            <w:tcBorders>
              <w:top w:val="single" w:color="auto" w:sz="4" w:space="0"/>
              <w:left w:val="nil"/>
              <w:bottom w:val="single" w:color="auto" w:sz="4" w:space="0"/>
              <w:right w:val="single" w:color="auto" w:sz="4" w:space="0"/>
            </w:tcBorders>
            <w:shd w:val="clear" w:color="auto" w:fill="auto"/>
            <w:vAlign w:val="center"/>
          </w:tcPr>
          <w:p w14:paraId="4E51FD8B">
            <w:pPr>
              <w:pStyle w:val="29"/>
              <w:rPr>
                <w:b/>
                <w:sz w:val="21"/>
                <w:szCs w:val="21"/>
              </w:rPr>
            </w:pPr>
            <w:r>
              <w:rPr>
                <w:rFonts w:hint="eastAsia"/>
                <w:b/>
                <w:sz w:val="21"/>
                <w:szCs w:val="21"/>
              </w:rPr>
              <w:t>开工年限</w:t>
            </w:r>
          </w:p>
        </w:tc>
        <w:tc>
          <w:tcPr>
            <w:tcW w:w="417" w:type="pct"/>
            <w:tcBorders>
              <w:top w:val="single" w:color="auto" w:sz="4" w:space="0"/>
              <w:left w:val="nil"/>
              <w:bottom w:val="single" w:color="auto" w:sz="4" w:space="0"/>
              <w:right w:val="single" w:color="auto" w:sz="4" w:space="0"/>
            </w:tcBorders>
            <w:shd w:val="clear" w:color="auto" w:fill="auto"/>
            <w:vAlign w:val="center"/>
          </w:tcPr>
          <w:p w14:paraId="511BE316">
            <w:pPr>
              <w:pStyle w:val="29"/>
              <w:rPr>
                <w:b/>
                <w:sz w:val="21"/>
                <w:szCs w:val="21"/>
              </w:rPr>
            </w:pPr>
            <w:r>
              <w:rPr>
                <w:rFonts w:hint="eastAsia"/>
                <w:b/>
                <w:sz w:val="21"/>
                <w:szCs w:val="21"/>
              </w:rPr>
              <w:t>建设性质</w:t>
            </w:r>
          </w:p>
        </w:tc>
        <w:tc>
          <w:tcPr>
            <w:tcW w:w="521" w:type="pct"/>
            <w:tcBorders>
              <w:top w:val="single" w:color="auto" w:sz="4" w:space="0"/>
              <w:left w:val="nil"/>
              <w:bottom w:val="single" w:color="auto" w:sz="4" w:space="0"/>
              <w:right w:val="single" w:color="auto" w:sz="4" w:space="0"/>
            </w:tcBorders>
            <w:shd w:val="clear" w:color="auto" w:fill="auto"/>
            <w:vAlign w:val="center"/>
          </w:tcPr>
          <w:p w14:paraId="62A5C960">
            <w:pPr>
              <w:pStyle w:val="29"/>
              <w:rPr>
                <w:b/>
                <w:sz w:val="21"/>
                <w:szCs w:val="21"/>
              </w:rPr>
            </w:pPr>
            <w:r>
              <w:rPr>
                <w:rFonts w:hint="eastAsia"/>
                <w:b/>
                <w:sz w:val="21"/>
                <w:szCs w:val="21"/>
              </w:rPr>
              <w:t>建设地址</w:t>
            </w:r>
          </w:p>
        </w:tc>
        <w:tc>
          <w:tcPr>
            <w:tcW w:w="727" w:type="pct"/>
            <w:tcBorders>
              <w:top w:val="single" w:color="auto" w:sz="4" w:space="0"/>
              <w:left w:val="nil"/>
              <w:bottom w:val="single" w:color="auto" w:sz="4" w:space="0"/>
              <w:right w:val="single" w:color="auto" w:sz="4" w:space="0"/>
            </w:tcBorders>
            <w:shd w:val="clear" w:color="auto" w:fill="auto"/>
            <w:vAlign w:val="center"/>
          </w:tcPr>
          <w:p w14:paraId="0166A8FC">
            <w:pPr>
              <w:pStyle w:val="29"/>
              <w:rPr>
                <w:b/>
                <w:sz w:val="21"/>
                <w:szCs w:val="21"/>
              </w:rPr>
            </w:pPr>
            <w:r>
              <w:rPr>
                <w:rFonts w:hint="eastAsia"/>
                <w:b/>
                <w:sz w:val="21"/>
                <w:szCs w:val="21"/>
              </w:rPr>
              <w:t>目前进度</w:t>
            </w:r>
          </w:p>
        </w:tc>
      </w:tr>
      <w:tr w14:paraId="78C52099">
        <w:tblPrEx>
          <w:tblCellMar>
            <w:top w:w="0" w:type="dxa"/>
            <w:left w:w="108" w:type="dxa"/>
            <w:bottom w:w="0" w:type="dxa"/>
            <w:right w:w="108" w:type="dxa"/>
          </w:tblCellMar>
        </w:tblPrEx>
        <w:trPr>
          <w:trHeight w:val="510"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14:paraId="5B44D817">
            <w:pPr>
              <w:pStyle w:val="29"/>
              <w:rPr>
                <w:sz w:val="21"/>
                <w:szCs w:val="21"/>
              </w:rPr>
            </w:pPr>
            <w:r>
              <w:rPr>
                <w:rFonts w:hint="eastAsia"/>
                <w:sz w:val="21"/>
                <w:szCs w:val="21"/>
              </w:rPr>
              <w:t>1</w:t>
            </w:r>
          </w:p>
        </w:tc>
        <w:tc>
          <w:tcPr>
            <w:tcW w:w="545" w:type="pct"/>
            <w:tcBorders>
              <w:top w:val="nil"/>
              <w:left w:val="nil"/>
              <w:bottom w:val="single" w:color="auto" w:sz="4" w:space="0"/>
              <w:right w:val="single" w:color="auto" w:sz="4" w:space="0"/>
            </w:tcBorders>
            <w:shd w:val="clear" w:color="auto" w:fill="auto"/>
            <w:vAlign w:val="center"/>
          </w:tcPr>
          <w:p w14:paraId="649852DC">
            <w:pPr>
              <w:pStyle w:val="29"/>
              <w:rPr>
                <w:sz w:val="21"/>
                <w:szCs w:val="21"/>
              </w:rPr>
            </w:pPr>
            <w:r>
              <w:rPr>
                <w:rFonts w:hint="eastAsia"/>
                <w:sz w:val="21"/>
                <w:szCs w:val="21"/>
              </w:rPr>
              <w:t>晋阳高速公路改扩建项目</w:t>
            </w:r>
          </w:p>
        </w:tc>
        <w:tc>
          <w:tcPr>
            <w:tcW w:w="2137" w:type="pct"/>
            <w:tcBorders>
              <w:top w:val="nil"/>
              <w:left w:val="nil"/>
              <w:bottom w:val="single" w:color="auto" w:sz="4" w:space="0"/>
              <w:right w:val="single" w:color="auto" w:sz="4" w:space="0"/>
            </w:tcBorders>
            <w:shd w:val="clear" w:color="auto" w:fill="auto"/>
            <w:vAlign w:val="center"/>
          </w:tcPr>
          <w:p w14:paraId="44DE3FC2">
            <w:pPr>
              <w:pStyle w:val="29"/>
              <w:jc w:val="left"/>
              <w:rPr>
                <w:sz w:val="21"/>
                <w:szCs w:val="21"/>
              </w:rPr>
            </w:pPr>
            <w:r>
              <w:rPr>
                <w:rFonts w:hint="eastAsia"/>
                <w:sz w:val="21"/>
                <w:szCs w:val="21"/>
              </w:rPr>
              <w:t>线路全长43公里，设计速度80公里/小时，概算投资64.5亿元。其中：阳城境内长16公里，投资26亿元。</w:t>
            </w:r>
          </w:p>
        </w:tc>
        <w:tc>
          <w:tcPr>
            <w:tcW w:w="417" w:type="pct"/>
            <w:tcBorders>
              <w:top w:val="nil"/>
              <w:left w:val="nil"/>
              <w:bottom w:val="single" w:color="auto" w:sz="4" w:space="0"/>
              <w:right w:val="single" w:color="auto" w:sz="4" w:space="0"/>
            </w:tcBorders>
            <w:shd w:val="clear" w:color="auto" w:fill="auto"/>
            <w:vAlign w:val="center"/>
          </w:tcPr>
          <w:p w14:paraId="582E601B">
            <w:pPr>
              <w:pStyle w:val="29"/>
              <w:rPr>
                <w:sz w:val="21"/>
                <w:szCs w:val="21"/>
              </w:rPr>
            </w:pPr>
            <w:r>
              <w:rPr>
                <w:rFonts w:hint="eastAsia"/>
                <w:sz w:val="21"/>
                <w:szCs w:val="21"/>
              </w:rPr>
              <w:t>2020-2024</w:t>
            </w:r>
          </w:p>
        </w:tc>
        <w:tc>
          <w:tcPr>
            <w:tcW w:w="417" w:type="pct"/>
            <w:tcBorders>
              <w:top w:val="nil"/>
              <w:left w:val="nil"/>
              <w:bottom w:val="single" w:color="auto" w:sz="4" w:space="0"/>
              <w:right w:val="single" w:color="auto" w:sz="4" w:space="0"/>
            </w:tcBorders>
            <w:shd w:val="clear" w:color="auto" w:fill="auto"/>
            <w:vAlign w:val="center"/>
          </w:tcPr>
          <w:p w14:paraId="63A240B2">
            <w:pPr>
              <w:pStyle w:val="29"/>
              <w:rPr>
                <w:sz w:val="21"/>
                <w:szCs w:val="21"/>
              </w:rPr>
            </w:pPr>
            <w:r>
              <w:rPr>
                <w:rFonts w:hint="eastAsia"/>
                <w:sz w:val="21"/>
                <w:szCs w:val="21"/>
              </w:rPr>
              <w:t>改扩建</w:t>
            </w:r>
          </w:p>
        </w:tc>
        <w:tc>
          <w:tcPr>
            <w:tcW w:w="521" w:type="pct"/>
            <w:tcBorders>
              <w:top w:val="nil"/>
              <w:left w:val="nil"/>
              <w:bottom w:val="single" w:color="auto" w:sz="4" w:space="0"/>
              <w:right w:val="single" w:color="auto" w:sz="4" w:space="0"/>
            </w:tcBorders>
            <w:shd w:val="clear" w:color="auto" w:fill="auto"/>
            <w:vAlign w:val="center"/>
          </w:tcPr>
          <w:p w14:paraId="76B769C9">
            <w:pPr>
              <w:pStyle w:val="29"/>
              <w:rPr>
                <w:sz w:val="21"/>
                <w:szCs w:val="21"/>
              </w:rPr>
            </w:pPr>
            <w:r>
              <w:rPr>
                <w:rFonts w:hint="eastAsia"/>
                <w:sz w:val="21"/>
                <w:szCs w:val="21"/>
              </w:rPr>
              <w:t>晋城市</w:t>
            </w:r>
          </w:p>
          <w:p w14:paraId="67E142F3">
            <w:pPr>
              <w:pStyle w:val="29"/>
              <w:rPr>
                <w:sz w:val="21"/>
                <w:szCs w:val="21"/>
              </w:rPr>
            </w:pPr>
            <w:r>
              <w:rPr>
                <w:rFonts w:hint="eastAsia"/>
                <w:sz w:val="21"/>
                <w:szCs w:val="21"/>
              </w:rPr>
              <w:t>阳城县</w:t>
            </w:r>
          </w:p>
        </w:tc>
        <w:tc>
          <w:tcPr>
            <w:tcW w:w="727" w:type="pct"/>
            <w:tcBorders>
              <w:top w:val="nil"/>
              <w:left w:val="nil"/>
              <w:bottom w:val="single" w:color="auto" w:sz="4" w:space="0"/>
              <w:right w:val="single" w:color="auto" w:sz="4" w:space="0"/>
            </w:tcBorders>
            <w:shd w:val="clear" w:color="auto" w:fill="auto"/>
            <w:vAlign w:val="center"/>
          </w:tcPr>
          <w:p w14:paraId="52FE92B8">
            <w:pPr>
              <w:pStyle w:val="29"/>
              <w:rPr>
                <w:sz w:val="21"/>
                <w:szCs w:val="21"/>
              </w:rPr>
            </w:pPr>
            <w:r>
              <w:rPr>
                <w:rFonts w:hint="eastAsia"/>
                <w:sz w:val="21"/>
                <w:szCs w:val="21"/>
              </w:rPr>
              <w:t>完成初设评审，预计</w:t>
            </w:r>
            <w:r>
              <w:rPr>
                <w:sz w:val="21"/>
                <w:szCs w:val="21"/>
              </w:rPr>
              <w:t>10</w:t>
            </w:r>
            <w:r>
              <w:rPr>
                <w:rFonts w:hint="eastAsia"/>
                <w:sz w:val="21"/>
                <w:szCs w:val="21"/>
              </w:rPr>
              <w:t>月开工</w:t>
            </w:r>
          </w:p>
        </w:tc>
      </w:tr>
      <w:tr w14:paraId="0BC9C00C">
        <w:tblPrEx>
          <w:tblCellMar>
            <w:top w:w="0" w:type="dxa"/>
            <w:left w:w="108" w:type="dxa"/>
            <w:bottom w:w="0" w:type="dxa"/>
            <w:right w:w="108" w:type="dxa"/>
          </w:tblCellMar>
        </w:tblPrEx>
        <w:trPr>
          <w:trHeight w:val="510"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14:paraId="00C72355">
            <w:pPr>
              <w:pStyle w:val="29"/>
              <w:rPr>
                <w:sz w:val="21"/>
                <w:szCs w:val="21"/>
              </w:rPr>
            </w:pPr>
            <w:r>
              <w:rPr>
                <w:rFonts w:hint="eastAsia"/>
                <w:sz w:val="21"/>
                <w:szCs w:val="21"/>
              </w:rPr>
              <w:t>2</w:t>
            </w:r>
          </w:p>
        </w:tc>
        <w:tc>
          <w:tcPr>
            <w:tcW w:w="545" w:type="pct"/>
            <w:tcBorders>
              <w:top w:val="nil"/>
              <w:left w:val="nil"/>
              <w:bottom w:val="single" w:color="auto" w:sz="4" w:space="0"/>
              <w:right w:val="single" w:color="auto" w:sz="4" w:space="0"/>
            </w:tcBorders>
            <w:shd w:val="clear" w:color="auto" w:fill="auto"/>
            <w:vAlign w:val="center"/>
          </w:tcPr>
          <w:p w14:paraId="5C9663CF">
            <w:pPr>
              <w:pStyle w:val="29"/>
              <w:rPr>
                <w:sz w:val="21"/>
                <w:szCs w:val="21"/>
              </w:rPr>
            </w:pPr>
            <w:r>
              <w:rPr>
                <w:rFonts w:hint="eastAsia"/>
                <w:sz w:val="21"/>
                <w:szCs w:val="21"/>
              </w:rPr>
              <w:t>阳高泉至张峰道路工程</w:t>
            </w:r>
          </w:p>
        </w:tc>
        <w:tc>
          <w:tcPr>
            <w:tcW w:w="2137" w:type="pct"/>
            <w:tcBorders>
              <w:top w:val="nil"/>
              <w:left w:val="nil"/>
              <w:bottom w:val="single" w:color="auto" w:sz="4" w:space="0"/>
              <w:right w:val="single" w:color="auto" w:sz="4" w:space="0"/>
            </w:tcBorders>
            <w:shd w:val="clear" w:color="auto" w:fill="auto"/>
            <w:vAlign w:val="center"/>
          </w:tcPr>
          <w:p w14:paraId="1DF58A13">
            <w:pPr>
              <w:pStyle w:val="29"/>
              <w:jc w:val="left"/>
              <w:rPr>
                <w:sz w:val="21"/>
                <w:szCs w:val="21"/>
              </w:rPr>
            </w:pPr>
            <w:r>
              <w:rPr>
                <w:rFonts w:hint="eastAsia"/>
                <w:sz w:val="21"/>
                <w:szCs w:val="21"/>
              </w:rPr>
              <w:t>阳高泉至下李丘段：长4.5公里，宽40米，等级为城市主干路，设计速度40公里/小时，双向八车道。下李丘至张峰段：长3.53公里，。其中主线长2.53公里，宽36米，等级为城市主干路，设计速度40公里/小时，双向八车道；支线长1公里，宽20米，双向四车道。</w:t>
            </w:r>
          </w:p>
        </w:tc>
        <w:tc>
          <w:tcPr>
            <w:tcW w:w="417" w:type="pct"/>
            <w:tcBorders>
              <w:top w:val="nil"/>
              <w:left w:val="nil"/>
              <w:bottom w:val="single" w:color="auto" w:sz="4" w:space="0"/>
              <w:right w:val="single" w:color="auto" w:sz="4" w:space="0"/>
            </w:tcBorders>
            <w:shd w:val="clear" w:color="auto" w:fill="auto"/>
            <w:vAlign w:val="center"/>
          </w:tcPr>
          <w:p w14:paraId="322D0DFC">
            <w:pPr>
              <w:pStyle w:val="29"/>
              <w:rPr>
                <w:sz w:val="21"/>
                <w:szCs w:val="21"/>
              </w:rPr>
            </w:pPr>
            <w:r>
              <w:rPr>
                <w:rFonts w:hint="eastAsia"/>
                <w:sz w:val="21"/>
                <w:szCs w:val="21"/>
              </w:rPr>
              <w:t>2020-2022</w:t>
            </w:r>
          </w:p>
        </w:tc>
        <w:tc>
          <w:tcPr>
            <w:tcW w:w="417" w:type="pct"/>
            <w:tcBorders>
              <w:top w:val="nil"/>
              <w:left w:val="nil"/>
              <w:bottom w:val="single" w:color="auto" w:sz="4" w:space="0"/>
              <w:right w:val="single" w:color="auto" w:sz="4" w:space="0"/>
            </w:tcBorders>
            <w:shd w:val="clear" w:color="auto" w:fill="auto"/>
            <w:vAlign w:val="center"/>
          </w:tcPr>
          <w:p w14:paraId="24FA8D1E">
            <w:pPr>
              <w:pStyle w:val="29"/>
              <w:rPr>
                <w:sz w:val="21"/>
                <w:szCs w:val="21"/>
              </w:rPr>
            </w:pPr>
            <w:r>
              <w:rPr>
                <w:rFonts w:hint="eastAsia"/>
                <w:sz w:val="21"/>
                <w:szCs w:val="21"/>
              </w:rPr>
              <w:t>改扩建</w:t>
            </w:r>
          </w:p>
        </w:tc>
        <w:tc>
          <w:tcPr>
            <w:tcW w:w="521" w:type="pct"/>
            <w:tcBorders>
              <w:top w:val="nil"/>
              <w:left w:val="nil"/>
              <w:bottom w:val="single" w:color="auto" w:sz="4" w:space="0"/>
              <w:right w:val="single" w:color="auto" w:sz="4" w:space="0"/>
            </w:tcBorders>
            <w:shd w:val="clear" w:color="auto" w:fill="auto"/>
            <w:vAlign w:val="center"/>
          </w:tcPr>
          <w:p w14:paraId="035CF3BB">
            <w:pPr>
              <w:pStyle w:val="29"/>
              <w:rPr>
                <w:sz w:val="21"/>
                <w:szCs w:val="21"/>
              </w:rPr>
            </w:pPr>
            <w:r>
              <w:rPr>
                <w:rFonts w:hint="eastAsia"/>
                <w:sz w:val="21"/>
                <w:szCs w:val="21"/>
              </w:rPr>
              <w:t>凤城镇</w:t>
            </w:r>
          </w:p>
        </w:tc>
        <w:tc>
          <w:tcPr>
            <w:tcW w:w="727" w:type="pct"/>
            <w:tcBorders>
              <w:top w:val="nil"/>
              <w:left w:val="nil"/>
              <w:bottom w:val="single" w:color="auto" w:sz="4" w:space="0"/>
              <w:right w:val="single" w:color="auto" w:sz="4" w:space="0"/>
            </w:tcBorders>
            <w:shd w:val="clear" w:color="auto" w:fill="auto"/>
            <w:vAlign w:val="center"/>
          </w:tcPr>
          <w:p w14:paraId="2AF59DE7">
            <w:pPr>
              <w:pStyle w:val="29"/>
              <w:rPr>
                <w:sz w:val="21"/>
                <w:szCs w:val="21"/>
              </w:rPr>
            </w:pPr>
            <w:r>
              <w:rPr>
                <w:rFonts w:hint="eastAsia"/>
                <w:sz w:val="21"/>
                <w:szCs w:val="21"/>
              </w:rPr>
              <w:t>完成初步设计，准备评审。正在进行社会投资人资格预审</w:t>
            </w:r>
          </w:p>
        </w:tc>
      </w:tr>
      <w:tr w14:paraId="411EB0A6">
        <w:tblPrEx>
          <w:tblCellMar>
            <w:top w:w="0" w:type="dxa"/>
            <w:left w:w="108" w:type="dxa"/>
            <w:bottom w:w="0" w:type="dxa"/>
            <w:right w:w="108" w:type="dxa"/>
          </w:tblCellMar>
        </w:tblPrEx>
        <w:trPr>
          <w:trHeight w:val="510"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14:paraId="5BEEBD58">
            <w:pPr>
              <w:pStyle w:val="29"/>
              <w:rPr>
                <w:sz w:val="21"/>
                <w:szCs w:val="21"/>
              </w:rPr>
            </w:pPr>
            <w:r>
              <w:rPr>
                <w:rFonts w:hint="eastAsia"/>
                <w:sz w:val="21"/>
                <w:szCs w:val="21"/>
              </w:rPr>
              <w:t>3</w:t>
            </w:r>
          </w:p>
        </w:tc>
        <w:tc>
          <w:tcPr>
            <w:tcW w:w="545" w:type="pct"/>
            <w:tcBorders>
              <w:top w:val="nil"/>
              <w:left w:val="nil"/>
              <w:bottom w:val="single" w:color="auto" w:sz="4" w:space="0"/>
              <w:right w:val="single" w:color="auto" w:sz="4" w:space="0"/>
            </w:tcBorders>
            <w:shd w:val="clear" w:color="auto" w:fill="auto"/>
            <w:vAlign w:val="center"/>
          </w:tcPr>
          <w:p w14:paraId="71A7B039">
            <w:pPr>
              <w:pStyle w:val="29"/>
              <w:rPr>
                <w:sz w:val="21"/>
                <w:szCs w:val="21"/>
              </w:rPr>
            </w:pPr>
            <w:r>
              <w:rPr>
                <w:rFonts w:hint="eastAsia"/>
                <w:sz w:val="21"/>
                <w:szCs w:val="21"/>
              </w:rPr>
              <w:t>阳城县环城路网改造项目</w:t>
            </w:r>
          </w:p>
        </w:tc>
        <w:tc>
          <w:tcPr>
            <w:tcW w:w="2137" w:type="pct"/>
            <w:tcBorders>
              <w:top w:val="nil"/>
              <w:left w:val="nil"/>
              <w:bottom w:val="single" w:color="auto" w:sz="4" w:space="0"/>
              <w:right w:val="single" w:color="auto" w:sz="4" w:space="0"/>
            </w:tcBorders>
            <w:shd w:val="clear" w:color="auto" w:fill="auto"/>
            <w:vAlign w:val="center"/>
          </w:tcPr>
          <w:p w14:paraId="745B2D23">
            <w:pPr>
              <w:pStyle w:val="29"/>
              <w:jc w:val="left"/>
              <w:rPr>
                <w:sz w:val="21"/>
                <w:szCs w:val="21"/>
              </w:rPr>
            </w:pPr>
            <w:r>
              <w:rPr>
                <w:rFonts w:hint="eastAsia"/>
                <w:sz w:val="21"/>
                <w:szCs w:val="21"/>
              </w:rPr>
              <w:t>栅村至固隆段，长9公里；前贯沟至白桑段，长6公里，拟建二级公路，路面宽12米。</w:t>
            </w:r>
          </w:p>
        </w:tc>
        <w:tc>
          <w:tcPr>
            <w:tcW w:w="417" w:type="pct"/>
            <w:tcBorders>
              <w:top w:val="nil"/>
              <w:left w:val="nil"/>
              <w:bottom w:val="single" w:color="auto" w:sz="4" w:space="0"/>
              <w:right w:val="single" w:color="auto" w:sz="4" w:space="0"/>
            </w:tcBorders>
            <w:shd w:val="clear" w:color="auto" w:fill="auto"/>
            <w:vAlign w:val="center"/>
          </w:tcPr>
          <w:p w14:paraId="4F9905E3">
            <w:pPr>
              <w:pStyle w:val="29"/>
              <w:rPr>
                <w:sz w:val="21"/>
                <w:szCs w:val="21"/>
              </w:rPr>
            </w:pPr>
            <w:r>
              <w:rPr>
                <w:rFonts w:hint="eastAsia"/>
                <w:sz w:val="21"/>
                <w:szCs w:val="21"/>
              </w:rPr>
              <w:t>2021-2025</w:t>
            </w:r>
          </w:p>
        </w:tc>
        <w:tc>
          <w:tcPr>
            <w:tcW w:w="417" w:type="pct"/>
            <w:tcBorders>
              <w:top w:val="nil"/>
              <w:left w:val="nil"/>
              <w:bottom w:val="single" w:color="auto" w:sz="4" w:space="0"/>
              <w:right w:val="single" w:color="auto" w:sz="4" w:space="0"/>
            </w:tcBorders>
            <w:shd w:val="clear" w:color="auto" w:fill="auto"/>
            <w:vAlign w:val="center"/>
          </w:tcPr>
          <w:p w14:paraId="61B8A602">
            <w:pPr>
              <w:pStyle w:val="29"/>
              <w:rPr>
                <w:sz w:val="21"/>
                <w:szCs w:val="21"/>
              </w:rPr>
            </w:pPr>
            <w:r>
              <w:rPr>
                <w:rFonts w:hint="eastAsia"/>
                <w:sz w:val="21"/>
                <w:szCs w:val="21"/>
              </w:rPr>
              <w:t>改扩建</w:t>
            </w:r>
          </w:p>
        </w:tc>
        <w:tc>
          <w:tcPr>
            <w:tcW w:w="521" w:type="pct"/>
            <w:tcBorders>
              <w:top w:val="nil"/>
              <w:left w:val="nil"/>
              <w:bottom w:val="single" w:color="auto" w:sz="4" w:space="0"/>
              <w:right w:val="single" w:color="auto" w:sz="4" w:space="0"/>
            </w:tcBorders>
            <w:shd w:val="clear" w:color="auto" w:fill="auto"/>
            <w:vAlign w:val="center"/>
          </w:tcPr>
          <w:p w14:paraId="36143D56">
            <w:pPr>
              <w:pStyle w:val="29"/>
              <w:rPr>
                <w:sz w:val="21"/>
                <w:szCs w:val="21"/>
              </w:rPr>
            </w:pPr>
            <w:r>
              <w:rPr>
                <w:rFonts w:hint="eastAsia"/>
                <w:sz w:val="21"/>
                <w:szCs w:val="21"/>
              </w:rPr>
              <w:t>演礼乡</w:t>
            </w:r>
          </w:p>
          <w:p w14:paraId="151766FB">
            <w:pPr>
              <w:pStyle w:val="29"/>
              <w:rPr>
                <w:sz w:val="21"/>
                <w:szCs w:val="21"/>
              </w:rPr>
            </w:pPr>
            <w:r>
              <w:rPr>
                <w:rFonts w:hint="eastAsia"/>
                <w:sz w:val="21"/>
                <w:szCs w:val="21"/>
              </w:rPr>
              <w:t>固隆乡</w:t>
            </w:r>
          </w:p>
          <w:p w14:paraId="6EC21474">
            <w:pPr>
              <w:pStyle w:val="29"/>
              <w:rPr>
                <w:sz w:val="21"/>
                <w:szCs w:val="21"/>
              </w:rPr>
            </w:pPr>
            <w:r>
              <w:rPr>
                <w:rFonts w:hint="eastAsia"/>
                <w:sz w:val="21"/>
                <w:szCs w:val="21"/>
              </w:rPr>
              <w:t>凤城镇</w:t>
            </w:r>
          </w:p>
          <w:p w14:paraId="223ACD99">
            <w:pPr>
              <w:pStyle w:val="29"/>
              <w:rPr>
                <w:sz w:val="21"/>
                <w:szCs w:val="21"/>
              </w:rPr>
            </w:pPr>
            <w:r>
              <w:rPr>
                <w:rFonts w:hint="eastAsia"/>
                <w:sz w:val="21"/>
                <w:szCs w:val="21"/>
              </w:rPr>
              <w:t>白桑乡</w:t>
            </w:r>
          </w:p>
        </w:tc>
        <w:tc>
          <w:tcPr>
            <w:tcW w:w="727" w:type="pct"/>
            <w:tcBorders>
              <w:top w:val="nil"/>
              <w:left w:val="nil"/>
              <w:bottom w:val="single" w:color="auto" w:sz="4" w:space="0"/>
              <w:right w:val="single" w:color="auto" w:sz="4" w:space="0"/>
            </w:tcBorders>
            <w:shd w:val="clear" w:color="auto" w:fill="auto"/>
            <w:vAlign w:val="center"/>
          </w:tcPr>
          <w:p w14:paraId="6D018449">
            <w:pPr>
              <w:pStyle w:val="29"/>
              <w:rPr>
                <w:sz w:val="21"/>
                <w:szCs w:val="21"/>
              </w:rPr>
            </w:pPr>
            <w:r>
              <w:rPr>
                <w:rFonts w:hint="eastAsia"/>
                <w:sz w:val="21"/>
                <w:szCs w:val="21"/>
              </w:rPr>
              <w:t>栅村至固隆段正在编制工可。前贯沟至白桑段方案研究阶段。</w:t>
            </w:r>
          </w:p>
        </w:tc>
      </w:tr>
      <w:tr w14:paraId="0623C7A9">
        <w:tblPrEx>
          <w:tblCellMar>
            <w:top w:w="0" w:type="dxa"/>
            <w:left w:w="108" w:type="dxa"/>
            <w:bottom w:w="0" w:type="dxa"/>
            <w:right w:w="108" w:type="dxa"/>
          </w:tblCellMar>
        </w:tblPrEx>
        <w:trPr>
          <w:trHeight w:val="510"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14:paraId="1C665DD4">
            <w:pPr>
              <w:pStyle w:val="29"/>
              <w:rPr>
                <w:sz w:val="21"/>
                <w:szCs w:val="21"/>
              </w:rPr>
            </w:pPr>
            <w:r>
              <w:rPr>
                <w:rFonts w:hint="eastAsia"/>
                <w:sz w:val="21"/>
                <w:szCs w:val="21"/>
              </w:rPr>
              <w:t>4</w:t>
            </w:r>
          </w:p>
        </w:tc>
        <w:tc>
          <w:tcPr>
            <w:tcW w:w="545" w:type="pct"/>
            <w:tcBorders>
              <w:top w:val="nil"/>
              <w:left w:val="nil"/>
              <w:bottom w:val="single" w:color="auto" w:sz="4" w:space="0"/>
              <w:right w:val="single" w:color="auto" w:sz="4" w:space="0"/>
            </w:tcBorders>
            <w:shd w:val="clear" w:color="auto" w:fill="auto"/>
            <w:vAlign w:val="center"/>
          </w:tcPr>
          <w:p w14:paraId="1E308555">
            <w:pPr>
              <w:pStyle w:val="29"/>
              <w:rPr>
                <w:sz w:val="21"/>
                <w:szCs w:val="21"/>
              </w:rPr>
            </w:pPr>
            <w:r>
              <w:rPr>
                <w:rFonts w:hint="eastAsia"/>
                <w:sz w:val="21"/>
                <w:szCs w:val="21"/>
              </w:rPr>
              <w:t>阳城县农村公路改造工程</w:t>
            </w:r>
          </w:p>
        </w:tc>
        <w:tc>
          <w:tcPr>
            <w:tcW w:w="2137" w:type="pct"/>
            <w:tcBorders>
              <w:top w:val="nil"/>
              <w:left w:val="nil"/>
              <w:bottom w:val="single" w:color="auto" w:sz="4" w:space="0"/>
              <w:right w:val="single" w:color="auto" w:sz="4" w:space="0"/>
            </w:tcBorders>
            <w:shd w:val="clear" w:color="auto" w:fill="auto"/>
            <w:vAlign w:val="center"/>
          </w:tcPr>
          <w:p w14:paraId="108D37EF">
            <w:pPr>
              <w:pStyle w:val="29"/>
              <w:jc w:val="left"/>
              <w:rPr>
                <w:sz w:val="21"/>
                <w:szCs w:val="21"/>
              </w:rPr>
            </w:pPr>
            <w:r>
              <w:rPr>
                <w:rFonts w:hint="eastAsia"/>
                <w:sz w:val="21"/>
                <w:szCs w:val="21"/>
              </w:rPr>
              <w:t>县乡公路改造等在内的172项工程，新改建里程约403公里。</w:t>
            </w:r>
          </w:p>
        </w:tc>
        <w:tc>
          <w:tcPr>
            <w:tcW w:w="417" w:type="pct"/>
            <w:tcBorders>
              <w:top w:val="nil"/>
              <w:left w:val="nil"/>
              <w:bottom w:val="single" w:color="auto" w:sz="4" w:space="0"/>
              <w:right w:val="single" w:color="auto" w:sz="4" w:space="0"/>
            </w:tcBorders>
            <w:shd w:val="clear" w:color="auto" w:fill="auto"/>
            <w:vAlign w:val="center"/>
          </w:tcPr>
          <w:p w14:paraId="2A4658CE">
            <w:pPr>
              <w:pStyle w:val="29"/>
              <w:rPr>
                <w:sz w:val="21"/>
                <w:szCs w:val="21"/>
              </w:rPr>
            </w:pPr>
            <w:r>
              <w:rPr>
                <w:rFonts w:hint="eastAsia"/>
                <w:sz w:val="21"/>
                <w:szCs w:val="21"/>
              </w:rPr>
              <w:t>2021-2025</w:t>
            </w:r>
          </w:p>
        </w:tc>
        <w:tc>
          <w:tcPr>
            <w:tcW w:w="417" w:type="pct"/>
            <w:tcBorders>
              <w:top w:val="nil"/>
              <w:left w:val="nil"/>
              <w:bottom w:val="single" w:color="auto" w:sz="4" w:space="0"/>
              <w:right w:val="single" w:color="auto" w:sz="4" w:space="0"/>
            </w:tcBorders>
            <w:shd w:val="clear" w:color="auto" w:fill="auto"/>
            <w:vAlign w:val="center"/>
          </w:tcPr>
          <w:p w14:paraId="411AAF28">
            <w:pPr>
              <w:pStyle w:val="29"/>
              <w:rPr>
                <w:sz w:val="21"/>
                <w:szCs w:val="21"/>
              </w:rPr>
            </w:pPr>
            <w:r>
              <w:rPr>
                <w:rFonts w:hint="eastAsia"/>
                <w:sz w:val="21"/>
                <w:szCs w:val="21"/>
              </w:rPr>
              <w:t>新改建</w:t>
            </w:r>
          </w:p>
        </w:tc>
        <w:tc>
          <w:tcPr>
            <w:tcW w:w="521" w:type="pct"/>
            <w:tcBorders>
              <w:top w:val="nil"/>
              <w:left w:val="nil"/>
              <w:bottom w:val="single" w:color="auto" w:sz="4" w:space="0"/>
              <w:right w:val="single" w:color="auto" w:sz="4" w:space="0"/>
            </w:tcBorders>
            <w:shd w:val="clear" w:color="auto" w:fill="auto"/>
            <w:vAlign w:val="center"/>
          </w:tcPr>
          <w:p w14:paraId="00B8F8A4">
            <w:pPr>
              <w:pStyle w:val="29"/>
              <w:rPr>
                <w:sz w:val="21"/>
                <w:szCs w:val="21"/>
              </w:rPr>
            </w:pPr>
            <w:r>
              <w:rPr>
                <w:rFonts w:hint="eastAsia"/>
                <w:sz w:val="21"/>
                <w:szCs w:val="21"/>
              </w:rPr>
              <w:t>相关乡镇</w:t>
            </w:r>
          </w:p>
        </w:tc>
        <w:tc>
          <w:tcPr>
            <w:tcW w:w="727" w:type="pct"/>
            <w:tcBorders>
              <w:top w:val="nil"/>
              <w:left w:val="nil"/>
              <w:bottom w:val="single" w:color="auto" w:sz="4" w:space="0"/>
              <w:right w:val="single" w:color="auto" w:sz="4" w:space="0"/>
            </w:tcBorders>
            <w:shd w:val="clear" w:color="auto" w:fill="auto"/>
            <w:vAlign w:val="center"/>
          </w:tcPr>
          <w:p w14:paraId="4975155B">
            <w:pPr>
              <w:pStyle w:val="29"/>
              <w:rPr>
                <w:sz w:val="21"/>
                <w:szCs w:val="21"/>
              </w:rPr>
            </w:pPr>
            <w:r>
              <w:rPr>
                <w:rFonts w:hint="eastAsia"/>
                <w:sz w:val="21"/>
                <w:szCs w:val="21"/>
              </w:rPr>
              <w:t>前期工作</w:t>
            </w:r>
          </w:p>
        </w:tc>
      </w:tr>
      <w:tr w14:paraId="5E5CEA54">
        <w:tblPrEx>
          <w:tblCellMar>
            <w:top w:w="0" w:type="dxa"/>
            <w:left w:w="108" w:type="dxa"/>
            <w:bottom w:w="0" w:type="dxa"/>
            <w:right w:w="108" w:type="dxa"/>
          </w:tblCellMar>
        </w:tblPrEx>
        <w:trPr>
          <w:trHeight w:val="510" w:hRule="atLeast"/>
        </w:trPr>
        <w:tc>
          <w:tcPr>
            <w:tcW w:w="235" w:type="pct"/>
            <w:tcBorders>
              <w:top w:val="nil"/>
              <w:left w:val="single" w:color="auto" w:sz="4" w:space="0"/>
              <w:bottom w:val="single" w:color="auto" w:sz="4" w:space="0"/>
              <w:right w:val="single" w:color="auto" w:sz="4" w:space="0"/>
            </w:tcBorders>
            <w:shd w:val="clear" w:color="auto" w:fill="auto"/>
            <w:noWrap/>
            <w:vAlign w:val="center"/>
          </w:tcPr>
          <w:p w14:paraId="28296EA5">
            <w:pPr>
              <w:pStyle w:val="29"/>
              <w:rPr>
                <w:sz w:val="21"/>
                <w:szCs w:val="21"/>
              </w:rPr>
            </w:pPr>
            <w:r>
              <w:rPr>
                <w:rFonts w:hint="eastAsia"/>
                <w:sz w:val="21"/>
                <w:szCs w:val="21"/>
              </w:rPr>
              <w:t>5</w:t>
            </w:r>
          </w:p>
        </w:tc>
        <w:tc>
          <w:tcPr>
            <w:tcW w:w="545" w:type="pct"/>
            <w:tcBorders>
              <w:top w:val="nil"/>
              <w:left w:val="nil"/>
              <w:bottom w:val="single" w:color="auto" w:sz="4" w:space="0"/>
              <w:right w:val="single" w:color="auto" w:sz="4" w:space="0"/>
            </w:tcBorders>
            <w:shd w:val="clear" w:color="auto" w:fill="auto"/>
            <w:vAlign w:val="center"/>
          </w:tcPr>
          <w:p w14:paraId="0E814FA9">
            <w:pPr>
              <w:pStyle w:val="29"/>
              <w:rPr>
                <w:sz w:val="21"/>
                <w:szCs w:val="21"/>
              </w:rPr>
            </w:pPr>
            <w:r>
              <w:rPr>
                <w:rFonts w:hint="eastAsia"/>
                <w:sz w:val="21"/>
                <w:szCs w:val="21"/>
              </w:rPr>
              <w:t>出境口通道建设项目</w:t>
            </w:r>
          </w:p>
        </w:tc>
        <w:tc>
          <w:tcPr>
            <w:tcW w:w="2137" w:type="pct"/>
            <w:tcBorders>
              <w:top w:val="nil"/>
              <w:left w:val="nil"/>
              <w:bottom w:val="single" w:color="auto" w:sz="4" w:space="0"/>
              <w:right w:val="single" w:color="auto" w:sz="4" w:space="0"/>
            </w:tcBorders>
            <w:shd w:val="clear" w:color="auto" w:fill="auto"/>
            <w:vAlign w:val="center"/>
          </w:tcPr>
          <w:p w14:paraId="49D2881F">
            <w:pPr>
              <w:pStyle w:val="29"/>
              <w:jc w:val="left"/>
              <w:rPr>
                <w:sz w:val="21"/>
                <w:szCs w:val="21"/>
              </w:rPr>
            </w:pPr>
            <w:r>
              <w:rPr>
                <w:rFonts w:hint="eastAsia"/>
                <w:sz w:val="21"/>
                <w:szCs w:val="21"/>
              </w:rPr>
              <w:t>马寺线延伸（寺头张家庄接沁水县郑庄镇）、董封临涧旅游路（董封临涧接沁水县土沃乡）2个出境口通道建设。</w:t>
            </w:r>
          </w:p>
        </w:tc>
        <w:tc>
          <w:tcPr>
            <w:tcW w:w="417" w:type="pct"/>
            <w:tcBorders>
              <w:top w:val="nil"/>
              <w:left w:val="nil"/>
              <w:bottom w:val="single" w:color="auto" w:sz="4" w:space="0"/>
              <w:right w:val="single" w:color="auto" w:sz="4" w:space="0"/>
            </w:tcBorders>
            <w:shd w:val="clear" w:color="auto" w:fill="auto"/>
            <w:vAlign w:val="center"/>
          </w:tcPr>
          <w:p w14:paraId="22963539">
            <w:pPr>
              <w:pStyle w:val="29"/>
              <w:rPr>
                <w:sz w:val="21"/>
                <w:szCs w:val="21"/>
              </w:rPr>
            </w:pPr>
            <w:r>
              <w:rPr>
                <w:rFonts w:hint="eastAsia"/>
                <w:sz w:val="21"/>
                <w:szCs w:val="21"/>
              </w:rPr>
              <w:t>2021-2025</w:t>
            </w:r>
          </w:p>
        </w:tc>
        <w:tc>
          <w:tcPr>
            <w:tcW w:w="417" w:type="pct"/>
            <w:tcBorders>
              <w:top w:val="nil"/>
              <w:left w:val="nil"/>
              <w:bottom w:val="single" w:color="auto" w:sz="4" w:space="0"/>
              <w:right w:val="single" w:color="auto" w:sz="4" w:space="0"/>
            </w:tcBorders>
            <w:shd w:val="clear" w:color="auto" w:fill="auto"/>
            <w:vAlign w:val="center"/>
          </w:tcPr>
          <w:p w14:paraId="1A07CD47">
            <w:pPr>
              <w:pStyle w:val="29"/>
              <w:rPr>
                <w:sz w:val="21"/>
                <w:szCs w:val="21"/>
              </w:rPr>
            </w:pPr>
            <w:r>
              <w:rPr>
                <w:rFonts w:hint="eastAsia"/>
                <w:sz w:val="21"/>
                <w:szCs w:val="21"/>
              </w:rPr>
              <w:t>新改建</w:t>
            </w:r>
          </w:p>
        </w:tc>
        <w:tc>
          <w:tcPr>
            <w:tcW w:w="521" w:type="pct"/>
            <w:tcBorders>
              <w:top w:val="nil"/>
              <w:left w:val="nil"/>
              <w:bottom w:val="single" w:color="auto" w:sz="4" w:space="0"/>
              <w:right w:val="single" w:color="auto" w:sz="4" w:space="0"/>
            </w:tcBorders>
            <w:shd w:val="clear" w:color="auto" w:fill="auto"/>
            <w:vAlign w:val="center"/>
          </w:tcPr>
          <w:p w14:paraId="1EEB3BDC">
            <w:pPr>
              <w:pStyle w:val="29"/>
              <w:rPr>
                <w:sz w:val="21"/>
                <w:szCs w:val="21"/>
              </w:rPr>
            </w:pPr>
            <w:r>
              <w:rPr>
                <w:rFonts w:hint="eastAsia"/>
                <w:sz w:val="21"/>
                <w:szCs w:val="21"/>
              </w:rPr>
              <w:t>寺头乡</w:t>
            </w:r>
          </w:p>
          <w:p w14:paraId="15DE263B">
            <w:pPr>
              <w:pStyle w:val="29"/>
              <w:rPr>
                <w:sz w:val="21"/>
                <w:szCs w:val="21"/>
              </w:rPr>
            </w:pPr>
            <w:r>
              <w:rPr>
                <w:rFonts w:hint="eastAsia"/>
                <w:sz w:val="21"/>
                <w:szCs w:val="21"/>
              </w:rPr>
              <w:t>董封乡</w:t>
            </w:r>
          </w:p>
        </w:tc>
        <w:tc>
          <w:tcPr>
            <w:tcW w:w="727" w:type="pct"/>
            <w:tcBorders>
              <w:top w:val="nil"/>
              <w:left w:val="nil"/>
              <w:bottom w:val="single" w:color="auto" w:sz="4" w:space="0"/>
              <w:right w:val="single" w:color="auto" w:sz="4" w:space="0"/>
            </w:tcBorders>
            <w:shd w:val="clear" w:color="auto" w:fill="auto"/>
            <w:vAlign w:val="center"/>
          </w:tcPr>
          <w:p w14:paraId="775FC66C">
            <w:pPr>
              <w:pStyle w:val="29"/>
              <w:rPr>
                <w:sz w:val="21"/>
                <w:szCs w:val="21"/>
              </w:rPr>
            </w:pPr>
            <w:r>
              <w:rPr>
                <w:rFonts w:hint="eastAsia"/>
                <w:sz w:val="21"/>
                <w:szCs w:val="21"/>
              </w:rPr>
              <w:t>前期工作</w:t>
            </w:r>
          </w:p>
        </w:tc>
      </w:tr>
      <w:tr w14:paraId="3887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shd w:val="clear" w:color="auto" w:fill="auto"/>
            <w:noWrap/>
            <w:vAlign w:val="center"/>
          </w:tcPr>
          <w:p w14:paraId="731BD698">
            <w:pPr>
              <w:pStyle w:val="29"/>
              <w:rPr>
                <w:sz w:val="21"/>
                <w:szCs w:val="21"/>
              </w:rPr>
            </w:pPr>
            <w:r>
              <w:rPr>
                <w:rFonts w:hint="eastAsia"/>
                <w:sz w:val="21"/>
                <w:szCs w:val="21"/>
              </w:rPr>
              <w:t>6</w:t>
            </w:r>
          </w:p>
        </w:tc>
        <w:tc>
          <w:tcPr>
            <w:tcW w:w="545" w:type="pct"/>
            <w:shd w:val="clear" w:color="auto" w:fill="auto"/>
            <w:vAlign w:val="center"/>
          </w:tcPr>
          <w:p w14:paraId="5C06FA0E">
            <w:pPr>
              <w:pStyle w:val="29"/>
              <w:rPr>
                <w:sz w:val="21"/>
                <w:szCs w:val="21"/>
              </w:rPr>
            </w:pPr>
            <w:r>
              <w:rPr>
                <w:rFonts w:hint="eastAsia"/>
                <w:sz w:val="21"/>
                <w:szCs w:val="21"/>
              </w:rPr>
              <w:t>通用机场项目</w:t>
            </w:r>
          </w:p>
        </w:tc>
        <w:tc>
          <w:tcPr>
            <w:tcW w:w="2137" w:type="pct"/>
            <w:shd w:val="clear" w:color="auto" w:fill="auto"/>
            <w:vAlign w:val="center"/>
          </w:tcPr>
          <w:p w14:paraId="2E6401D3">
            <w:pPr>
              <w:pStyle w:val="29"/>
              <w:jc w:val="left"/>
              <w:rPr>
                <w:sz w:val="21"/>
                <w:szCs w:val="21"/>
              </w:rPr>
            </w:pPr>
            <w:r>
              <w:rPr>
                <w:rFonts w:hint="eastAsia"/>
                <w:sz w:val="21"/>
                <w:szCs w:val="21"/>
              </w:rPr>
              <w:t>A1类通用机场，机场建设用地约2075亩。建设内容为1200M长，30M宽的跑道及相关配套设施（包括综合楼、塔台、垂直联络道、机库和维修厂房等）。</w:t>
            </w:r>
          </w:p>
        </w:tc>
        <w:tc>
          <w:tcPr>
            <w:tcW w:w="417" w:type="pct"/>
            <w:shd w:val="clear" w:color="auto" w:fill="auto"/>
            <w:vAlign w:val="center"/>
          </w:tcPr>
          <w:p w14:paraId="1EAA8984">
            <w:pPr>
              <w:pStyle w:val="29"/>
              <w:rPr>
                <w:sz w:val="21"/>
                <w:szCs w:val="21"/>
              </w:rPr>
            </w:pPr>
            <w:r>
              <w:rPr>
                <w:rFonts w:hint="eastAsia"/>
                <w:sz w:val="21"/>
                <w:szCs w:val="21"/>
              </w:rPr>
              <w:t>2021-2024</w:t>
            </w:r>
          </w:p>
        </w:tc>
        <w:tc>
          <w:tcPr>
            <w:tcW w:w="417" w:type="pct"/>
            <w:shd w:val="clear" w:color="auto" w:fill="auto"/>
            <w:vAlign w:val="center"/>
          </w:tcPr>
          <w:p w14:paraId="3422BA8F">
            <w:pPr>
              <w:pStyle w:val="29"/>
              <w:rPr>
                <w:sz w:val="21"/>
                <w:szCs w:val="21"/>
              </w:rPr>
            </w:pPr>
            <w:r>
              <w:rPr>
                <w:rFonts w:hint="eastAsia"/>
                <w:sz w:val="21"/>
                <w:szCs w:val="21"/>
              </w:rPr>
              <w:t>新建</w:t>
            </w:r>
          </w:p>
        </w:tc>
        <w:tc>
          <w:tcPr>
            <w:tcW w:w="521" w:type="pct"/>
            <w:shd w:val="clear" w:color="auto" w:fill="auto"/>
            <w:vAlign w:val="center"/>
          </w:tcPr>
          <w:p w14:paraId="42CE336C">
            <w:pPr>
              <w:pStyle w:val="29"/>
              <w:rPr>
                <w:sz w:val="21"/>
                <w:szCs w:val="21"/>
              </w:rPr>
            </w:pPr>
            <w:r>
              <w:rPr>
                <w:rFonts w:hint="eastAsia"/>
                <w:sz w:val="21"/>
                <w:szCs w:val="21"/>
              </w:rPr>
              <w:t>河北镇</w:t>
            </w:r>
          </w:p>
        </w:tc>
        <w:tc>
          <w:tcPr>
            <w:tcW w:w="727" w:type="pct"/>
            <w:shd w:val="clear" w:color="auto" w:fill="auto"/>
            <w:vAlign w:val="center"/>
          </w:tcPr>
          <w:p w14:paraId="62C49855">
            <w:pPr>
              <w:pStyle w:val="29"/>
              <w:rPr>
                <w:sz w:val="21"/>
                <w:szCs w:val="21"/>
              </w:rPr>
            </w:pPr>
            <w:r>
              <w:rPr>
                <w:rFonts w:hint="eastAsia"/>
                <w:sz w:val="21"/>
                <w:szCs w:val="21"/>
              </w:rPr>
              <w:t>正在办理用地、场址审批等前期工作</w:t>
            </w:r>
          </w:p>
        </w:tc>
      </w:tr>
    </w:tbl>
    <w:p w14:paraId="671BB27F">
      <w:pPr>
        <w:ind w:firstLine="640"/>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07"/>
        <w:gridCol w:w="5908"/>
        <w:gridCol w:w="1153"/>
        <w:gridCol w:w="1153"/>
        <w:gridCol w:w="1440"/>
        <w:gridCol w:w="2012"/>
      </w:tblGrid>
      <w:tr w14:paraId="4E13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 w:type="pct"/>
            <w:shd w:val="clear" w:color="auto" w:fill="auto"/>
            <w:noWrap/>
            <w:vAlign w:val="center"/>
          </w:tcPr>
          <w:p w14:paraId="52B78312">
            <w:pPr>
              <w:pStyle w:val="29"/>
              <w:rPr>
                <w:b/>
                <w:sz w:val="21"/>
                <w:szCs w:val="21"/>
              </w:rPr>
            </w:pPr>
            <w:r>
              <w:rPr>
                <w:rFonts w:hint="eastAsia"/>
                <w:b/>
                <w:sz w:val="21"/>
                <w:szCs w:val="21"/>
              </w:rPr>
              <w:t>序号</w:t>
            </w:r>
          </w:p>
        </w:tc>
        <w:tc>
          <w:tcPr>
            <w:tcW w:w="545" w:type="pct"/>
            <w:shd w:val="clear" w:color="auto" w:fill="auto"/>
            <w:vAlign w:val="center"/>
          </w:tcPr>
          <w:p w14:paraId="56887CD3">
            <w:pPr>
              <w:pStyle w:val="29"/>
              <w:rPr>
                <w:b/>
                <w:sz w:val="21"/>
                <w:szCs w:val="21"/>
              </w:rPr>
            </w:pPr>
            <w:r>
              <w:rPr>
                <w:rFonts w:hint="eastAsia"/>
                <w:b/>
                <w:sz w:val="21"/>
                <w:szCs w:val="21"/>
              </w:rPr>
              <w:t>项目名称</w:t>
            </w:r>
          </w:p>
        </w:tc>
        <w:tc>
          <w:tcPr>
            <w:tcW w:w="2137" w:type="pct"/>
            <w:shd w:val="clear" w:color="auto" w:fill="auto"/>
            <w:vAlign w:val="center"/>
          </w:tcPr>
          <w:p w14:paraId="0C141D69">
            <w:pPr>
              <w:pStyle w:val="29"/>
              <w:rPr>
                <w:b/>
                <w:sz w:val="21"/>
                <w:szCs w:val="21"/>
              </w:rPr>
            </w:pPr>
            <w:r>
              <w:rPr>
                <w:rFonts w:hint="eastAsia"/>
                <w:b/>
                <w:sz w:val="21"/>
                <w:szCs w:val="21"/>
              </w:rPr>
              <w:t>主要建设规模及内容</w:t>
            </w:r>
          </w:p>
        </w:tc>
        <w:tc>
          <w:tcPr>
            <w:tcW w:w="417" w:type="pct"/>
            <w:shd w:val="clear" w:color="auto" w:fill="auto"/>
            <w:vAlign w:val="center"/>
          </w:tcPr>
          <w:p w14:paraId="6D2576A4">
            <w:pPr>
              <w:pStyle w:val="29"/>
              <w:rPr>
                <w:b/>
                <w:sz w:val="21"/>
                <w:szCs w:val="21"/>
              </w:rPr>
            </w:pPr>
            <w:r>
              <w:rPr>
                <w:rFonts w:hint="eastAsia"/>
                <w:b/>
                <w:sz w:val="21"/>
                <w:szCs w:val="21"/>
              </w:rPr>
              <w:t>开工年限</w:t>
            </w:r>
          </w:p>
        </w:tc>
        <w:tc>
          <w:tcPr>
            <w:tcW w:w="417" w:type="pct"/>
            <w:shd w:val="clear" w:color="auto" w:fill="auto"/>
            <w:vAlign w:val="center"/>
          </w:tcPr>
          <w:p w14:paraId="7A9D3191">
            <w:pPr>
              <w:pStyle w:val="29"/>
              <w:rPr>
                <w:b/>
                <w:sz w:val="21"/>
                <w:szCs w:val="21"/>
              </w:rPr>
            </w:pPr>
            <w:r>
              <w:rPr>
                <w:rFonts w:hint="eastAsia"/>
                <w:b/>
                <w:sz w:val="21"/>
                <w:szCs w:val="21"/>
              </w:rPr>
              <w:t>建设性质</w:t>
            </w:r>
          </w:p>
        </w:tc>
        <w:tc>
          <w:tcPr>
            <w:tcW w:w="521" w:type="pct"/>
            <w:shd w:val="clear" w:color="auto" w:fill="auto"/>
            <w:vAlign w:val="center"/>
          </w:tcPr>
          <w:p w14:paraId="7EC24B46">
            <w:pPr>
              <w:pStyle w:val="29"/>
              <w:rPr>
                <w:b/>
                <w:sz w:val="21"/>
                <w:szCs w:val="21"/>
              </w:rPr>
            </w:pPr>
            <w:r>
              <w:rPr>
                <w:rFonts w:hint="eastAsia"/>
                <w:b/>
                <w:sz w:val="21"/>
                <w:szCs w:val="21"/>
              </w:rPr>
              <w:t>建设地址</w:t>
            </w:r>
          </w:p>
        </w:tc>
        <w:tc>
          <w:tcPr>
            <w:tcW w:w="728" w:type="pct"/>
            <w:shd w:val="clear" w:color="auto" w:fill="auto"/>
            <w:vAlign w:val="center"/>
          </w:tcPr>
          <w:p w14:paraId="064C29F4">
            <w:pPr>
              <w:pStyle w:val="29"/>
              <w:rPr>
                <w:b/>
                <w:sz w:val="21"/>
                <w:szCs w:val="21"/>
              </w:rPr>
            </w:pPr>
            <w:r>
              <w:rPr>
                <w:rFonts w:hint="eastAsia"/>
                <w:b/>
                <w:sz w:val="21"/>
                <w:szCs w:val="21"/>
              </w:rPr>
              <w:t>目前进度</w:t>
            </w:r>
          </w:p>
        </w:tc>
      </w:tr>
      <w:tr w14:paraId="275B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shd w:val="clear" w:color="auto" w:fill="auto"/>
            <w:noWrap/>
            <w:vAlign w:val="center"/>
          </w:tcPr>
          <w:p w14:paraId="55A3FCF5">
            <w:pPr>
              <w:pStyle w:val="29"/>
              <w:rPr>
                <w:sz w:val="21"/>
                <w:szCs w:val="21"/>
              </w:rPr>
            </w:pPr>
            <w:r>
              <w:rPr>
                <w:rFonts w:hint="eastAsia"/>
                <w:sz w:val="21"/>
                <w:szCs w:val="21"/>
              </w:rPr>
              <w:t>7</w:t>
            </w:r>
          </w:p>
        </w:tc>
        <w:tc>
          <w:tcPr>
            <w:tcW w:w="545" w:type="pct"/>
            <w:shd w:val="clear" w:color="auto" w:fill="auto"/>
            <w:vAlign w:val="center"/>
          </w:tcPr>
          <w:p w14:paraId="3B2E2B8B">
            <w:pPr>
              <w:pStyle w:val="29"/>
              <w:rPr>
                <w:sz w:val="21"/>
                <w:szCs w:val="21"/>
              </w:rPr>
            </w:pPr>
            <w:r>
              <w:rPr>
                <w:rFonts w:hint="eastAsia"/>
                <w:sz w:val="21"/>
                <w:szCs w:val="21"/>
              </w:rPr>
              <w:t>晋阳一级路改建项目</w:t>
            </w:r>
          </w:p>
        </w:tc>
        <w:tc>
          <w:tcPr>
            <w:tcW w:w="2137" w:type="pct"/>
            <w:shd w:val="clear" w:color="auto" w:fill="auto"/>
            <w:vAlign w:val="center"/>
          </w:tcPr>
          <w:p w14:paraId="40AB4CD6">
            <w:pPr>
              <w:pStyle w:val="29"/>
              <w:jc w:val="left"/>
              <w:rPr>
                <w:sz w:val="21"/>
                <w:szCs w:val="21"/>
              </w:rPr>
            </w:pPr>
            <w:r>
              <w:rPr>
                <w:rFonts w:hint="eastAsia"/>
                <w:sz w:val="21"/>
                <w:szCs w:val="21"/>
              </w:rPr>
              <w:t>路线全长54.406公里，一级公路技术标准，设计速度60公里／小时，路基宽度整体式采用20米，估算投资33.2亿元。其中：阳城段26公里，估算投资16亿元。</w:t>
            </w:r>
          </w:p>
        </w:tc>
        <w:tc>
          <w:tcPr>
            <w:tcW w:w="417" w:type="pct"/>
            <w:shd w:val="clear" w:color="auto" w:fill="auto"/>
            <w:vAlign w:val="center"/>
          </w:tcPr>
          <w:p w14:paraId="5BD355B2">
            <w:pPr>
              <w:pStyle w:val="29"/>
              <w:rPr>
                <w:sz w:val="21"/>
                <w:szCs w:val="21"/>
              </w:rPr>
            </w:pPr>
            <w:r>
              <w:rPr>
                <w:rFonts w:hint="eastAsia"/>
                <w:sz w:val="21"/>
                <w:szCs w:val="21"/>
              </w:rPr>
              <w:t>2021-2023</w:t>
            </w:r>
          </w:p>
        </w:tc>
        <w:tc>
          <w:tcPr>
            <w:tcW w:w="417" w:type="pct"/>
            <w:shd w:val="clear" w:color="auto" w:fill="auto"/>
            <w:vAlign w:val="center"/>
          </w:tcPr>
          <w:p w14:paraId="3A3B362F">
            <w:pPr>
              <w:pStyle w:val="29"/>
              <w:rPr>
                <w:sz w:val="21"/>
                <w:szCs w:val="21"/>
              </w:rPr>
            </w:pPr>
            <w:r>
              <w:rPr>
                <w:rFonts w:hint="eastAsia"/>
                <w:sz w:val="21"/>
                <w:szCs w:val="21"/>
              </w:rPr>
              <w:t>改建</w:t>
            </w:r>
          </w:p>
        </w:tc>
        <w:tc>
          <w:tcPr>
            <w:tcW w:w="521" w:type="pct"/>
            <w:shd w:val="clear" w:color="auto" w:fill="auto"/>
            <w:vAlign w:val="center"/>
          </w:tcPr>
          <w:p w14:paraId="20B97297">
            <w:pPr>
              <w:pStyle w:val="29"/>
              <w:rPr>
                <w:sz w:val="21"/>
                <w:szCs w:val="21"/>
              </w:rPr>
            </w:pPr>
            <w:r>
              <w:rPr>
                <w:rFonts w:hint="eastAsia"/>
                <w:sz w:val="21"/>
                <w:szCs w:val="21"/>
              </w:rPr>
              <w:t>阳城县</w:t>
            </w:r>
          </w:p>
          <w:p w14:paraId="2713B1DF">
            <w:pPr>
              <w:pStyle w:val="29"/>
              <w:rPr>
                <w:sz w:val="21"/>
                <w:szCs w:val="21"/>
              </w:rPr>
            </w:pPr>
            <w:r>
              <w:rPr>
                <w:rFonts w:hint="eastAsia"/>
                <w:sz w:val="21"/>
                <w:szCs w:val="21"/>
              </w:rPr>
              <w:t>城区</w:t>
            </w:r>
          </w:p>
          <w:p w14:paraId="1B6BB490">
            <w:pPr>
              <w:pStyle w:val="29"/>
              <w:rPr>
                <w:sz w:val="21"/>
                <w:szCs w:val="21"/>
              </w:rPr>
            </w:pPr>
            <w:r>
              <w:rPr>
                <w:rFonts w:hint="eastAsia"/>
                <w:sz w:val="21"/>
                <w:szCs w:val="21"/>
              </w:rPr>
              <w:t>泽州县</w:t>
            </w:r>
          </w:p>
        </w:tc>
        <w:tc>
          <w:tcPr>
            <w:tcW w:w="728" w:type="pct"/>
            <w:shd w:val="clear" w:color="auto" w:fill="auto"/>
            <w:vAlign w:val="center"/>
          </w:tcPr>
          <w:p w14:paraId="46674BE2">
            <w:pPr>
              <w:pStyle w:val="29"/>
              <w:rPr>
                <w:sz w:val="21"/>
                <w:szCs w:val="21"/>
              </w:rPr>
            </w:pPr>
            <w:r>
              <w:rPr>
                <w:rFonts w:hint="eastAsia"/>
                <w:sz w:val="21"/>
                <w:szCs w:val="21"/>
              </w:rPr>
              <w:t>市政府与晋城公路分局研究项目合作模式与融资方案</w:t>
            </w:r>
          </w:p>
        </w:tc>
      </w:tr>
      <w:tr w14:paraId="1085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shd w:val="clear" w:color="auto" w:fill="auto"/>
            <w:noWrap/>
            <w:vAlign w:val="center"/>
          </w:tcPr>
          <w:p w14:paraId="30FEBF2D">
            <w:pPr>
              <w:pStyle w:val="29"/>
              <w:rPr>
                <w:sz w:val="21"/>
                <w:szCs w:val="21"/>
              </w:rPr>
            </w:pPr>
            <w:r>
              <w:rPr>
                <w:rFonts w:hint="eastAsia"/>
                <w:sz w:val="21"/>
                <w:szCs w:val="21"/>
              </w:rPr>
              <w:t>8</w:t>
            </w:r>
          </w:p>
        </w:tc>
        <w:tc>
          <w:tcPr>
            <w:tcW w:w="545" w:type="pct"/>
            <w:shd w:val="clear" w:color="auto" w:fill="auto"/>
            <w:vAlign w:val="center"/>
          </w:tcPr>
          <w:p w14:paraId="3AA35CC1">
            <w:pPr>
              <w:pStyle w:val="29"/>
              <w:rPr>
                <w:sz w:val="21"/>
                <w:szCs w:val="21"/>
              </w:rPr>
            </w:pPr>
            <w:r>
              <w:rPr>
                <w:rFonts w:hint="eastAsia"/>
                <w:sz w:val="21"/>
                <w:szCs w:val="21"/>
              </w:rPr>
              <w:t>晋城至侯马城际铁路阳城段项目</w:t>
            </w:r>
          </w:p>
        </w:tc>
        <w:tc>
          <w:tcPr>
            <w:tcW w:w="2137" w:type="pct"/>
            <w:shd w:val="clear" w:color="auto" w:fill="auto"/>
            <w:vAlign w:val="center"/>
          </w:tcPr>
          <w:p w14:paraId="5E655688">
            <w:pPr>
              <w:pStyle w:val="29"/>
              <w:jc w:val="left"/>
              <w:rPr>
                <w:sz w:val="21"/>
                <w:szCs w:val="21"/>
              </w:rPr>
            </w:pPr>
            <w:r>
              <w:rPr>
                <w:rFonts w:hint="eastAsia"/>
                <w:sz w:val="21"/>
                <w:szCs w:val="21"/>
              </w:rPr>
              <w:t>线路起于在建太焦城际晋城东站,途经晋城市城区、泽州县、阳城县、沁水县，临汾市翼城县、曲沃县、侯马市。在侯马西站西侧并站引入大西高铁。线路全长169公里，估算投资228亿元。其中：阳城段40公里，估算投资55亿元。</w:t>
            </w:r>
          </w:p>
        </w:tc>
        <w:tc>
          <w:tcPr>
            <w:tcW w:w="417" w:type="pct"/>
            <w:shd w:val="clear" w:color="auto" w:fill="auto"/>
            <w:vAlign w:val="center"/>
          </w:tcPr>
          <w:p w14:paraId="482303D7">
            <w:pPr>
              <w:pStyle w:val="29"/>
              <w:rPr>
                <w:sz w:val="21"/>
                <w:szCs w:val="21"/>
              </w:rPr>
            </w:pPr>
            <w:r>
              <w:rPr>
                <w:rFonts w:hint="eastAsia"/>
                <w:sz w:val="21"/>
                <w:szCs w:val="21"/>
              </w:rPr>
              <w:t>2024-2028</w:t>
            </w:r>
          </w:p>
        </w:tc>
        <w:tc>
          <w:tcPr>
            <w:tcW w:w="417" w:type="pct"/>
            <w:shd w:val="clear" w:color="auto" w:fill="auto"/>
            <w:vAlign w:val="center"/>
          </w:tcPr>
          <w:p w14:paraId="430D7F34">
            <w:pPr>
              <w:pStyle w:val="29"/>
              <w:rPr>
                <w:sz w:val="21"/>
                <w:szCs w:val="21"/>
              </w:rPr>
            </w:pPr>
            <w:r>
              <w:rPr>
                <w:rFonts w:hint="eastAsia"/>
                <w:sz w:val="21"/>
                <w:szCs w:val="21"/>
              </w:rPr>
              <w:t>新建</w:t>
            </w:r>
          </w:p>
        </w:tc>
        <w:tc>
          <w:tcPr>
            <w:tcW w:w="521" w:type="pct"/>
            <w:shd w:val="clear" w:color="auto" w:fill="auto"/>
            <w:vAlign w:val="center"/>
          </w:tcPr>
          <w:p w14:paraId="3B679446">
            <w:pPr>
              <w:pStyle w:val="29"/>
              <w:rPr>
                <w:sz w:val="21"/>
                <w:szCs w:val="21"/>
              </w:rPr>
            </w:pPr>
            <w:r>
              <w:rPr>
                <w:rFonts w:hint="eastAsia"/>
                <w:sz w:val="21"/>
                <w:szCs w:val="21"/>
              </w:rPr>
              <w:t>泽州县</w:t>
            </w:r>
          </w:p>
          <w:p w14:paraId="382994F3">
            <w:pPr>
              <w:pStyle w:val="29"/>
              <w:rPr>
                <w:sz w:val="21"/>
                <w:szCs w:val="21"/>
              </w:rPr>
            </w:pPr>
            <w:r>
              <w:rPr>
                <w:rFonts w:hint="eastAsia"/>
                <w:sz w:val="21"/>
                <w:szCs w:val="21"/>
              </w:rPr>
              <w:t>阳城县</w:t>
            </w:r>
          </w:p>
          <w:p w14:paraId="6906D7F5">
            <w:pPr>
              <w:pStyle w:val="29"/>
              <w:rPr>
                <w:sz w:val="21"/>
                <w:szCs w:val="21"/>
              </w:rPr>
            </w:pPr>
            <w:r>
              <w:rPr>
                <w:rFonts w:hint="eastAsia"/>
                <w:sz w:val="21"/>
                <w:szCs w:val="21"/>
              </w:rPr>
              <w:t>沁水县</w:t>
            </w:r>
          </w:p>
          <w:p w14:paraId="16B5EA4D">
            <w:pPr>
              <w:pStyle w:val="29"/>
              <w:rPr>
                <w:sz w:val="21"/>
                <w:szCs w:val="21"/>
              </w:rPr>
            </w:pPr>
            <w:r>
              <w:rPr>
                <w:rFonts w:hint="eastAsia"/>
                <w:sz w:val="21"/>
                <w:szCs w:val="21"/>
              </w:rPr>
              <w:t>翼城县</w:t>
            </w:r>
          </w:p>
          <w:p w14:paraId="576883EA">
            <w:pPr>
              <w:pStyle w:val="29"/>
              <w:rPr>
                <w:sz w:val="21"/>
                <w:szCs w:val="21"/>
              </w:rPr>
            </w:pPr>
            <w:r>
              <w:rPr>
                <w:rFonts w:hint="eastAsia"/>
                <w:sz w:val="21"/>
                <w:szCs w:val="21"/>
              </w:rPr>
              <w:t>曲沃县</w:t>
            </w:r>
          </w:p>
          <w:p w14:paraId="22E22283">
            <w:pPr>
              <w:pStyle w:val="29"/>
              <w:rPr>
                <w:sz w:val="21"/>
                <w:szCs w:val="21"/>
              </w:rPr>
            </w:pPr>
            <w:r>
              <w:rPr>
                <w:rFonts w:hint="eastAsia"/>
                <w:sz w:val="21"/>
                <w:szCs w:val="21"/>
              </w:rPr>
              <w:t>侯马市</w:t>
            </w:r>
          </w:p>
        </w:tc>
        <w:tc>
          <w:tcPr>
            <w:tcW w:w="728" w:type="pct"/>
            <w:shd w:val="clear" w:color="auto" w:fill="auto"/>
            <w:vAlign w:val="center"/>
          </w:tcPr>
          <w:p w14:paraId="3754E728">
            <w:pPr>
              <w:pStyle w:val="29"/>
              <w:rPr>
                <w:sz w:val="21"/>
                <w:szCs w:val="21"/>
              </w:rPr>
            </w:pPr>
            <w:r>
              <w:rPr>
                <w:rFonts w:hint="eastAsia"/>
                <w:sz w:val="21"/>
                <w:szCs w:val="21"/>
              </w:rPr>
              <w:t>完成预可研。正在沟通列入国家铁路网规划。</w:t>
            </w:r>
          </w:p>
        </w:tc>
      </w:tr>
      <w:tr w14:paraId="7A27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shd w:val="clear" w:color="auto" w:fill="auto"/>
            <w:noWrap/>
            <w:vAlign w:val="center"/>
          </w:tcPr>
          <w:p w14:paraId="6DDCAE48">
            <w:pPr>
              <w:pStyle w:val="29"/>
              <w:rPr>
                <w:sz w:val="21"/>
                <w:szCs w:val="21"/>
              </w:rPr>
            </w:pPr>
            <w:r>
              <w:rPr>
                <w:rFonts w:hint="eastAsia"/>
                <w:sz w:val="21"/>
                <w:szCs w:val="21"/>
              </w:rPr>
              <w:t>9</w:t>
            </w:r>
          </w:p>
        </w:tc>
        <w:tc>
          <w:tcPr>
            <w:tcW w:w="545" w:type="pct"/>
            <w:shd w:val="clear" w:color="auto" w:fill="auto"/>
            <w:vAlign w:val="center"/>
          </w:tcPr>
          <w:p w14:paraId="60624743">
            <w:pPr>
              <w:pStyle w:val="29"/>
              <w:rPr>
                <w:sz w:val="21"/>
                <w:szCs w:val="21"/>
              </w:rPr>
            </w:pPr>
            <w:r>
              <w:rPr>
                <w:rFonts w:hint="eastAsia"/>
                <w:sz w:val="21"/>
                <w:szCs w:val="21"/>
              </w:rPr>
              <w:t>阳运高速公路项目</w:t>
            </w:r>
          </w:p>
        </w:tc>
        <w:tc>
          <w:tcPr>
            <w:tcW w:w="2137" w:type="pct"/>
            <w:shd w:val="clear" w:color="auto" w:fill="auto"/>
            <w:vAlign w:val="center"/>
          </w:tcPr>
          <w:p w14:paraId="5DF02FFA">
            <w:pPr>
              <w:pStyle w:val="29"/>
              <w:jc w:val="left"/>
              <w:rPr>
                <w:sz w:val="21"/>
                <w:szCs w:val="21"/>
              </w:rPr>
            </w:pPr>
            <w:r>
              <w:rPr>
                <w:rFonts w:hint="eastAsia"/>
                <w:sz w:val="21"/>
                <w:szCs w:val="21"/>
              </w:rPr>
              <w:t>拟建方案路线全长135公里，标准为双向四车道高速公路，设计速度80公里/小时，路基宽度25.5米，估算投资170亿元。其中：阳城段长35.7公里，估算投资50亿元。</w:t>
            </w:r>
          </w:p>
        </w:tc>
        <w:tc>
          <w:tcPr>
            <w:tcW w:w="417" w:type="pct"/>
            <w:shd w:val="clear" w:color="auto" w:fill="auto"/>
            <w:vAlign w:val="center"/>
          </w:tcPr>
          <w:p w14:paraId="4B6700E8">
            <w:pPr>
              <w:pStyle w:val="29"/>
              <w:rPr>
                <w:sz w:val="21"/>
                <w:szCs w:val="21"/>
              </w:rPr>
            </w:pPr>
            <w:r>
              <w:rPr>
                <w:rFonts w:hint="eastAsia"/>
                <w:sz w:val="21"/>
                <w:szCs w:val="21"/>
              </w:rPr>
              <w:t>2022-2025</w:t>
            </w:r>
          </w:p>
        </w:tc>
        <w:tc>
          <w:tcPr>
            <w:tcW w:w="417" w:type="pct"/>
            <w:shd w:val="clear" w:color="auto" w:fill="auto"/>
            <w:vAlign w:val="center"/>
          </w:tcPr>
          <w:p w14:paraId="742F10C4">
            <w:pPr>
              <w:pStyle w:val="29"/>
              <w:rPr>
                <w:sz w:val="21"/>
                <w:szCs w:val="21"/>
              </w:rPr>
            </w:pPr>
            <w:r>
              <w:rPr>
                <w:rFonts w:hint="eastAsia"/>
                <w:sz w:val="21"/>
                <w:szCs w:val="21"/>
              </w:rPr>
              <w:t>新建</w:t>
            </w:r>
          </w:p>
        </w:tc>
        <w:tc>
          <w:tcPr>
            <w:tcW w:w="521" w:type="pct"/>
            <w:shd w:val="clear" w:color="auto" w:fill="auto"/>
            <w:vAlign w:val="center"/>
          </w:tcPr>
          <w:p w14:paraId="1663A453">
            <w:pPr>
              <w:pStyle w:val="29"/>
              <w:rPr>
                <w:sz w:val="21"/>
                <w:szCs w:val="21"/>
              </w:rPr>
            </w:pPr>
            <w:r>
              <w:rPr>
                <w:rFonts w:hint="eastAsia"/>
                <w:sz w:val="21"/>
                <w:szCs w:val="21"/>
              </w:rPr>
              <w:t>阳城县</w:t>
            </w:r>
          </w:p>
          <w:p w14:paraId="4B663A24">
            <w:pPr>
              <w:pStyle w:val="29"/>
              <w:rPr>
                <w:sz w:val="21"/>
                <w:szCs w:val="21"/>
              </w:rPr>
            </w:pPr>
            <w:r>
              <w:rPr>
                <w:rFonts w:hint="eastAsia"/>
                <w:sz w:val="21"/>
                <w:szCs w:val="21"/>
              </w:rPr>
              <w:t>垣曲县</w:t>
            </w:r>
          </w:p>
          <w:p w14:paraId="5C9DCBE5">
            <w:pPr>
              <w:pStyle w:val="29"/>
              <w:rPr>
                <w:sz w:val="21"/>
                <w:szCs w:val="21"/>
              </w:rPr>
            </w:pPr>
            <w:r>
              <w:rPr>
                <w:rFonts w:hint="eastAsia"/>
                <w:sz w:val="21"/>
                <w:szCs w:val="21"/>
              </w:rPr>
              <w:t>闻喜县</w:t>
            </w:r>
          </w:p>
          <w:p w14:paraId="698E7668">
            <w:pPr>
              <w:pStyle w:val="29"/>
              <w:rPr>
                <w:sz w:val="21"/>
                <w:szCs w:val="21"/>
              </w:rPr>
            </w:pPr>
            <w:r>
              <w:rPr>
                <w:rFonts w:hint="eastAsia"/>
                <w:sz w:val="21"/>
                <w:szCs w:val="21"/>
              </w:rPr>
              <w:t>夏县盐湖区</w:t>
            </w:r>
          </w:p>
        </w:tc>
        <w:tc>
          <w:tcPr>
            <w:tcW w:w="728" w:type="pct"/>
            <w:shd w:val="clear" w:color="auto" w:fill="auto"/>
            <w:vAlign w:val="center"/>
          </w:tcPr>
          <w:p w14:paraId="74789A25">
            <w:pPr>
              <w:pStyle w:val="29"/>
              <w:rPr>
                <w:sz w:val="21"/>
                <w:szCs w:val="21"/>
              </w:rPr>
            </w:pPr>
            <w:r>
              <w:rPr>
                <w:rFonts w:hint="eastAsia"/>
                <w:sz w:val="21"/>
                <w:szCs w:val="21"/>
              </w:rPr>
              <w:t>已列入国高网，省厅正在推进前期工作</w:t>
            </w:r>
          </w:p>
        </w:tc>
      </w:tr>
      <w:tr w14:paraId="32F7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shd w:val="clear" w:color="auto" w:fill="auto"/>
            <w:noWrap/>
            <w:vAlign w:val="center"/>
          </w:tcPr>
          <w:p w14:paraId="12367857">
            <w:pPr>
              <w:pStyle w:val="29"/>
              <w:rPr>
                <w:sz w:val="21"/>
                <w:szCs w:val="21"/>
              </w:rPr>
            </w:pPr>
            <w:r>
              <w:rPr>
                <w:rFonts w:hint="eastAsia"/>
                <w:sz w:val="21"/>
                <w:szCs w:val="21"/>
              </w:rPr>
              <w:t>10</w:t>
            </w:r>
          </w:p>
        </w:tc>
        <w:tc>
          <w:tcPr>
            <w:tcW w:w="545" w:type="pct"/>
            <w:shd w:val="clear" w:color="auto" w:fill="auto"/>
            <w:vAlign w:val="center"/>
          </w:tcPr>
          <w:p w14:paraId="47A91462">
            <w:pPr>
              <w:pStyle w:val="29"/>
              <w:rPr>
                <w:sz w:val="21"/>
                <w:szCs w:val="21"/>
              </w:rPr>
            </w:pPr>
            <w:r>
              <w:rPr>
                <w:rFonts w:hint="eastAsia"/>
                <w:sz w:val="21"/>
                <w:szCs w:val="21"/>
              </w:rPr>
              <w:t>晋阳高速阳城南联络线项目</w:t>
            </w:r>
          </w:p>
        </w:tc>
        <w:tc>
          <w:tcPr>
            <w:tcW w:w="2137" w:type="pct"/>
            <w:shd w:val="clear" w:color="auto" w:fill="auto"/>
            <w:vAlign w:val="center"/>
          </w:tcPr>
          <w:p w14:paraId="0AE9D54A">
            <w:pPr>
              <w:pStyle w:val="29"/>
              <w:jc w:val="left"/>
              <w:rPr>
                <w:sz w:val="21"/>
                <w:szCs w:val="21"/>
              </w:rPr>
            </w:pPr>
            <w:r>
              <w:rPr>
                <w:rFonts w:hint="eastAsia"/>
                <w:sz w:val="21"/>
                <w:szCs w:val="21"/>
              </w:rPr>
              <w:t>线路全长约13公里，拟按双向四车道高速公路标准建设，设计速度80公里/小时。</w:t>
            </w:r>
          </w:p>
        </w:tc>
        <w:tc>
          <w:tcPr>
            <w:tcW w:w="417" w:type="pct"/>
            <w:shd w:val="clear" w:color="auto" w:fill="auto"/>
            <w:vAlign w:val="center"/>
          </w:tcPr>
          <w:p w14:paraId="4DDCB3A6">
            <w:pPr>
              <w:pStyle w:val="29"/>
              <w:rPr>
                <w:sz w:val="21"/>
                <w:szCs w:val="21"/>
              </w:rPr>
            </w:pPr>
            <w:r>
              <w:rPr>
                <w:rFonts w:hint="eastAsia"/>
                <w:sz w:val="21"/>
                <w:szCs w:val="21"/>
              </w:rPr>
              <w:t>2022-2025</w:t>
            </w:r>
          </w:p>
        </w:tc>
        <w:tc>
          <w:tcPr>
            <w:tcW w:w="417" w:type="pct"/>
            <w:shd w:val="clear" w:color="auto" w:fill="auto"/>
            <w:vAlign w:val="center"/>
          </w:tcPr>
          <w:p w14:paraId="34E4F1DD">
            <w:pPr>
              <w:pStyle w:val="29"/>
              <w:rPr>
                <w:sz w:val="21"/>
                <w:szCs w:val="21"/>
              </w:rPr>
            </w:pPr>
            <w:r>
              <w:rPr>
                <w:rFonts w:hint="eastAsia"/>
                <w:sz w:val="21"/>
                <w:szCs w:val="21"/>
              </w:rPr>
              <w:t>新建</w:t>
            </w:r>
          </w:p>
        </w:tc>
        <w:tc>
          <w:tcPr>
            <w:tcW w:w="521" w:type="pct"/>
            <w:shd w:val="clear" w:color="auto" w:fill="auto"/>
            <w:vAlign w:val="center"/>
          </w:tcPr>
          <w:p w14:paraId="13B0813B">
            <w:pPr>
              <w:pStyle w:val="29"/>
              <w:rPr>
                <w:sz w:val="21"/>
                <w:szCs w:val="21"/>
              </w:rPr>
            </w:pPr>
            <w:r>
              <w:rPr>
                <w:rFonts w:hint="eastAsia"/>
                <w:sz w:val="21"/>
                <w:szCs w:val="21"/>
              </w:rPr>
              <w:t>白桑乡</w:t>
            </w:r>
          </w:p>
          <w:p w14:paraId="65A847EA">
            <w:pPr>
              <w:pStyle w:val="29"/>
              <w:rPr>
                <w:sz w:val="21"/>
                <w:szCs w:val="21"/>
              </w:rPr>
            </w:pPr>
            <w:r>
              <w:rPr>
                <w:rFonts w:hint="eastAsia"/>
                <w:sz w:val="21"/>
                <w:szCs w:val="21"/>
              </w:rPr>
              <w:t>河北镇</w:t>
            </w:r>
          </w:p>
        </w:tc>
        <w:tc>
          <w:tcPr>
            <w:tcW w:w="728" w:type="pct"/>
            <w:shd w:val="clear" w:color="auto" w:fill="auto"/>
            <w:vAlign w:val="center"/>
          </w:tcPr>
          <w:p w14:paraId="65DC8DB2">
            <w:pPr>
              <w:pStyle w:val="29"/>
              <w:rPr>
                <w:sz w:val="21"/>
                <w:szCs w:val="21"/>
              </w:rPr>
            </w:pPr>
            <w:r>
              <w:rPr>
                <w:rFonts w:hint="eastAsia"/>
                <w:sz w:val="21"/>
                <w:szCs w:val="21"/>
              </w:rPr>
              <w:t>省厅已将此段列入阳运高速同步推进</w:t>
            </w:r>
          </w:p>
        </w:tc>
      </w:tr>
      <w:tr w14:paraId="5C64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35" w:type="pct"/>
            <w:shd w:val="clear" w:color="auto" w:fill="auto"/>
            <w:noWrap/>
            <w:vAlign w:val="center"/>
          </w:tcPr>
          <w:p w14:paraId="41AD8234">
            <w:pPr>
              <w:pStyle w:val="29"/>
              <w:rPr>
                <w:sz w:val="21"/>
                <w:szCs w:val="21"/>
              </w:rPr>
            </w:pPr>
            <w:r>
              <w:rPr>
                <w:rFonts w:hint="eastAsia"/>
                <w:sz w:val="21"/>
                <w:szCs w:val="21"/>
              </w:rPr>
              <w:t>11</w:t>
            </w:r>
          </w:p>
        </w:tc>
        <w:tc>
          <w:tcPr>
            <w:tcW w:w="545" w:type="pct"/>
            <w:shd w:val="clear" w:color="auto" w:fill="auto"/>
            <w:vAlign w:val="center"/>
          </w:tcPr>
          <w:p w14:paraId="469F7A4D">
            <w:pPr>
              <w:pStyle w:val="29"/>
              <w:rPr>
                <w:sz w:val="21"/>
                <w:szCs w:val="21"/>
              </w:rPr>
            </w:pPr>
            <w:r>
              <w:rPr>
                <w:rFonts w:hint="eastAsia"/>
                <w:sz w:val="21"/>
                <w:szCs w:val="21"/>
              </w:rPr>
              <w:t>太行一号公路支线项目</w:t>
            </w:r>
          </w:p>
        </w:tc>
        <w:tc>
          <w:tcPr>
            <w:tcW w:w="2137" w:type="pct"/>
            <w:shd w:val="clear" w:color="auto" w:fill="auto"/>
            <w:vAlign w:val="center"/>
          </w:tcPr>
          <w:p w14:paraId="50320B56">
            <w:pPr>
              <w:pStyle w:val="29"/>
              <w:jc w:val="left"/>
              <w:rPr>
                <w:sz w:val="21"/>
                <w:szCs w:val="21"/>
              </w:rPr>
            </w:pPr>
            <w:r>
              <w:rPr>
                <w:rFonts w:hint="eastAsia"/>
                <w:sz w:val="21"/>
                <w:szCs w:val="21"/>
              </w:rPr>
              <w:t>支线一：泥河至黑龙背长约46公里，新建道路标准为四级公路，路面宽6.5米。支线二：横河至次滩长约24公里，新建道路标准为四级公路，路面宽6.5米。</w:t>
            </w:r>
          </w:p>
        </w:tc>
        <w:tc>
          <w:tcPr>
            <w:tcW w:w="417" w:type="pct"/>
            <w:shd w:val="clear" w:color="auto" w:fill="auto"/>
            <w:vAlign w:val="center"/>
          </w:tcPr>
          <w:p w14:paraId="3FB32BE2">
            <w:pPr>
              <w:pStyle w:val="29"/>
              <w:rPr>
                <w:sz w:val="21"/>
                <w:szCs w:val="21"/>
              </w:rPr>
            </w:pPr>
            <w:r>
              <w:rPr>
                <w:rFonts w:hint="eastAsia"/>
                <w:sz w:val="21"/>
                <w:szCs w:val="21"/>
              </w:rPr>
              <w:t>2022-2024</w:t>
            </w:r>
          </w:p>
        </w:tc>
        <w:tc>
          <w:tcPr>
            <w:tcW w:w="417" w:type="pct"/>
            <w:shd w:val="clear" w:color="auto" w:fill="auto"/>
            <w:vAlign w:val="center"/>
          </w:tcPr>
          <w:p w14:paraId="646A97C8">
            <w:pPr>
              <w:pStyle w:val="29"/>
              <w:rPr>
                <w:sz w:val="21"/>
                <w:szCs w:val="21"/>
              </w:rPr>
            </w:pPr>
            <w:r>
              <w:rPr>
                <w:rFonts w:hint="eastAsia"/>
                <w:sz w:val="21"/>
                <w:szCs w:val="21"/>
              </w:rPr>
              <w:t>新改建</w:t>
            </w:r>
          </w:p>
        </w:tc>
        <w:tc>
          <w:tcPr>
            <w:tcW w:w="521" w:type="pct"/>
            <w:shd w:val="clear" w:color="auto" w:fill="auto"/>
            <w:vAlign w:val="center"/>
          </w:tcPr>
          <w:p w14:paraId="0C8A7EAA">
            <w:pPr>
              <w:pStyle w:val="29"/>
              <w:rPr>
                <w:sz w:val="21"/>
                <w:szCs w:val="21"/>
              </w:rPr>
            </w:pPr>
            <w:r>
              <w:rPr>
                <w:rFonts w:hint="eastAsia"/>
                <w:sz w:val="21"/>
                <w:szCs w:val="21"/>
              </w:rPr>
              <w:t>河北镇</w:t>
            </w:r>
          </w:p>
          <w:p w14:paraId="1401D4EF">
            <w:pPr>
              <w:pStyle w:val="29"/>
              <w:rPr>
                <w:sz w:val="21"/>
                <w:szCs w:val="21"/>
              </w:rPr>
            </w:pPr>
            <w:r>
              <w:rPr>
                <w:rFonts w:hint="eastAsia"/>
                <w:sz w:val="21"/>
                <w:szCs w:val="21"/>
              </w:rPr>
              <w:t>蟒河镇</w:t>
            </w:r>
          </w:p>
          <w:p w14:paraId="450DA439">
            <w:pPr>
              <w:pStyle w:val="29"/>
              <w:rPr>
                <w:sz w:val="21"/>
                <w:szCs w:val="21"/>
              </w:rPr>
            </w:pPr>
            <w:r>
              <w:rPr>
                <w:rFonts w:hint="eastAsia"/>
                <w:sz w:val="21"/>
                <w:szCs w:val="21"/>
              </w:rPr>
              <w:t>董封乡</w:t>
            </w:r>
          </w:p>
          <w:p w14:paraId="0D81DAA3">
            <w:pPr>
              <w:pStyle w:val="29"/>
              <w:rPr>
                <w:sz w:val="21"/>
                <w:szCs w:val="21"/>
              </w:rPr>
            </w:pPr>
            <w:r>
              <w:rPr>
                <w:rFonts w:hint="eastAsia"/>
                <w:sz w:val="21"/>
                <w:szCs w:val="21"/>
              </w:rPr>
              <w:t>横河镇</w:t>
            </w:r>
          </w:p>
        </w:tc>
        <w:tc>
          <w:tcPr>
            <w:tcW w:w="728" w:type="pct"/>
            <w:shd w:val="clear" w:color="auto" w:fill="auto"/>
            <w:vAlign w:val="center"/>
          </w:tcPr>
          <w:p w14:paraId="385EE9FE">
            <w:pPr>
              <w:pStyle w:val="29"/>
              <w:rPr>
                <w:sz w:val="21"/>
                <w:szCs w:val="21"/>
              </w:rPr>
            </w:pPr>
            <w:r>
              <w:rPr>
                <w:rFonts w:hint="eastAsia"/>
                <w:sz w:val="21"/>
                <w:szCs w:val="21"/>
              </w:rPr>
              <w:t>工可已批复</w:t>
            </w:r>
          </w:p>
        </w:tc>
      </w:tr>
      <w:tr w14:paraId="0814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 w:type="pct"/>
            <w:shd w:val="clear" w:color="auto" w:fill="auto"/>
            <w:noWrap/>
            <w:vAlign w:val="center"/>
          </w:tcPr>
          <w:p w14:paraId="0B7BA54F">
            <w:pPr>
              <w:pStyle w:val="29"/>
              <w:rPr>
                <w:b/>
                <w:sz w:val="21"/>
                <w:szCs w:val="21"/>
              </w:rPr>
            </w:pPr>
            <w:r>
              <w:rPr>
                <w:rFonts w:hint="eastAsia"/>
                <w:b/>
                <w:sz w:val="21"/>
                <w:szCs w:val="21"/>
              </w:rPr>
              <w:t>序号</w:t>
            </w:r>
          </w:p>
        </w:tc>
        <w:tc>
          <w:tcPr>
            <w:tcW w:w="545" w:type="pct"/>
            <w:shd w:val="clear" w:color="auto" w:fill="auto"/>
            <w:vAlign w:val="center"/>
          </w:tcPr>
          <w:p w14:paraId="6AAA6A89">
            <w:pPr>
              <w:pStyle w:val="29"/>
              <w:rPr>
                <w:b/>
                <w:sz w:val="21"/>
                <w:szCs w:val="21"/>
              </w:rPr>
            </w:pPr>
            <w:r>
              <w:rPr>
                <w:rFonts w:hint="eastAsia"/>
                <w:b/>
                <w:sz w:val="21"/>
                <w:szCs w:val="21"/>
              </w:rPr>
              <w:t>项目名称</w:t>
            </w:r>
          </w:p>
        </w:tc>
        <w:tc>
          <w:tcPr>
            <w:tcW w:w="2137" w:type="pct"/>
            <w:shd w:val="clear" w:color="auto" w:fill="auto"/>
            <w:vAlign w:val="center"/>
          </w:tcPr>
          <w:p w14:paraId="17C1F7A8">
            <w:pPr>
              <w:pStyle w:val="29"/>
              <w:rPr>
                <w:b/>
                <w:sz w:val="21"/>
                <w:szCs w:val="21"/>
              </w:rPr>
            </w:pPr>
            <w:r>
              <w:rPr>
                <w:rFonts w:hint="eastAsia"/>
                <w:b/>
                <w:sz w:val="21"/>
                <w:szCs w:val="21"/>
              </w:rPr>
              <w:t>主要建设规模及内容</w:t>
            </w:r>
          </w:p>
        </w:tc>
        <w:tc>
          <w:tcPr>
            <w:tcW w:w="417" w:type="pct"/>
            <w:shd w:val="clear" w:color="auto" w:fill="auto"/>
            <w:vAlign w:val="center"/>
          </w:tcPr>
          <w:p w14:paraId="04B7F8D0">
            <w:pPr>
              <w:pStyle w:val="29"/>
              <w:rPr>
                <w:b/>
                <w:sz w:val="21"/>
                <w:szCs w:val="21"/>
              </w:rPr>
            </w:pPr>
            <w:r>
              <w:rPr>
                <w:rFonts w:hint="eastAsia"/>
                <w:b/>
                <w:sz w:val="21"/>
                <w:szCs w:val="21"/>
              </w:rPr>
              <w:t>开工年限</w:t>
            </w:r>
          </w:p>
        </w:tc>
        <w:tc>
          <w:tcPr>
            <w:tcW w:w="417" w:type="pct"/>
            <w:shd w:val="clear" w:color="auto" w:fill="auto"/>
            <w:vAlign w:val="center"/>
          </w:tcPr>
          <w:p w14:paraId="67A03309">
            <w:pPr>
              <w:pStyle w:val="29"/>
              <w:rPr>
                <w:b/>
                <w:sz w:val="21"/>
                <w:szCs w:val="21"/>
              </w:rPr>
            </w:pPr>
            <w:r>
              <w:rPr>
                <w:rFonts w:hint="eastAsia"/>
                <w:b/>
                <w:sz w:val="21"/>
                <w:szCs w:val="21"/>
              </w:rPr>
              <w:t>建设性质</w:t>
            </w:r>
          </w:p>
        </w:tc>
        <w:tc>
          <w:tcPr>
            <w:tcW w:w="521" w:type="pct"/>
            <w:shd w:val="clear" w:color="auto" w:fill="auto"/>
            <w:vAlign w:val="center"/>
          </w:tcPr>
          <w:p w14:paraId="78640374">
            <w:pPr>
              <w:pStyle w:val="29"/>
              <w:rPr>
                <w:b/>
                <w:sz w:val="21"/>
                <w:szCs w:val="21"/>
              </w:rPr>
            </w:pPr>
            <w:r>
              <w:rPr>
                <w:rFonts w:hint="eastAsia"/>
                <w:b/>
                <w:sz w:val="21"/>
                <w:szCs w:val="21"/>
              </w:rPr>
              <w:t>建设地址</w:t>
            </w:r>
          </w:p>
        </w:tc>
        <w:tc>
          <w:tcPr>
            <w:tcW w:w="728" w:type="pct"/>
            <w:shd w:val="clear" w:color="auto" w:fill="auto"/>
            <w:vAlign w:val="center"/>
          </w:tcPr>
          <w:p w14:paraId="69B5AA85">
            <w:pPr>
              <w:pStyle w:val="29"/>
              <w:rPr>
                <w:b/>
                <w:sz w:val="21"/>
                <w:szCs w:val="21"/>
              </w:rPr>
            </w:pPr>
            <w:r>
              <w:rPr>
                <w:rFonts w:hint="eastAsia"/>
                <w:b/>
                <w:sz w:val="21"/>
                <w:szCs w:val="21"/>
              </w:rPr>
              <w:t>目前进度</w:t>
            </w:r>
          </w:p>
        </w:tc>
      </w:tr>
      <w:tr w14:paraId="66BD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shd w:val="clear" w:color="auto" w:fill="auto"/>
            <w:noWrap/>
            <w:vAlign w:val="center"/>
          </w:tcPr>
          <w:p w14:paraId="7E1D68C0">
            <w:pPr>
              <w:pStyle w:val="29"/>
              <w:rPr>
                <w:sz w:val="21"/>
                <w:szCs w:val="21"/>
              </w:rPr>
            </w:pPr>
            <w:r>
              <w:rPr>
                <w:rFonts w:hint="eastAsia"/>
                <w:sz w:val="21"/>
                <w:szCs w:val="21"/>
              </w:rPr>
              <w:t>12</w:t>
            </w:r>
          </w:p>
        </w:tc>
        <w:tc>
          <w:tcPr>
            <w:tcW w:w="545" w:type="pct"/>
            <w:shd w:val="clear" w:color="auto" w:fill="auto"/>
            <w:vAlign w:val="center"/>
          </w:tcPr>
          <w:p w14:paraId="12827597">
            <w:pPr>
              <w:pStyle w:val="29"/>
              <w:rPr>
                <w:sz w:val="21"/>
                <w:szCs w:val="21"/>
              </w:rPr>
            </w:pPr>
            <w:r>
              <w:rPr>
                <w:rFonts w:hint="eastAsia"/>
                <w:sz w:val="21"/>
                <w:szCs w:val="21"/>
              </w:rPr>
              <w:t>晋城东至沁河古堡群磁悬旅游线路</w:t>
            </w:r>
          </w:p>
        </w:tc>
        <w:tc>
          <w:tcPr>
            <w:tcW w:w="2137" w:type="pct"/>
            <w:shd w:val="clear" w:color="auto" w:fill="auto"/>
            <w:vAlign w:val="center"/>
          </w:tcPr>
          <w:p w14:paraId="3F5A619C">
            <w:pPr>
              <w:pStyle w:val="29"/>
              <w:jc w:val="left"/>
              <w:rPr>
                <w:sz w:val="21"/>
                <w:szCs w:val="21"/>
              </w:rPr>
            </w:pPr>
            <w:r>
              <w:rPr>
                <w:rFonts w:hint="eastAsia"/>
                <w:sz w:val="21"/>
                <w:szCs w:val="21"/>
              </w:rPr>
              <w:t>起于晋城东站，终于沁河古堡群（润城砥洎城），全长46.1公里，估算总投资116.4亿元，其中阳城段9.5公里，估算投资约30亿元。</w:t>
            </w:r>
          </w:p>
        </w:tc>
        <w:tc>
          <w:tcPr>
            <w:tcW w:w="417" w:type="pct"/>
            <w:shd w:val="clear" w:color="auto" w:fill="auto"/>
            <w:vAlign w:val="center"/>
          </w:tcPr>
          <w:p w14:paraId="2BBC4D60">
            <w:pPr>
              <w:pStyle w:val="29"/>
              <w:rPr>
                <w:sz w:val="21"/>
                <w:szCs w:val="21"/>
              </w:rPr>
            </w:pPr>
            <w:r>
              <w:rPr>
                <w:rFonts w:hint="eastAsia"/>
                <w:sz w:val="21"/>
                <w:szCs w:val="21"/>
              </w:rPr>
              <w:t>2023-2028</w:t>
            </w:r>
          </w:p>
        </w:tc>
        <w:tc>
          <w:tcPr>
            <w:tcW w:w="417" w:type="pct"/>
            <w:shd w:val="clear" w:color="auto" w:fill="auto"/>
            <w:vAlign w:val="center"/>
          </w:tcPr>
          <w:p w14:paraId="1C8964BB">
            <w:pPr>
              <w:pStyle w:val="29"/>
              <w:rPr>
                <w:sz w:val="21"/>
                <w:szCs w:val="21"/>
              </w:rPr>
            </w:pPr>
            <w:r>
              <w:rPr>
                <w:rFonts w:hint="eastAsia"/>
                <w:sz w:val="21"/>
                <w:szCs w:val="21"/>
              </w:rPr>
              <w:t>新建</w:t>
            </w:r>
          </w:p>
        </w:tc>
        <w:tc>
          <w:tcPr>
            <w:tcW w:w="521" w:type="pct"/>
            <w:shd w:val="clear" w:color="auto" w:fill="auto"/>
            <w:vAlign w:val="center"/>
          </w:tcPr>
          <w:p w14:paraId="355E1CB7">
            <w:pPr>
              <w:pStyle w:val="29"/>
              <w:rPr>
                <w:sz w:val="21"/>
                <w:szCs w:val="21"/>
              </w:rPr>
            </w:pPr>
            <w:r>
              <w:rPr>
                <w:rFonts w:hint="eastAsia"/>
                <w:sz w:val="21"/>
                <w:szCs w:val="21"/>
              </w:rPr>
              <w:t>晋城市</w:t>
            </w:r>
          </w:p>
          <w:p w14:paraId="3DDFA917">
            <w:pPr>
              <w:pStyle w:val="29"/>
              <w:rPr>
                <w:sz w:val="21"/>
                <w:szCs w:val="21"/>
              </w:rPr>
            </w:pPr>
            <w:r>
              <w:rPr>
                <w:rFonts w:hint="eastAsia"/>
                <w:sz w:val="21"/>
                <w:szCs w:val="21"/>
              </w:rPr>
              <w:t>阳城县</w:t>
            </w:r>
          </w:p>
        </w:tc>
        <w:tc>
          <w:tcPr>
            <w:tcW w:w="728" w:type="pct"/>
            <w:shd w:val="clear" w:color="auto" w:fill="auto"/>
            <w:vAlign w:val="center"/>
          </w:tcPr>
          <w:p w14:paraId="6E947126">
            <w:pPr>
              <w:pStyle w:val="29"/>
              <w:rPr>
                <w:sz w:val="21"/>
                <w:szCs w:val="21"/>
              </w:rPr>
            </w:pPr>
            <w:r>
              <w:rPr>
                <w:rFonts w:hint="eastAsia"/>
                <w:sz w:val="21"/>
                <w:szCs w:val="21"/>
              </w:rPr>
              <w:t>前期方案研究</w:t>
            </w:r>
          </w:p>
        </w:tc>
      </w:tr>
      <w:tr w14:paraId="5009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shd w:val="clear" w:color="auto" w:fill="auto"/>
            <w:noWrap/>
            <w:vAlign w:val="center"/>
          </w:tcPr>
          <w:p w14:paraId="2E7D4161">
            <w:pPr>
              <w:pStyle w:val="29"/>
              <w:rPr>
                <w:sz w:val="21"/>
                <w:szCs w:val="21"/>
              </w:rPr>
            </w:pPr>
            <w:r>
              <w:rPr>
                <w:rFonts w:hint="eastAsia"/>
                <w:sz w:val="21"/>
                <w:szCs w:val="21"/>
              </w:rPr>
              <w:t>13</w:t>
            </w:r>
          </w:p>
        </w:tc>
        <w:tc>
          <w:tcPr>
            <w:tcW w:w="545" w:type="pct"/>
            <w:shd w:val="clear" w:color="auto" w:fill="auto"/>
            <w:vAlign w:val="center"/>
          </w:tcPr>
          <w:p w14:paraId="27A87764">
            <w:pPr>
              <w:pStyle w:val="29"/>
              <w:rPr>
                <w:sz w:val="21"/>
                <w:szCs w:val="21"/>
              </w:rPr>
            </w:pPr>
            <w:r>
              <w:rPr>
                <w:rFonts w:hint="eastAsia"/>
                <w:sz w:val="21"/>
                <w:szCs w:val="21"/>
              </w:rPr>
              <w:t>智慧公交站牌建设项目</w:t>
            </w:r>
          </w:p>
        </w:tc>
        <w:tc>
          <w:tcPr>
            <w:tcW w:w="2137" w:type="pct"/>
            <w:shd w:val="clear" w:color="auto" w:fill="auto"/>
            <w:vAlign w:val="center"/>
          </w:tcPr>
          <w:p w14:paraId="5923CDC9">
            <w:pPr>
              <w:pStyle w:val="29"/>
              <w:jc w:val="left"/>
              <w:rPr>
                <w:sz w:val="21"/>
                <w:szCs w:val="21"/>
              </w:rPr>
            </w:pPr>
            <w:r>
              <w:rPr>
                <w:rFonts w:hint="eastAsia"/>
                <w:sz w:val="21"/>
                <w:szCs w:val="21"/>
              </w:rPr>
              <w:t>该项目总投资3000万元，建设地点位于县域公交站，建设内容包括：智慧站厅改造，智能系统编制，控制平台建设，车辆智能升级系统。</w:t>
            </w:r>
          </w:p>
        </w:tc>
        <w:tc>
          <w:tcPr>
            <w:tcW w:w="417" w:type="pct"/>
            <w:shd w:val="clear" w:color="auto" w:fill="auto"/>
            <w:vAlign w:val="center"/>
          </w:tcPr>
          <w:p w14:paraId="066C6A64">
            <w:pPr>
              <w:pStyle w:val="29"/>
              <w:rPr>
                <w:sz w:val="21"/>
                <w:szCs w:val="21"/>
              </w:rPr>
            </w:pPr>
            <w:r>
              <w:rPr>
                <w:rFonts w:hint="eastAsia"/>
                <w:sz w:val="21"/>
                <w:szCs w:val="21"/>
              </w:rPr>
              <w:t>2022-2025</w:t>
            </w:r>
          </w:p>
        </w:tc>
        <w:tc>
          <w:tcPr>
            <w:tcW w:w="417" w:type="pct"/>
            <w:shd w:val="clear" w:color="auto" w:fill="auto"/>
            <w:vAlign w:val="center"/>
          </w:tcPr>
          <w:p w14:paraId="0787FDE3">
            <w:pPr>
              <w:pStyle w:val="29"/>
              <w:rPr>
                <w:sz w:val="21"/>
                <w:szCs w:val="21"/>
              </w:rPr>
            </w:pPr>
            <w:r>
              <w:rPr>
                <w:rFonts w:hint="eastAsia"/>
                <w:sz w:val="21"/>
                <w:szCs w:val="21"/>
              </w:rPr>
              <w:t>新建</w:t>
            </w:r>
          </w:p>
        </w:tc>
        <w:tc>
          <w:tcPr>
            <w:tcW w:w="521" w:type="pct"/>
            <w:shd w:val="clear" w:color="auto" w:fill="auto"/>
            <w:vAlign w:val="center"/>
          </w:tcPr>
          <w:p w14:paraId="4D6D27AB">
            <w:pPr>
              <w:pStyle w:val="29"/>
              <w:rPr>
                <w:sz w:val="21"/>
                <w:szCs w:val="21"/>
              </w:rPr>
            </w:pPr>
            <w:r>
              <w:rPr>
                <w:rFonts w:hint="eastAsia"/>
                <w:sz w:val="21"/>
                <w:szCs w:val="21"/>
              </w:rPr>
              <w:t>县域公交站</w:t>
            </w:r>
          </w:p>
        </w:tc>
        <w:tc>
          <w:tcPr>
            <w:tcW w:w="728" w:type="pct"/>
            <w:shd w:val="clear" w:color="auto" w:fill="auto"/>
            <w:vAlign w:val="center"/>
          </w:tcPr>
          <w:p w14:paraId="1426037F">
            <w:pPr>
              <w:pStyle w:val="29"/>
              <w:rPr>
                <w:sz w:val="21"/>
                <w:szCs w:val="21"/>
              </w:rPr>
            </w:pPr>
            <w:r>
              <w:rPr>
                <w:rFonts w:hint="eastAsia"/>
                <w:sz w:val="21"/>
                <w:szCs w:val="21"/>
              </w:rPr>
              <w:t>方案研究</w:t>
            </w:r>
          </w:p>
        </w:tc>
      </w:tr>
      <w:tr w14:paraId="7828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shd w:val="clear" w:color="auto" w:fill="auto"/>
            <w:noWrap/>
            <w:vAlign w:val="center"/>
          </w:tcPr>
          <w:p w14:paraId="245B69B0">
            <w:pPr>
              <w:pStyle w:val="29"/>
              <w:rPr>
                <w:sz w:val="21"/>
                <w:szCs w:val="21"/>
              </w:rPr>
            </w:pPr>
            <w:r>
              <w:rPr>
                <w:rFonts w:hint="eastAsia"/>
                <w:sz w:val="21"/>
                <w:szCs w:val="21"/>
              </w:rPr>
              <w:t>14</w:t>
            </w:r>
          </w:p>
        </w:tc>
        <w:tc>
          <w:tcPr>
            <w:tcW w:w="545" w:type="pct"/>
            <w:shd w:val="clear" w:color="auto" w:fill="auto"/>
            <w:vAlign w:val="center"/>
          </w:tcPr>
          <w:p w14:paraId="11133B82">
            <w:pPr>
              <w:pStyle w:val="29"/>
              <w:rPr>
                <w:sz w:val="21"/>
                <w:szCs w:val="21"/>
              </w:rPr>
            </w:pPr>
            <w:r>
              <w:rPr>
                <w:rFonts w:hint="eastAsia"/>
                <w:sz w:val="21"/>
                <w:szCs w:val="21"/>
              </w:rPr>
              <w:t>运输车辆公共停车场</w:t>
            </w:r>
          </w:p>
        </w:tc>
        <w:tc>
          <w:tcPr>
            <w:tcW w:w="2137" w:type="pct"/>
            <w:shd w:val="clear" w:color="auto" w:fill="auto"/>
            <w:vAlign w:val="center"/>
          </w:tcPr>
          <w:p w14:paraId="4E06A20D">
            <w:pPr>
              <w:pStyle w:val="29"/>
              <w:jc w:val="left"/>
              <w:rPr>
                <w:sz w:val="21"/>
                <w:szCs w:val="21"/>
              </w:rPr>
            </w:pPr>
            <w:r>
              <w:rPr>
                <w:rFonts w:hint="eastAsia"/>
                <w:sz w:val="21"/>
                <w:szCs w:val="21"/>
              </w:rPr>
              <w:t>在县城东、北留、润城、演礼、蟒河新建5个运输车辆公共停车场</w:t>
            </w:r>
          </w:p>
        </w:tc>
        <w:tc>
          <w:tcPr>
            <w:tcW w:w="417" w:type="pct"/>
            <w:shd w:val="clear" w:color="auto" w:fill="auto"/>
            <w:vAlign w:val="center"/>
          </w:tcPr>
          <w:p w14:paraId="031AB04C">
            <w:pPr>
              <w:pStyle w:val="29"/>
              <w:rPr>
                <w:sz w:val="21"/>
                <w:szCs w:val="21"/>
              </w:rPr>
            </w:pPr>
            <w:r>
              <w:rPr>
                <w:rFonts w:hint="eastAsia"/>
                <w:sz w:val="21"/>
                <w:szCs w:val="21"/>
              </w:rPr>
              <w:t>2022-2025</w:t>
            </w:r>
          </w:p>
        </w:tc>
        <w:tc>
          <w:tcPr>
            <w:tcW w:w="417" w:type="pct"/>
            <w:shd w:val="clear" w:color="auto" w:fill="auto"/>
            <w:vAlign w:val="center"/>
          </w:tcPr>
          <w:p w14:paraId="2B32179A">
            <w:pPr>
              <w:pStyle w:val="29"/>
              <w:rPr>
                <w:sz w:val="21"/>
                <w:szCs w:val="21"/>
              </w:rPr>
            </w:pPr>
            <w:r>
              <w:rPr>
                <w:rFonts w:hint="eastAsia"/>
                <w:sz w:val="21"/>
                <w:szCs w:val="21"/>
              </w:rPr>
              <w:t>新建</w:t>
            </w:r>
          </w:p>
        </w:tc>
        <w:tc>
          <w:tcPr>
            <w:tcW w:w="521" w:type="pct"/>
            <w:shd w:val="clear" w:color="auto" w:fill="auto"/>
            <w:vAlign w:val="center"/>
          </w:tcPr>
          <w:p w14:paraId="64C3DAD6">
            <w:pPr>
              <w:pStyle w:val="29"/>
              <w:rPr>
                <w:sz w:val="21"/>
                <w:szCs w:val="21"/>
              </w:rPr>
            </w:pPr>
            <w:r>
              <w:rPr>
                <w:rFonts w:hint="eastAsia"/>
                <w:sz w:val="21"/>
                <w:szCs w:val="21"/>
              </w:rPr>
              <w:t>县域</w:t>
            </w:r>
          </w:p>
        </w:tc>
        <w:tc>
          <w:tcPr>
            <w:tcW w:w="728" w:type="pct"/>
            <w:shd w:val="clear" w:color="auto" w:fill="auto"/>
            <w:vAlign w:val="center"/>
          </w:tcPr>
          <w:p w14:paraId="1065C353">
            <w:pPr>
              <w:pStyle w:val="29"/>
              <w:rPr>
                <w:sz w:val="21"/>
                <w:szCs w:val="21"/>
              </w:rPr>
            </w:pPr>
            <w:r>
              <w:rPr>
                <w:rFonts w:hint="eastAsia"/>
                <w:sz w:val="21"/>
                <w:szCs w:val="21"/>
              </w:rPr>
              <w:t>方案研究</w:t>
            </w:r>
          </w:p>
        </w:tc>
      </w:tr>
      <w:tr w14:paraId="3B7F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shd w:val="clear" w:color="auto" w:fill="auto"/>
            <w:noWrap/>
            <w:vAlign w:val="center"/>
          </w:tcPr>
          <w:p w14:paraId="221B1169">
            <w:pPr>
              <w:pStyle w:val="29"/>
              <w:rPr>
                <w:sz w:val="21"/>
                <w:szCs w:val="21"/>
              </w:rPr>
            </w:pPr>
            <w:r>
              <w:rPr>
                <w:rFonts w:hint="eastAsia"/>
                <w:sz w:val="21"/>
                <w:szCs w:val="21"/>
              </w:rPr>
              <w:t>15</w:t>
            </w:r>
          </w:p>
        </w:tc>
        <w:tc>
          <w:tcPr>
            <w:tcW w:w="545" w:type="pct"/>
            <w:shd w:val="clear" w:color="auto" w:fill="auto"/>
            <w:vAlign w:val="center"/>
          </w:tcPr>
          <w:p w14:paraId="3744E740">
            <w:pPr>
              <w:pStyle w:val="29"/>
              <w:rPr>
                <w:sz w:val="21"/>
                <w:szCs w:val="21"/>
              </w:rPr>
            </w:pPr>
            <w:r>
              <w:rPr>
                <w:rFonts w:hint="eastAsia"/>
                <w:sz w:val="21"/>
                <w:szCs w:val="21"/>
              </w:rPr>
              <w:t>县域公交一体化提质工程</w:t>
            </w:r>
          </w:p>
        </w:tc>
        <w:tc>
          <w:tcPr>
            <w:tcW w:w="2137" w:type="pct"/>
            <w:shd w:val="clear" w:color="auto" w:fill="auto"/>
            <w:vAlign w:val="center"/>
          </w:tcPr>
          <w:p w14:paraId="47DD48C7">
            <w:pPr>
              <w:pStyle w:val="29"/>
              <w:jc w:val="left"/>
              <w:rPr>
                <w:sz w:val="21"/>
                <w:szCs w:val="21"/>
              </w:rPr>
            </w:pPr>
            <w:r>
              <w:rPr>
                <w:rFonts w:hint="eastAsia"/>
                <w:sz w:val="21"/>
                <w:szCs w:val="21"/>
              </w:rPr>
              <w:t>优化五级公交线路布局，公交车辆更换升级，完善县域公交一体化基础配套设施，提升服务品质。</w:t>
            </w:r>
          </w:p>
        </w:tc>
        <w:tc>
          <w:tcPr>
            <w:tcW w:w="417" w:type="pct"/>
            <w:shd w:val="clear" w:color="auto" w:fill="auto"/>
            <w:vAlign w:val="center"/>
          </w:tcPr>
          <w:p w14:paraId="7FCDE076">
            <w:pPr>
              <w:pStyle w:val="29"/>
              <w:rPr>
                <w:sz w:val="21"/>
                <w:szCs w:val="21"/>
              </w:rPr>
            </w:pPr>
            <w:r>
              <w:rPr>
                <w:rFonts w:hint="eastAsia"/>
                <w:sz w:val="21"/>
                <w:szCs w:val="21"/>
              </w:rPr>
              <w:t>2022-2025</w:t>
            </w:r>
          </w:p>
        </w:tc>
        <w:tc>
          <w:tcPr>
            <w:tcW w:w="417" w:type="pct"/>
            <w:shd w:val="clear" w:color="auto" w:fill="auto"/>
            <w:vAlign w:val="center"/>
          </w:tcPr>
          <w:p w14:paraId="47F14E90">
            <w:pPr>
              <w:pStyle w:val="29"/>
              <w:rPr>
                <w:sz w:val="21"/>
                <w:szCs w:val="21"/>
              </w:rPr>
            </w:pPr>
            <w:r>
              <w:rPr>
                <w:rFonts w:hint="eastAsia"/>
                <w:sz w:val="21"/>
                <w:szCs w:val="21"/>
              </w:rPr>
              <w:t>新建</w:t>
            </w:r>
          </w:p>
        </w:tc>
        <w:tc>
          <w:tcPr>
            <w:tcW w:w="521" w:type="pct"/>
            <w:shd w:val="clear" w:color="auto" w:fill="auto"/>
            <w:vAlign w:val="center"/>
          </w:tcPr>
          <w:p w14:paraId="33C3D7AA">
            <w:pPr>
              <w:pStyle w:val="29"/>
              <w:rPr>
                <w:sz w:val="21"/>
                <w:szCs w:val="21"/>
              </w:rPr>
            </w:pPr>
            <w:r>
              <w:rPr>
                <w:rFonts w:hint="eastAsia"/>
                <w:sz w:val="21"/>
                <w:szCs w:val="21"/>
              </w:rPr>
              <w:t>县域</w:t>
            </w:r>
          </w:p>
        </w:tc>
        <w:tc>
          <w:tcPr>
            <w:tcW w:w="728" w:type="pct"/>
            <w:shd w:val="clear" w:color="auto" w:fill="auto"/>
            <w:vAlign w:val="center"/>
          </w:tcPr>
          <w:p w14:paraId="7F77E955">
            <w:pPr>
              <w:pStyle w:val="29"/>
              <w:rPr>
                <w:sz w:val="21"/>
                <w:szCs w:val="21"/>
              </w:rPr>
            </w:pPr>
            <w:r>
              <w:rPr>
                <w:rFonts w:hint="eastAsia"/>
                <w:sz w:val="21"/>
                <w:szCs w:val="21"/>
              </w:rPr>
              <w:t>方案研究</w:t>
            </w:r>
          </w:p>
        </w:tc>
      </w:tr>
      <w:tr w14:paraId="2203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shd w:val="clear" w:color="auto" w:fill="auto"/>
            <w:noWrap/>
            <w:vAlign w:val="center"/>
          </w:tcPr>
          <w:p w14:paraId="6F660EF0">
            <w:pPr>
              <w:pStyle w:val="29"/>
              <w:rPr>
                <w:sz w:val="21"/>
                <w:szCs w:val="21"/>
              </w:rPr>
            </w:pPr>
            <w:r>
              <w:rPr>
                <w:rFonts w:hint="eastAsia"/>
                <w:sz w:val="21"/>
                <w:szCs w:val="21"/>
              </w:rPr>
              <w:t>16</w:t>
            </w:r>
          </w:p>
        </w:tc>
        <w:tc>
          <w:tcPr>
            <w:tcW w:w="545" w:type="pct"/>
            <w:shd w:val="clear" w:color="auto" w:fill="auto"/>
            <w:vAlign w:val="center"/>
          </w:tcPr>
          <w:p w14:paraId="62B61673">
            <w:pPr>
              <w:pStyle w:val="29"/>
              <w:rPr>
                <w:sz w:val="21"/>
                <w:szCs w:val="21"/>
              </w:rPr>
            </w:pPr>
            <w:r>
              <w:rPr>
                <w:rFonts w:hint="eastAsia"/>
                <w:sz w:val="21"/>
                <w:szCs w:val="21"/>
              </w:rPr>
              <w:t>智慧型二级客运站建设项目</w:t>
            </w:r>
          </w:p>
        </w:tc>
        <w:tc>
          <w:tcPr>
            <w:tcW w:w="2137" w:type="pct"/>
            <w:shd w:val="clear" w:color="auto" w:fill="auto"/>
            <w:vAlign w:val="center"/>
          </w:tcPr>
          <w:p w14:paraId="4AA2E11D">
            <w:pPr>
              <w:pStyle w:val="29"/>
              <w:jc w:val="left"/>
              <w:rPr>
                <w:sz w:val="21"/>
                <w:szCs w:val="21"/>
              </w:rPr>
            </w:pPr>
            <w:r>
              <w:rPr>
                <w:rFonts w:hint="eastAsia"/>
                <w:sz w:val="21"/>
                <w:szCs w:val="21"/>
              </w:rPr>
              <w:t>打造智慧型二级客运、公交站，主要由站前广场、售票厅、候车厅、停车场、休息室、母婴室、公共卫生间及办公区域组成。</w:t>
            </w:r>
          </w:p>
        </w:tc>
        <w:tc>
          <w:tcPr>
            <w:tcW w:w="417" w:type="pct"/>
            <w:shd w:val="clear" w:color="auto" w:fill="auto"/>
            <w:vAlign w:val="center"/>
          </w:tcPr>
          <w:p w14:paraId="1A29C96C">
            <w:pPr>
              <w:pStyle w:val="29"/>
              <w:rPr>
                <w:sz w:val="21"/>
                <w:szCs w:val="21"/>
              </w:rPr>
            </w:pPr>
            <w:r>
              <w:rPr>
                <w:rFonts w:hint="eastAsia"/>
                <w:sz w:val="21"/>
                <w:szCs w:val="21"/>
              </w:rPr>
              <w:t>2022-2025</w:t>
            </w:r>
          </w:p>
        </w:tc>
        <w:tc>
          <w:tcPr>
            <w:tcW w:w="417" w:type="pct"/>
            <w:shd w:val="clear" w:color="auto" w:fill="auto"/>
            <w:vAlign w:val="center"/>
          </w:tcPr>
          <w:p w14:paraId="106BAD5E">
            <w:pPr>
              <w:pStyle w:val="29"/>
              <w:rPr>
                <w:sz w:val="21"/>
                <w:szCs w:val="21"/>
              </w:rPr>
            </w:pPr>
            <w:r>
              <w:rPr>
                <w:rFonts w:hint="eastAsia"/>
                <w:sz w:val="21"/>
                <w:szCs w:val="21"/>
              </w:rPr>
              <w:t>新建</w:t>
            </w:r>
          </w:p>
        </w:tc>
        <w:tc>
          <w:tcPr>
            <w:tcW w:w="521" w:type="pct"/>
            <w:shd w:val="clear" w:color="auto" w:fill="auto"/>
            <w:vAlign w:val="center"/>
          </w:tcPr>
          <w:p w14:paraId="144C3EAA">
            <w:pPr>
              <w:pStyle w:val="29"/>
              <w:rPr>
                <w:sz w:val="21"/>
                <w:szCs w:val="21"/>
              </w:rPr>
            </w:pPr>
            <w:r>
              <w:rPr>
                <w:rFonts w:hint="eastAsia"/>
                <w:sz w:val="21"/>
                <w:szCs w:val="21"/>
              </w:rPr>
              <w:t>县域</w:t>
            </w:r>
          </w:p>
        </w:tc>
        <w:tc>
          <w:tcPr>
            <w:tcW w:w="728" w:type="pct"/>
            <w:shd w:val="clear" w:color="auto" w:fill="auto"/>
            <w:vAlign w:val="center"/>
          </w:tcPr>
          <w:p w14:paraId="206FEB70">
            <w:pPr>
              <w:pStyle w:val="29"/>
              <w:rPr>
                <w:sz w:val="21"/>
                <w:szCs w:val="21"/>
              </w:rPr>
            </w:pPr>
            <w:r>
              <w:rPr>
                <w:rFonts w:hint="eastAsia"/>
                <w:sz w:val="21"/>
                <w:szCs w:val="21"/>
              </w:rPr>
              <w:t>方案研究</w:t>
            </w:r>
          </w:p>
        </w:tc>
      </w:tr>
      <w:tr w14:paraId="3868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shd w:val="clear" w:color="auto" w:fill="auto"/>
            <w:noWrap/>
            <w:vAlign w:val="center"/>
          </w:tcPr>
          <w:p w14:paraId="2EFECBEE">
            <w:pPr>
              <w:pStyle w:val="29"/>
              <w:rPr>
                <w:sz w:val="21"/>
                <w:szCs w:val="21"/>
              </w:rPr>
            </w:pPr>
            <w:r>
              <w:rPr>
                <w:rFonts w:hint="eastAsia"/>
                <w:sz w:val="21"/>
                <w:szCs w:val="21"/>
              </w:rPr>
              <w:t>17</w:t>
            </w:r>
          </w:p>
        </w:tc>
        <w:tc>
          <w:tcPr>
            <w:tcW w:w="545" w:type="pct"/>
            <w:shd w:val="clear" w:color="auto" w:fill="auto"/>
            <w:vAlign w:val="center"/>
          </w:tcPr>
          <w:p w14:paraId="4C947109">
            <w:pPr>
              <w:pStyle w:val="29"/>
              <w:rPr>
                <w:sz w:val="21"/>
                <w:szCs w:val="21"/>
              </w:rPr>
            </w:pPr>
            <w:r>
              <w:rPr>
                <w:rFonts w:hint="eastAsia"/>
                <w:sz w:val="21"/>
                <w:szCs w:val="21"/>
              </w:rPr>
              <w:t>旅游、物流综合服务设施建设</w:t>
            </w:r>
          </w:p>
        </w:tc>
        <w:tc>
          <w:tcPr>
            <w:tcW w:w="2137" w:type="pct"/>
            <w:shd w:val="clear" w:color="auto" w:fill="auto"/>
            <w:vAlign w:val="center"/>
          </w:tcPr>
          <w:p w14:paraId="3D1D5E9C">
            <w:pPr>
              <w:pStyle w:val="29"/>
              <w:jc w:val="left"/>
              <w:rPr>
                <w:sz w:val="21"/>
                <w:szCs w:val="21"/>
              </w:rPr>
            </w:pPr>
            <w:r>
              <w:rPr>
                <w:rFonts w:hint="eastAsia"/>
                <w:sz w:val="21"/>
                <w:szCs w:val="21"/>
              </w:rPr>
              <w:t>新建7个县乡公路服务区；对县级电子商务服务平台提升，仓储建设，镇、村电商物流服务站点改造，功能完善提升，配送设施配置；小区、社区布设不同类型的智能快件箱，提供便捷安全的“最后100米”服务等。</w:t>
            </w:r>
          </w:p>
        </w:tc>
        <w:tc>
          <w:tcPr>
            <w:tcW w:w="417" w:type="pct"/>
            <w:shd w:val="clear" w:color="auto" w:fill="auto"/>
            <w:vAlign w:val="center"/>
          </w:tcPr>
          <w:p w14:paraId="212E89BC">
            <w:pPr>
              <w:pStyle w:val="29"/>
              <w:rPr>
                <w:sz w:val="21"/>
                <w:szCs w:val="21"/>
              </w:rPr>
            </w:pPr>
            <w:r>
              <w:rPr>
                <w:rFonts w:hint="eastAsia"/>
                <w:sz w:val="21"/>
                <w:szCs w:val="21"/>
              </w:rPr>
              <w:t>2022-2025</w:t>
            </w:r>
          </w:p>
        </w:tc>
        <w:tc>
          <w:tcPr>
            <w:tcW w:w="417" w:type="pct"/>
            <w:shd w:val="clear" w:color="auto" w:fill="auto"/>
            <w:vAlign w:val="center"/>
          </w:tcPr>
          <w:p w14:paraId="02BAA7CF">
            <w:pPr>
              <w:pStyle w:val="29"/>
              <w:rPr>
                <w:sz w:val="21"/>
                <w:szCs w:val="21"/>
              </w:rPr>
            </w:pPr>
            <w:r>
              <w:rPr>
                <w:rFonts w:hint="eastAsia"/>
                <w:sz w:val="21"/>
                <w:szCs w:val="21"/>
              </w:rPr>
              <w:t>新建</w:t>
            </w:r>
          </w:p>
        </w:tc>
        <w:tc>
          <w:tcPr>
            <w:tcW w:w="521" w:type="pct"/>
            <w:shd w:val="clear" w:color="auto" w:fill="auto"/>
            <w:vAlign w:val="center"/>
          </w:tcPr>
          <w:p w14:paraId="1C6B0B71">
            <w:pPr>
              <w:pStyle w:val="29"/>
              <w:rPr>
                <w:sz w:val="21"/>
                <w:szCs w:val="21"/>
              </w:rPr>
            </w:pPr>
            <w:r>
              <w:rPr>
                <w:rFonts w:hint="eastAsia"/>
                <w:sz w:val="21"/>
                <w:szCs w:val="21"/>
              </w:rPr>
              <w:t>县域</w:t>
            </w:r>
          </w:p>
        </w:tc>
        <w:tc>
          <w:tcPr>
            <w:tcW w:w="728" w:type="pct"/>
            <w:shd w:val="clear" w:color="auto" w:fill="auto"/>
            <w:vAlign w:val="center"/>
          </w:tcPr>
          <w:p w14:paraId="3730774D">
            <w:pPr>
              <w:pStyle w:val="29"/>
              <w:rPr>
                <w:sz w:val="21"/>
                <w:szCs w:val="21"/>
              </w:rPr>
            </w:pPr>
            <w:r>
              <w:rPr>
                <w:rFonts w:hint="eastAsia"/>
                <w:sz w:val="21"/>
                <w:szCs w:val="21"/>
              </w:rPr>
              <w:t>方案研究</w:t>
            </w:r>
          </w:p>
        </w:tc>
      </w:tr>
    </w:tbl>
    <w:p w14:paraId="0A651B5C">
      <w:pPr>
        <w:ind w:firstLine="640"/>
      </w:pPr>
    </w:p>
    <w:sectPr>
      <w:headerReference r:id="rId22" w:type="default"/>
      <w:footerReference r:id="rId23" w:type="default"/>
      <w:pgSz w:w="16838" w:h="11906" w:orient="landscape"/>
      <w:pgMar w:top="1531" w:right="1701" w:bottom="1531"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6526">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5A2F">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881F4">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1158">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E682">
    <w:pPr>
      <w:pStyle w:val="10"/>
      <w:pBdr>
        <w:top w:val="single" w:color="auto" w:sz="4" w:space="1"/>
      </w:pBdr>
      <w:wordWrap w:val="0"/>
      <w:ind w:firstLine="360"/>
      <w:jc w:val="right"/>
    </w:pPr>
    <w:r>
      <w:rPr>
        <w:rFonts w:ascii="仿宋_GB2312" w:hAnsi="华文细黑"/>
      </w:rPr>
      <w:fldChar w:fldCharType="begin"/>
    </w:r>
    <w:r>
      <w:rPr>
        <w:rFonts w:ascii="仿宋_GB2312" w:hAnsi="华文细黑"/>
      </w:rPr>
      <w:instrText xml:space="preserve">PAGE   \* MERGEFORMAT</w:instrText>
    </w:r>
    <w:r>
      <w:rPr>
        <w:rFonts w:ascii="仿宋_GB2312" w:hAnsi="华文细黑"/>
      </w:rPr>
      <w:fldChar w:fldCharType="separate"/>
    </w:r>
    <w:r>
      <w:rPr>
        <w:rFonts w:ascii="仿宋_GB2312" w:hAnsi="华文细黑"/>
        <w:lang w:val="zh-CN"/>
      </w:rPr>
      <w:t>9</w:t>
    </w:r>
    <w:r>
      <w:rPr>
        <w:rFonts w:ascii="仿宋_GB2312" w:hAnsi="华文细黑"/>
      </w:rPr>
      <w:fldChar w:fldCharType="end"/>
    </w:r>
    <w:r>
      <w:rPr>
        <w:rFonts w:ascii="仿宋_GB2312" w:hAnsi="华文细黑"/>
      </w:rPr>
      <w:t xml:space="preserve">         </w:t>
    </w:r>
    <w:r>
      <w:rPr>
        <w:rFonts w:hint="eastAsia" w:ascii="仿宋_GB2312"/>
      </w:rPr>
      <w:drawing>
        <wp:inline distT="0" distB="0" distL="0" distR="0">
          <wp:extent cx="201930" cy="130810"/>
          <wp:effectExtent l="0" t="0" r="762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930" cy="130810"/>
                  </a:xfrm>
                  <a:prstGeom prst="rect">
                    <a:avLst/>
                  </a:prstGeom>
                  <a:noFill/>
                  <a:ln>
                    <a:noFill/>
                  </a:ln>
                </pic:spPr>
              </pic:pic>
            </a:graphicData>
          </a:graphic>
        </wp:inline>
      </w:drawing>
    </w:r>
    <w:r>
      <w:rPr>
        <w:rFonts w:hint="eastAsia" w:ascii="仿宋_GB2312" w:hAnsi="华文细黑"/>
      </w:rPr>
      <w:t>山西省交通规划勘察设计院有限公司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CAC3">
    <w:pPr>
      <w:pStyle w:val="10"/>
      <w:pBdr>
        <w:top w:val="single" w:color="auto" w:sz="4" w:space="1"/>
      </w:pBdr>
      <w:wordWrap w:val="0"/>
      <w:ind w:firstLine="360"/>
      <w:jc w:val="right"/>
    </w:pPr>
    <w:r>
      <w:rPr>
        <w:rFonts w:ascii="仿宋_GB2312" w:hAnsi="华文细黑"/>
      </w:rPr>
      <w:t xml:space="preserve">         </w:t>
    </w:r>
    <w:r>
      <w:rPr>
        <w:rFonts w:hint="eastAsia" w:ascii="仿宋_GB2312"/>
      </w:rPr>
      <w:drawing>
        <wp:inline distT="0" distB="0" distL="0" distR="0">
          <wp:extent cx="201930" cy="130810"/>
          <wp:effectExtent l="0" t="0" r="762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930" cy="130810"/>
                  </a:xfrm>
                  <a:prstGeom prst="rect">
                    <a:avLst/>
                  </a:prstGeom>
                  <a:noFill/>
                  <a:ln>
                    <a:noFill/>
                  </a:ln>
                </pic:spPr>
              </pic:pic>
            </a:graphicData>
          </a:graphic>
        </wp:inline>
      </w:drawing>
    </w:r>
    <w:r>
      <w:rPr>
        <w:rFonts w:hint="eastAsia" w:ascii="仿宋_GB2312" w:hAnsi="华文细黑"/>
      </w:rPr>
      <w:t>山西省交通规划勘察设计院有限公司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E7B5A">
    <w:pPr>
      <w:ind w:firstLine="640"/>
    </w:pPr>
  </w:p>
  <w:p w14:paraId="7459FAEB">
    <w:pPr>
      <w:ind w:firstLine="64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1DA05">
    <w:pPr>
      <w:pStyle w:val="11"/>
      <w:ind w:firstLine="0" w:firstLineChars="0"/>
      <w:jc w:val="left"/>
      <w:rPr>
        <w:rFonts w:ascii="仿宋_GB2312"/>
      </w:rPr>
    </w:pPr>
    <w:r>
      <w:rPr>
        <w:rFonts w:hint="eastAsia" w:ascii="仿宋_GB2312" w:hAnsi="华文细黑"/>
      </w:rPr>
      <w:t>阳城县</w:t>
    </w:r>
    <w:r>
      <w:rPr>
        <w:rFonts w:hint="eastAsia" w:ascii="仿宋_GB2312" w:hAnsi="华文细黑"/>
        <w:lang w:eastAsia="zh-CN"/>
      </w:rPr>
      <w:t>“十四五”</w:t>
    </w:r>
    <w:r>
      <w:rPr>
        <w:rFonts w:hint="eastAsia" w:ascii="仿宋_GB2312" w:hAnsi="华文细黑"/>
      </w:rPr>
      <w:t xml:space="preserve">综合交通运输发展规划   </w:t>
    </w:r>
    <w:r>
      <w:rPr>
        <w:rFonts w:ascii="仿宋_GB2312" w:hAnsi="华文细黑"/>
      </w:rPr>
      <w:t xml:space="preserve">  </w:t>
    </w:r>
    <w:r>
      <w:rPr>
        <w:rFonts w:hint="eastAsia" w:ascii="仿宋_GB2312" w:hAnsi="华文细黑"/>
      </w:rPr>
      <w:t xml:space="preserve">          </w:t>
    </w:r>
    <w:r>
      <w:rPr>
        <w:rFonts w:ascii="仿宋_GB2312" w:hAnsi="华文细黑"/>
      </w:rPr>
      <w:t xml:space="preserve">      </w:t>
    </w:r>
    <w:r>
      <w:rPr>
        <w:rFonts w:hint="eastAsia" w:ascii="仿宋_GB2312" w:hAnsi="华文细黑"/>
      </w:rPr>
      <w:t>第</w:t>
    </w:r>
    <w:r>
      <w:rPr>
        <w:rFonts w:ascii="仿宋_GB2312" w:hAnsi="华文细黑"/>
      </w:rPr>
      <w:t>5</w:t>
    </w:r>
    <w:r>
      <w:rPr>
        <w:rFonts w:hint="eastAsia" w:ascii="仿宋_GB2312" w:hAnsi="华文细黑"/>
      </w:rPr>
      <w:t xml:space="preserve">章 </w:t>
    </w:r>
    <w:r>
      <w:rPr>
        <w:rFonts w:hint="eastAsia"/>
        <w:lang w:eastAsia="zh-CN"/>
      </w:rPr>
      <w:t>“十四五”</w:t>
    </w:r>
    <w:r>
      <w:rPr>
        <w:rFonts w:hint="eastAsia"/>
      </w:rPr>
      <w:t>综合交通运输发展主要任务</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8E5A">
    <w:pPr>
      <w:pStyle w:val="11"/>
      <w:ind w:firstLine="0" w:firstLineChars="0"/>
      <w:jc w:val="left"/>
      <w:rPr>
        <w:rFonts w:ascii="仿宋_GB2312"/>
      </w:rPr>
    </w:pPr>
    <w:r>
      <w:rPr>
        <w:rFonts w:hint="eastAsia" w:ascii="仿宋_GB2312" w:hAnsi="华文细黑"/>
      </w:rPr>
      <w:t>阳城县</w:t>
    </w:r>
    <w:r>
      <w:rPr>
        <w:rFonts w:hint="eastAsia" w:ascii="仿宋_GB2312" w:hAnsi="华文细黑"/>
        <w:lang w:eastAsia="zh-CN"/>
      </w:rPr>
      <w:t>“十四五”</w:t>
    </w:r>
    <w:r>
      <w:rPr>
        <w:rFonts w:hint="eastAsia" w:ascii="仿宋_GB2312" w:hAnsi="华文细黑"/>
      </w:rPr>
      <w:t xml:space="preserve">综合交通运输发展规划   </w:t>
    </w:r>
    <w:r>
      <w:rPr>
        <w:rFonts w:ascii="仿宋_GB2312" w:hAnsi="华文细黑"/>
      </w:rPr>
      <w:t xml:space="preserve">  </w:t>
    </w:r>
    <w:r>
      <w:rPr>
        <w:rFonts w:hint="eastAsia" w:ascii="仿宋_GB2312" w:hAnsi="华文细黑"/>
      </w:rPr>
      <w:t xml:space="preserve">  </w:t>
    </w:r>
    <w:r>
      <w:rPr>
        <w:rFonts w:ascii="仿宋_GB2312" w:hAnsi="华文细黑"/>
      </w:rPr>
      <w:t xml:space="preserve">                                    </w:t>
    </w:r>
    <w:r>
      <w:rPr>
        <w:rFonts w:hint="eastAsia" w:ascii="仿宋_GB2312" w:hAnsi="华文细黑"/>
      </w:rPr>
      <w:t>第</w:t>
    </w:r>
    <w:r>
      <w:rPr>
        <w:rFonts w:ascii="仿宋_GB2312" w:hAnsi="华文细黑"/>
      </w:rPr>
      <w:t>6</w:t>
    </w:r>
    <w:r>
      <w:rPr>
        <w:rFonts w:hint="eastAsia" w:ascii="仿宋_GB2312" w:hAnsi="华文细黑"/>
      </w:rPr>
      <w:t>章</w:t>
    </w:r>
    <w:r>
      <w:rPr>
        <w:rFonts w:hint="eastAsia"/>
      </w:rPr>
      <w:t xml:space="preserve"> 环境影响评价</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68F9E">
    <w:pPr>
      <w:pStyle w:val="11"/>
      <w:ind w:firstLine="0" w:firstLineChars="0"/>
      <w:jc w:val="left"/>
      <w:rPr>
        <w:rFonts w:ascii="仿宋_GB2312"/>
      </w:rPr>
    </w:pPr>
    <w:r>
      <w:rPr>
        <w:rFonts w:hint="eastAsia" w:ascii="仿宋_GB2312" w:hAnsi="华文细黑"/>
      </w:rPr>
      <w:t>阳城县</w:t>
    </w:r>
    <w:r>
      <w:rPr>
        <w:rFonts w:hint="eastAsia" w:ascii="仿宋_GB2312" w:hAnsi="华文细黑"/>
        <w:lang w:eastAsia="zh-CN"/>
      </w:rPr>
      <w:t>“十四五”</w:t>
    </w:r>
    <w:r>
      <w:rPr>
        <w:rFonts w:hint="eastAsia" w:ascii="仿宋_GB2312" w:hAnsi="华文细黑"/>
      </w:rPr>
      <w:t xml:space="preserve">综合交通运输发展规划   </w:t>
    </w:r>
    <w:r>
      <w:rPr>
        <w:rFonts w:ascii="仿宋_GB2312" w:hAnsi="华文细黑"/>
      </w:rPr>
      <w:t xml:space="preserve">  </w:t>
    </w:r>
    <w:r>
      <w:rPr>
        <w:rFonts w:hint="eastAsia" w:ascii="仿宋_GB2312" w:hAnsi="华文细黑"/>
      </w:rPr>
      <w:t xml:space="preserve">          </w:t>
    </w:r>
    <w:r>
      <w:rPr>
        <w:rFonts w:ascii="仿宋_GB2312" w:hAnsi="华文细黑"/>
      </w:rPr>
      <w:t xml:space="preserve">                                </w:t>
    </w:r>
    <w:r>
      <w:rPr>
        <w:rFonts w:hint="eastAsia" w:ascii="仿宋_GB2312" w:hAnsi="华文细黑"/>
      </w:rPr>
      <w:t>第</w:t>
    </w:r>
    <w:r>
      <w:rPr>
        <w:rFonts w:ascii="仿宋_GB2312" w:hAnsi="华文细黑"/>
      </w:rPr>
      <w:t>7</w:t>
    </w:r>
    <w:r>
      <w:rPr>
        <w:rFonts w:hint="eastAsia" w:ascii="仿宋_GB2312" w:hAnsi="华文细黑"/>
      </w:rPr>
      <w:t>章</w:t>
    </w:r>
    <w:r>
      <w:rPr>
        <w:rFonts w:hint="eastAsia"/>
      </w:rPr>
      <w:t xml:space="preserve"> 保障措施</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BE78F">
    <w:pPr>
      <w:pStyle w:val="11"/>
      <w:ind w:firstLine="0" w:firstLineChars="0"/>
      <w:jc w:val="left"/>
      <w:rPr>
        <w:rFonts w:ascii="仿宋_GB2312"/>
      </w:rPr>
    </w:pPr>
    <w:r>
      <w:rPr>
        <w:rFonts w:hint="eastAsia" w:ascii="仿宋_GB2312" w:hAnsi="华文细黑"/>
      </w:rPr>
      <w:t>阳城县</w:t>
    </w:r>
    <w:r>
      <w:rPr>
        <w:rFonts w:hint="eastAsia" w:ascii="仿宋_GB2312" w:hAnsi="华文细黑"/>
        <w:lang w:eastAsia="zh-CN"/>
      </w:rPr>
      <w:t>“十四五”</w:t>
    </w:r>
    <w:r>
      <w:rPr>
        <w:rFonts w:hint="eastAsia" w:ascii="仿宋_GB2312" w:hAnsi="华文细黑"/>
      </w:rPr>
      <w:t xml:space="preserve">综合交通运输发展规划   </w:t>
    </w:r>
    <w:r>
      <w:rPr>
        <w:rFonts w:ascii="仿宋_GB2312" w:hAnsi="华文细黑"/>
      </w:rPr>
      <w:t xml:space="preserve">  </w:t>
    </w:r>
    <w:r>
      <w:rPr>
        <w:rFonts w:hint="eastAsia" w:ascii="仿宋_GB2312" w:hAnsi="华文细黑"/>
      </w:rPr>
      <w:t xml:space="preserve">          </w:t>
    </w:r>
    <w:r>
      <w:rPr>
        <w:rFonts w:ascii="仿宋_GB2312" w:hAnsi="华文细黑"/>
      </w:rPr>
      <w:t xml:space="preserve">                                                                                                </w:t>
    </w:r>
    <w:r>
      <w:rPr>
        <w:rFonts w:hint="eastAsia" w:ascii="仿宋_GB2312" w:hAnsi="华文细黑"/>
      </w:rPr>
      <w:t>附表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02AE5">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095E1">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14523">
    <w:pPr>
      <w:ind w:firstLine="640"/>
    </w:pPr>
  </w:p>
  <w:p w14:paraId="2ACD096A">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FC09B">
    <w:pPr>
      <w:pStyle w:val="11"/>
      <w:ind w:firstLine="0" w:firstLineChars="0"/>
      <w:jc w:val="left"/>
      <w:rPr>
        <w:rFonts w:ascii="仿宋_GB2312"/>
      </w:rPr>
    </w:pPr>
    <w:r>
      <w:rPr>
        <w:rFonts w:hint="eastAsia" w:ascii="仿宋_GB2312" w:hAnsi="华文细黑"/>
      </w:rPr>
      <w:t>阳城县</w:t>
    </w:r>
    <w:r>
      <w:rPr>
        <w:rFonts w:hint="eastAsia" w:ascii="仿宋_GB2312" w:hAnsi="华文细黑"/>
        <w:lang w:eastAsia="zh-CN"/>
      </w:rPr>
      <w:t>“十四五”</w:t>
    </w:r>
    <w:r>
      <w:rPr>
        <w:rFonts w:hint="eastAsia" w:ascii="仿宋_GB2312" w:hAnsi="华文细黑"/>
      </w:rPr>
      <w:t xml:space="preserve">综合交通运输发展规划                                       </w:t>
    </w:r>
    <w:r>
      <w:rPr>
        <w:rFonts w:ascii="仿宋_GB2312" w:hAnsi="华文细黑"/>
      </w:rPr>
      <w:t xml:space="preserve">            </w:t>
    </w:r>
    <w:r>
      <w:rPr>
        <w:rFonts w:hint="eastAsia" w:ascii="仿宋_GB2312" w:hAnsi="华文细黑"/>
      </w:rPr>
      <w:t>第1章 概述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E76CA">
    <w:pPr>
      <w:pStyle w:val="11"/>
      <w:ind w:firstLine="0" w:firstLineChars="0"/>
      <w:jc w:val="left"/>
      <w:rPr>
        <w:rFonts w:ascii="仿宋_GB2312"/>
      </w:rPr>
    </w:pPr>
    <w:r>
      <w:rPr>
        <w:rFonts w:hint="eastAsia" w:ascii="仿宋_GB2312" w:hAnsi="华文细黑"/>
      </w:rPr>
      <w:t>阳城县</w:t>
    </w:r>
    <w:r>
      <w:rPr>
        <w:rFonts w:hint="eastAsia" w:ascii="仿宋_GB2312" w:hAnsi="华文细黑"/>
        <w:lang w:eastAsia="zh-CN"/>
      </w:rPr>
      <w:t>“十四五”</w:t>
    </w:r>
    <w:r>
      <w:rPr>
        <w:rFonts w:hint="eastAsia" w:ascii="仿宋_GB2312" w:hAnsi="华文细黑"/>
      </w:rPr>
      <w:t xml:space="preserve">综合交通运输发展规划   </w:t>
    </w:r>
    <w:r>
      <w:rPr>
        <w:rFonts w:ascii="仿宋_GB2312" w:hAnsi="华文细黑"/>
      </w:rPr>
      <w:t xml:space="preserve">  </w:t>
    </w:r>
    <w:r>
      <w:rPr>
        <w:rFonts w:hint="eastAsia" w:ascii="仿宋_GB2312" w:hAnsi="华文细黑"/>
      </w:rPr>
      <w:t xml:space="preserve">                           </w:t>
    </w:r>
    <w:r>
      <w:rPr>
        <w:rFonts w:ascii="仿宋_GB2312" w:hAnsi="华文细黑"/>
      </w:rPr>
      <w:t xml:space="preserve">            </w:t>
    </w:r>
    <w:r>
      <w:rPr>
        <w:rFonts w:hint="eastAsia" w:ascii="仿宋_GB2312" w:hAnsi="华文细黑"/>
      </w:rPr>
      <w:t xml:space="preserve"> </w:t>
    </w:r>
    <w:r>
      <w:rPr>
        <w:rFonts w:ascii="仿宋_GB2312" w:hAnsi="华文细黑"/>
      </w:rPr>
      <w:t xml:space="preserve">      </w:t>
    </w:r>
    <w:r>
      <w:rPr>
        <w:rFonts w:hint="eastAsia" w:ascii="仿宋_GB2312" w:hAnsi="华文细黑"/>
      </w:rPr>
      <w:t>第</w:t>
    </w:r>
    <w:r>
      <w:rPr>
        <w:rFonts w:ascii="仿宋_GB2312" w:hAnsi="华文细黑"/>
      </w:rPr>
      <w:t>1</w:t>
    </w:r>
    <w:r>
      <w:rPr>
        <w:rFonts w:hint="eastAsia" w:ascii="仿宋_GB2312" w:hAnsi="华文细黑"/>
      </w:rPr>
      <w:t>章 概述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754F">
    <w:pPr>
      <w:pStyle w:val="11"/>
      <w:ind w:firstLine="0" w:firstLineChars="0"/>
      <w:jc w:val="left"/>
      <w:rPr>
        <w:rFonts w:ascii="仿宋_GB2312"/>
      </w:rPr>
    </w:pPr>
    <w:r>
      <w:rPr>
        <w:rFonts w:hint="eastAsia" w:ascii="仿宋_GB2312" w:hAnsi="华文细黑"/>
      </w:rPr>
      <w:t>阳城县</w:t>
    </w:r>
    <w:r>
      <w:rPr>
        <w:rFonts w:hint="eastAsia" w:ascii="仿宋_GB2312" w:hAnsi="华文细黑"/>
        <w:lang w:eastAsia="zh-CN"/>
      </w:rPr>
      <w:t>“十四五”</w:t>
    </w:r>
    <w:r>
      <w:rPr>
        <w:rFonts w:hint="eastAsia" w:ascii="仿宋_GB2312" w:hAnsi="华文细黑"/>
      </w:rPr>
      <w:t xml:space="preserve">综合交通运输发展规划   </w:t>
    </w:r>
    <w:r>
      <w:rPr>
        <w:rFonts w:ascii="仿宋_GB2312" w:hAnsi="华文细黑"/>
      </w:rPr>
      <w:t xml:space="preserve">  </w:t>
    </w:r>
    <w:r>
      <w:rPr>
        <w:rFonts w:hint="eastAsia" w:ascii="仿宋_GB2312" w:hAnsi="华文细黑"/>
      </w:rPr>
      <w:t xml:space="preserve">                  第</w:t>
    </w:r>
    <w:r>
      <w:rPr>
        <w:rFonts w:ascii="仿宋_GB2312" w:hAnsi="华文细黑"/>
      </w:rPr>
      <w:t>2</w:t>
    </w:r>
    <w:r>
      <w:rPr>
        <w:rFonts w:hint="eastAsia" w:ascii="仿宋_GB2312" w:hAnsi="华文细黑"/>
      </w:rPr>
      <w:t>章 “十三五”交通运输发展成就及评价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1E5DF">
    <w:pPr>
      <w:pStyle w:val="11"/>
      <w:ind w:firstLine="0" w:firstLineChars="0"/>
      <w:jc w:val="left"/>
      <w:rPr>
        <w:rFonts w:ascii="仿宋_GB2312"/>
      </w:rPr>
    </w:pPr>
    <w:r>
      <w:rPr>
        <w:rFonts w:hint="eastAsia" w:ascii="仿宋_GB2312" w:hAnsi="华文细黑"/>
      </w:rPr>
      <w:t>阳城县</w:t>
    </w:r>
    <w:r>
      <w:rPr>
        <w:rFonts w:hint="eastAsia" w:ascii="仿宋_GB2312" w:hAnsi="华文细黑"/>
        <w:lang w:eastAsia="zh-CN"/>
      </w:rPr>
      <w:t>“十四五”</w:t>
    </w:r>
    <w:r>
      <w:rPr>
        <w:rFonts w:hint="eastAsia" w:ascii="仿宋_GB2312" w:hAnsi="华文细黑"/>
      </w:rPr>
      <w:t xml:space="preserve">综合交通运输发展规划   </w:t>
    </w:r>
    <w:r>
      <w:rPr>
        <w:rFonts w:ascii="仿宋_GB2312" w:hAnsi="华文细黑"/>
      </w:rPr>
      <w:t xml:space="preserve">  </w:t>
    </w:r>
    <w:r>
      <w:rPr>
        <w:rFonts w:hint="eastAsia" w:ascii="仿宋_GB2312" w:hAnsi="华文细黑"/>
      </w:rPr>
      <w:t xml:space="preserve">            第</w:t>
    </w:r>
    <w:r>
      <w:rPr>
        <w:rFonts w:ascii="仿宋_GB2312" w:hAnsi="华文细黑"/>
      </w:rPr>
      <w:t>3</w:t>
    </w:r>
    <w:r>
      <w:rPr>
        <w:rFonts w:hint="eastAsia" w:ascii="仿宋_GB2312" w:hAnsi="华文细黑"/>
      </w:rPr>
      <w:t xml:space="preserve">章 </w:t>
    </w:r>
    <w:r>
      <w:rPr>
        <w:rFonts w:hint="eastAsia"/>
        <w:lang w:eastAsia="zh-CN"/>
      </w:rPr>
      <w:t>“十四五”</w:t>
    </w:r>
    <w:r>
      <w:rPr>
        <w:rFonts w:hint="eastAsia"/>
      </w:rPr>
      <w:t>交通运输发展面临的形势和需求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09070">
    <w:pPr>
      <w:pStyle w:val="11"/>
      <w:ind w:firstLine="0" w:firstLineChars="0"/>
      <w:jc w:val="left"/>
      <w:rPr>
        <w:rFonts w:ascii="仿宋_GB2312"/>
      </w:rPr>
    </w:pPr>
    <w:r>
      <w:rPr>
        <w:rFonts w:hint="eastAsia" w:ascii="仿宋_GB2312" w:hAnsi="华文细黑"/>
      </w:rPr>
      <w:t>阳城县</w:t>
    </w:r>
    <w:r>
      <w:rPr>
        <w:rFonts w:hint="eastAsia" w:ascii="仿宋_GB2312" w:hAnsi="华文细黑"/>
        <w:lang w:eastAsia="zh-CN"/>
      </w:rPr>
      <w:t>“十四五”</w:t>
    </w:r>
    <w:r>
      <w:rPr>
        <w:rFonts w:hint="eastAsia" w:ascii="仿宋_GB2312" w:hAnsi="华文细黑"/>
      </w:rPr>
      <w:t xml:space="preserve">综合交通运输发展规划   </w:t>
    </w:r>
    <w:r>
      <w:rPr>
        <w:rFonts w:ascii="仿宋_GB2312" w:hAnsi="华文细黑"/>
      </w:rPr>
      <w:t xml:space="preserve">  </w:t>
    </w:r>
    <w:r>
      <w:rPr>
        <w:rFonts w:hint="eastAsia" w:ascii="仿宋_GB2312" w:hAnsi="华文细黑"/>
      </w:rPr>
      <w:t xml:space="preserve">          </w:t>
    </w:r>
    <w:r>
      <w:rPr>
        <w:rFonts w:ascii="仿宋_GB2312" w:hAnsi="华文细黑"/>
      </w:rPr>
      <w:t xml:space="preserve">                     </w:t>
    </w:r>
    <w:r>
      <w:rPr>
        <w:rFonts w:hint="eastAsia" w:ascii="仿宋_GB2312" w:hAnsi="华文细黑"/>
      </w:rPr>
      <w:t xml:space="preserve"> </w:t>
    </w:r>
    <w:r>
      <w:rPr>
        <w:rFonts w:ascii="仿宋_GB2312" w:hAnsi="华文细黑"/>
      </w:rPr>
      <w:t xml:space="preserve">          </w:t>
    </w:r>
    <w:r>
      <w:rPr>
        <w:rFonts w:hint="eastAsia" w:ascii="仿宋_GB2312" w:hAnsi="华文细黑"/>
      </w:rPr>
      <w:t>第</w:t>
    </w:r>
    <w:r>
      <w:rPr>
        <w:rFonts w:ascii="仿宋_GB2312" w:hAnsi="华文细黑"/>
      </w:rPr>
      <w:t>4</w:t>
    </w:r>
    <w:r>
      <w:rPr>
        <w:rFonts w:hint="eastAsia" w:ascii="仿宋_GB2312" w:hAnsi="华文细黑"/>
      </w:rPr>
      <w:t xml:space="preserve">章 </w:t>
    </w:r>
    <w:r>
      <w:rPr>
        <w:rFonts w:hint="eastAsia"/>
      </w:rPr>
      <w:t>发展目标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12EC1"/>
    <w:multiLevelType w:val="multilevel"/>
    <w:tmpl w:val="17A12EC1"/>
    <w:lvl w:ilvl="0" w:tentative="0">
      <w:start w:val="1"/>
      <w:numFmt w:val="decimal"/>
      <w:pStyle w:val="2"/>
      <w:suff w:val="space"/>
      <w:lvlText w:val="第%1章"/>
      <w:lvlJc w:val="center"/>
      <w:pPr>
        <w:ind w:left="3544" w:firstLine="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lang w:val="en-US"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3"/>
      <w:suff w:val="space"/>
      <w:lvlText w:val="%1.%2"/>
      <w:lvlJc w:val="left"/>
      <w:pPr>
        <w:ind w:left="0" w:firstLine="400"/>
      </w:pPr>
      <w:rPr>
        <w:rFonts w:hint="default" w:ascii="Times New Roman" w:hAnsi="Times New Roman" w:eastAsia="楷体_GB2312"/>
        <w:sz w:val="32"/>
      </w:rPr>
    </w:lvl>
    <w:lvl w:ilvl="2" w:tentative="0">
      <w:start w:val="1"/>
      <w:numFmt w:val="decimal"/>
      <w:pStyle w:val="4"/>
      <w:suff w:val="space"/>
      <w:lvlText w:val="%1.%2.%3"/>
      <w:lvlJc w:val="left"/>
      <w:pPr>
        <w:ind w:left="167" w:firstLine="400"/>
      </w:pPr>
      <w:rPr>
        <w:rFonts w:hint="default" w:ascii="Times New Roman" w:hAnsi="Times New Roman" w:eastAsia="仿宋_GB2312"/>
        <w:b/>
        <w:i w:val="0"/>
        <w:sz w:val="30"/>
      </w:rPr>
    </w:lvl>
    <w:lvl w:ilvl="3" w:tentative="0">
      <w:start w:val="1"/>
      <w:numFmt w:val="decimal"/>
      <w:lvlText w:val="%1.%2.%3.%4"/>
      <w:lvlJc w:val="left"/>
      <w:pPr>
        <w:tabs>
          <w:tab w:val="left" w:pos="425"/>
        </w:tabs>
        <w:ind w:left="0" w:firstLine="0"/>
      </w:pPr>
      <w:rPr>
        <w:rFonts w:hint="eastAsia"/>
      </w:rPr>
    </w:lvl>
    <w:lvl w:ilvl="4" w:tentative="0">
      <w:start w:val="1"/>
      <w:numFmt w:val="decimal"/>
      <w:lvlText w:val="%1.%2.%3.%4.%5"/>
      <w:lvlJc w:val="left"/>
      <w:pPr>
        <w:tabs>
          <w:tab w:val="left" w:pos="425"/>
        </w:tabs>
        <w:ind w:left="0" w:firstLine="0"/>
      </w:pPr>
      <w:rPr>
        <w:rFonts w:hint="eastAsia"/>
      </w:rPr>
    </w:lvl>
    <w:lvl w:ilvl="5" w:tentative="0">
      <w:start w:val="1"/>
      <w:numFmt w:val="decimal"/>
      <w:lvlText w:val="%1.%2.%3.%4.%5.%6"/>
      <w:lvlJc w:val="left"/>
      <w:pPr>
        <w:tabs>
          <w:tab w:val="left" w:pos="425"/>
        </w:tabs>
        <w:ind w:left="0" w:firstLine="0"/>
      </w:pPr>
      <w:rPr>
        <w:rFonts w:hint="eastAsia"/>
      </w:rPr>
    </w:lvl>
    <w:lvl w:ilvl="6" w:tentative="0">
      <w:start w:val="1"/>
      <w:numFmt w:val="decimal"/>
      <w:lvlText w:val="%1.%2.%3.%4.%5.%6.%7"/>
      <w:lvlJc w:val="left"/>
      <w:pPr>
        <w:tabs>
          <w:tab w:val="left" w:pos="425"/>
        </w:tabs>
        <w:ind w:left="0" w:firstLine="0"/>
      </w:pPr>
      <w:rPr>
        <w:rFonts w:hint="eastAsia"/>
      </w:rPr>
    </w:lvl>
    <w:lvl w:ilvl="7" w:tentative="0">
      <w:start w:val="1"/>
      <w:numFmt w:val="decimal"/>
      <w:lvlText w:val="%1.%2.%3.%4.%5.%6.%7.%8"/>
      <w:lvlJc w:val="left"/>
      <w:pPr>
        <w:tabs>
          <w:tab w:val="left" w:pos="425"/>
        </w:tabs>
        <w:ind w:left="0" w:firstLine="0"/>
      </w:pPr>
      <w:rPr>
        <w:rFonts w:hint="eastAsia"/>
      </w:rPr>
    </w:lvl>
    <w:lvl w:ilvl="8" w:tentative="0">
      <w:start w:val="1"/>
      <w:numFmt w:val="decimal"/>
      <w:lvlText w:val="%1.%2.%3.%4.%5.%6.%7.%8.%9"/>
      <w:lvlJc w:val="left"/>
      <w:pPr>
        <w:tabs>
          <w:tab w:val="left" w:pos="425"/>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3YjJkOWRlZTk0YTczYzkyN2YyNDM1ZjE4YzdiZTAifQ=="/>
  </w:docVars>
  <w:rsids>
    <w:rsidRoot w:val="0083061D"/>
    <w:rsid w:val="00001C62"/>
    <w:rsid w:val="00003E7B"/>
    <w:rsid w:val="00006256"/>
    <w:rsid w:val="00006668"/>
    <w:rsid w:val="000078A0"/>
    <w:rsid w:val="00007BFB"/>
    <w:rsid w:val="00007E5A"/>
    <w:rsid w:val="00010E8A"/>
    <w:rsid w:val="00011F17"/>
    <w:rsid w:val="00015D17"/>
    <w:rsid w:val="000170FA"/>
    <w:rsid w:val="00017115"/>
    <w:rsid w:val="0002111C"/>
    <w:rsid w:val="000229AB"/>
    <w:rsid w:val="00022B24"/>
    <w:rsid w:val="000236E8"/>
    <w:rsid w:val="000238F6"/>
    <w:rsid w:val="00023C23"/>
    <w:rsid w:val="000245B5"/>
    <w:rsid w:val="0002534F"/>
    <w:rsid w:val="00026BC3"/>
    <w:rsid w:val="0002742B"/>
    <w:rsid w:val="0002752C"/>
    <w:rsid w:val="00027D9F"/>
    <w:rsid w:val="0003092D"/>
    <w:rsid w:val="00030EEA"/>
    <w:rsid w:val="000316F7"/>
    <w:rsid w:val="0003203A"/>
    <w:rsid w:val="00033054"/>
    <w:rsid w:val="00033D66"/>
    <w:rsid w:val="00033FDB"/>
    <w:rsid w:val="0003502C"/>
    <w:rsid w:val="00035864"/>
    <w:rsid w:val="000359F6"/>
    <w:rsid w:val="00036DDA"/>
    <w:rsid w:val="00043AA1"/>
    <w:rsid w:val="00044711"/>
    <w:rsid w:val="00045BEB"/>
    <w:rsid w:val="0004705E"/>
    <w:rsid w:val="0004727D"/>
    <w:rsid w:val="0004741F"/>
    <w:rsid w:val="00047859"/>
    <w:rsid w:val="000504EC"/>
    <w:rsid w:val="00051411"/>
    <w:rsid w:val="00051F0F"/>
    <w:rsid w:val="00051FFD"/>
    <w:rsid w:val="000557C5"/>
    <w:rsid w:val="00055EA6"/>
    <w:rsid w:val="00056587"/>
    <w:rsid w:val="00057224"/>
    <w:rsid w:val="00057505"/>
    <w:rsid w:val="00057D2F"/>
    <w:rsid w:val="00060EA9"/>
    <w:rsid w:val="00062A02"/>
    <w:rsid w:val="00063E78"/>
    <w:rsid w:val="0006416B"/>
    <w:rsid w:val="00064774"/>
    <w:rsid w:val="000653C3"/>
    <w:rsid w:val="00066885"/>
    <w:rsid w:val="0006786D"/>
    <w:rsid w:val="00067BAF"/>
    <w:rsid w:val="00070D9C"/>
    <w:rsid w:val="0007111E"/>
    <w:rsid w:val="00071576"/>
    <w:rsid w:val="00072180"/>
    <w:rsid w:val="000733A8"/>
    <w:rsid w:val="00073D86"/>
    <w:rsid w:val="00074743"/>
    <w:rsid w:val="00074C36"/>
    <w:rsid w:val="00077356"/>
    <w:rsid w:val="00080320"/>
    <w:rsid w:val="00081041"/>
    <w:rsid w:val="00082557"/>
    <w:rsid w:val="00085AD1"/>
    <w:rsid w:val="00085B7D"/>
    <w:rsid w:val="000877C4"/>
    <w:rsid w:val="00087C71"/>
    <w:rsid w:val="00091671"/>
    <w:rsid w:val="00092581"/>
    <w:rsid w:val="00093A12"/>
    <w:rsid w:val="0009434C"/>
    <w:rsid w:val="000953A8"/>
    <w:rsid w:val="00095BE2"/>
    <w:rsid w:val="00095D61"/>
    <w:rsid w:val="000965F2"/>
    <w:rsid w:val="0009705D"/>
    <w:rsid w:val="000970C1"/>
    <w:rsid w:val="000A001C"/>
    <w:rsid w:val="000A2C0C"/>
    <w:rsid w:val="000A4354"/>
    <w:rsid w:val="000A50E5"/>
    <w:rsid w:val="000A5281"/>
    <w:rsid w:val="000A660D"/>
    <w:rsid w:val="000A6AA0"/>
    <w:rsid w:val="000A7377"/>
    <w:rsid w:val="000B01CF"/>
    <w:rsid w:val="000B0DF0"/>
    <w:rsid w:val="000B2328"/>
    <w:rsid w:val="000B305D"/>
    <w:rsid w:val="000B35FE"/>
    <w:rsid w:val="000B3875"/>
    <w:rsid w:val="000B5D6C"/>
    <w:rsid w:val="000B75F0"/>
    <w:rsid w:val="000C04B3"/>
    <w:rsid w:val="000C1690"/>
    <w:rsid w:val="000C3329"/>
    <w:rsid w:val="000C4864"/>
    <w:rsid w:val="000C6D9E"/>
    <w:rsid w:val="000C7032"/>
    <w:rsid w:val="000C741C"/>
    <w:rsid w:val="000D0D66"/>
    <w:rsid w:val="000D17C2"/>
    <w:rsid w:val="000D2A7B"/>
    <w:rsid w:val="000D3484"/>
    <w:rsid w:val="000D3EC2"/>
    <w:rsid w:val="000D660D"/>
    <w:rsid w:val="000D695C"/>
    <w:rsid w:val="000D6E7F"/>
    <w:rsid w:val="000E2790"/>
    <w:rsid w:val="000E47F1"/>
    <w:rsid w:val="000E5D42"/>
    <w:rsid w:val="000E71E5"/>
    <w:rsid w:val="000E7DC3"/>
    <w:rsid w:val="000F0327"/>
    <w:rsid w:val="000F08BE"/>
    <w:rsid w:val="000F3A56"/>
    <w:rsid w:val="000F4985"/>
    <w:rsid w:val="000F5594"/>
    <w:rsid w:val="000F5CE3"/>
    <w:rsid w:val="000F5FFB"/>
    <w:rsid w:val="000F6AA2"/>
    <w:rsid w:val="000F70E5"/>
    <w:rsid w:val="00101854"/>
    <w:rsid w:val="001018C3"/>
    <w:rsid w:val="00102FB9"/>
    <w:rsid w:val="0010320A"/>
    <w:rsid w:val="00103A20"/>
    <w:rsid w:val="001040B3"/>
    <w:rsid w:val="00104CA4"/>
    <w:rsid w:val="00105AFF"/>
    <w:rsid w:val="00106449"/>
    <w:rsid w:val="0010687F"/>
    <w:rsid w:val="00106E2D"/>
    <w:rsid w:val="00107A37"/>
    <w:rsid w:val="00107E3C"/>
    <w:rsid w:val="00107EBB"/>
    <w:rsid w:val="001102F6"/>
    <w:rsid w:val="001131F3"/>
    <w:rsid w:val="00114EAE"/>
    <w:rsid w:val="00114EC3"/>
    <w:rsid w:val="00115F1E"/>
    <w:rsid w:val="00116317"/>
    <w:rsid w:val="001205B7"/>
    <w:rsid w:val="00120DAD"/>
    <w:rsid w:val="00122CF9"/>
    <w:rsid w:val="00123292"/>
    <w:rsid w:val="0012453A"/>
    <w:rsid w:val="00124E2A"/>
    <w:rsid w:val="00126948"/>
    <w:rsid w:val="00126F6B"/>
    <w:rsid w:val="001272FD"/>
    <w:rsid w:val="00132ADA"/>
    <w:rsid w:val="00132C03"/>
    <w:rsid w:val="00132C85"/>
    <w:rsid w:val="00134D79"/>
    <w:rsid w:val="001358B1"/>
    <w:rsid w:val="001358F3"/>
    <w:rsid w:val="00137063"/>
    <w:rsid w:val="0013762C"/>
    <w:rsid w:val="00140E41"/>
    <w:rsid w:val="00141BB6"/>
    <w:rsid w:val="00141F38"/>
    <w:rsid w:val="001428E3"/>
    <w:rsid w:val="001434A2"/>
    <w:rsid w:val="00143BAE"/>
    <w:rsid w:val="00144889"/>
    <w:rsid w:val="00145281"/>
    <w:rsid w:val="0014562F"/>
    <w:rsid w:val="00146E77"/>
    <w:rsid w:val="00146F59"/>
    <w:rsid w:val="00147405"/>
    <w:rsid w:val="001500B3"/>
    <w:rsid w:val="00150A9A"/>
    <w:rsid w:val="00151F61"/>
    <w:rsid w:val="00151FE3"/>
    <w:rsid w:val="001527DF"/>
    <w:rsid w:val="00152EEF"/>
    <w:rsid w:val="00153203"/>
    <w:rsid w:val="00154754"/>
    <w:rsid w:val="00156801"/>
    <w:rsid w:val="00157E2A"/>
    <w:rsid w:val="00161736"/>
    <w:rsid w:val="001617E0"/>
    <w:rsid w:val="00162A28"/>
    <w:rsid w:val="00166166"/>
    <w:rsid w:val="00166E27"/>
    <w:rsid w:val="001675EB"/>
    <w:rsid w:val="0016771C"/>
    <w:rsid w:val="0017214E"/>
    <w:rsid w:val="0017283A"/>
    <w:rsid w:val="001740B3"/>
    <w:rsid w:val="001744B4"/>
    <w:rsid w:val="00174541"/>
    <w:rsid w:val="00175883"/>
    <w:rsid w:val="00180FBC"/>
    <w:rsid w:val="00181160"/>
    <w:rsid w:val="00181241"/>
    <w:rsid w:val="00182DEE"/>
    <w:rsid w:val="00183A57"/>
    <w:rsid w:val="00183EB6"/>
    <w:rsid w:val="00183EC6"/>
    <w:rsid w:val="00184457"/>
    <w:rsid w:val="001846C6"/>
    <w:rsid w:val="00184B54"/>
    <w:rsid w:val="00185053"/>
    <w:rsid w:val="0019130C"/>
    <w:rsid w:val="001916AD"/>
    <w:rsid w:val="00191EFB"/>
    <w:rsid w:val="00191FE0"/>
    <w:rsid w:val="00194013"/>
    <w:rsid w:val="001943FF"/>
    <w:rsid w:val="00194750"/>
    <w:rsid w:val="0019498F"/>
    <w:rsid w:val="00196A6A"/>
    <w:rsid w:val="00197AD8"/>
    <w:rsid w:val="001A0568"/>
    <w:rsid w:val="001A08D4"/>
    <w:rsid w:val="001A19EC"/>
    <w:rsid w:val="001A2A68"/>
    <w:rsid w:val="001A2E0D"/>
    <w:rsid w:val="001A47C0"/>
    <w:rsid w:val="001A666F"/>
    <w:rsid w:val="001A684B"/>
    <w:rsid w:val="001B0298"/>
    <w:rsid w:val="001B2B47"/>
    <w:rsid w:val="001B4D0E"/>
    <w:rsid w:val="001B6278"/>
    <w:rsid w:val="001C10B7"/>
    <w:rsid w:val="001C1269"/>
    <w:rsid w:val="001C268E"/>
    <w:rsid w:val="001C4314"/>
    <w:rsid w:val="001C5D48"/>
    <w:rsid w:val="001C7ACB"/>
    <w:rsid w:val="001D0E44"/>
    <w:rsid w:val="001D4ECA"/>
    <w:rsid w:val="001D5DEA"/>
    <w:rsid w:val="001E056B"/>
    <w:rsid w:val="001E225B"/>
    <w:rsid w:val="001E2E9F"/>
    <w:rsid w:val="001E3412"/>
    <w:rsid w:val="001E4D80"/>
    <w:rsid w:val="001E56A9"/>
    <w:rsid w:val="001E6E2A"/>
    <w:rsid w:val="001F06AA"/>
    <w:rsid w:val="001F2EDC"/>
    <w:rsid w:val="001F35B7"/>
    <w:rsid w:val="001F69B4"/>
    <w:rsid w:val="001F69E6"/>
    <w:rsid w:val="001F7C64"/>
    <w:rsid w:val="001F7CFE"/>
    <w:rsid w:val="002011F0"/>
    <w:rsid w:val="00202139"/>
    <w:rsid w:val="00202632"/>
    <w:rsid w:val="00203772"/>
    <w:rsid w:val="00203DB2"/>
    <w:rsid w:val="00205016"/>
    <w:rsid w:val="002062B7"/>
    <w:rsid w:val="0020635D"/>
    <w:rsid w:val="00207B5C"/>
    <w:rsid w:val="002101D1"/>
    <w:rsid w:val="00211649"/>
    <w:rsid w:val="00212745"/>
    <w:rsid w:val="002150F8"/>
    <w:rsid w:val="00215113"/>
    <w:rsid w:val="002156A4"/>
    <w:rsid w:val="002159BF"/>
    <w:rsid w:val="0021617D"/>
    <w:rsid w:val="002162A6"/>
    <w:rsid w:val="00220120"/>
    <w:rsid w:val="00220254"/>
    <w:rsid w:val="002221C1"/>
    <w:rsid w:val="00222FCD"/>
    <w:rsid w:val="00223170"/>
    <w:rsid w:val="00223C38"/>
    <w:rsid w:val="002253F2"/>
    <w:rsid w:val="0022582D"/>
    <w:rsid w:val="002258DA"/>
    <w:rsid w:val="00225B30"/>
    <w:rsid w:val="002276CF"/>
    <w:rsid w:val="0023082D"/>
    <w:rsid w:val="0023089C"/>
    <w:rsid w:val="002308DE"/>
    <w:rsid w:val="00231D4A"/>
    <w:rsid w:val="002322F5"/>
    <w:rsid w:val="00232310"/>
    <w:rsid w:val="00232392"/>
    <w:rsid w:val="00232B8A"/>
    <w:rsid w:val="00232D53"/>
    <w:rsid w:val="0023527A"/>
    <w:rsid w:val="00236AFC"/>
    <w:rsid w:val="0023701F"/>
    <w:rsid w:val="002401B2"/>
    <w:rsid w:val="00242510"/>
    <w:rsid w:val="00242863"/>
    <w:rsid w:val="002454BA"/>
    <w:rsid w:val="00246151"/>
    <w:rsid w:val="00246845"/>
    <w:rsid w:val="002469C2"/>
    <w:rsid w:val="00246ABE"/>
    <w:rsid w:val="00247061"/>
    <w:rsid w:val="0024782D"/>
    <w:rsid w:val="00247990"/>
    <w:rsid w:val="00247F3D"/>
    <w:rsid w:val="00247F63"/>
    <w:rsid w:val="00251A9F"/>
    <w:rsid w:val="00254D21"/>
    <w:rsid w:val="00255E40"/>
    <w:rsid w:val="002565EB"/>
    <w:rsid w:val="00257EB4"/>
    <w:rsid w:val="00257F03"/>
    <w:rsid w:val="0026059C"/>
    <w:rsid w:val="00261F3E"/>
    <w:rsid w:val="00262CC2"/>
    <w:rsid w:val="002631F7"/>
    <w:rsid w:val="002636BB"/>
    <w:rsid w:val="002655D8"/>
    <w:rsid w:val="0026749B"/>
    <w:rsid w:val="00267D84"/>
    <w:rsid w:val="00272F22"/>
    <w:rsid w:val="00273D13"/>
    <w:rsid w:val="00273E17"/>
    <w:rsid w:val="00275969"/>
    <w:rsid w:val="00281B6E"/>
    <w:rsid w:val="00281F78"/>
    <w:rsid w:val="00282397"/>
    <w:rsid w:val="00282DC1"/>
    <w:rsid w:val="002841B1"/>
    <w:rsid w:val="0028448E"/>
    <w:rsid w:val="00284F02"/>
    <w:rsid w:val="002855E7"/>
    <w:rsid w:val="002859F7"/>
    <w:rsid w:val="0028631A"/>
    <w:rsid w:val="00287041"/>
    <w:rsid w:val="00287786"/>
    <w:rsid w:val="00287D54"/>
    <w:rsid w:val="00290755"/>
    <w:rsid w:val="00292EE8"/>
    <w:rsid w:val="00293080"/>
    <w:rsid w:val="00293801"/>
    <w:rsid w:val="00294600"/>
    <w:rsid w:val="00294878"/>
    <w:rsid w:val="00294F1C"/>
    <w:rsid w:val="002954AC"/>
    <w:rsid w:val="002962DD"/>
    <w:rsid w:val="00296ABE"/>
    <w:rsid w:val="002A052F"/>
    <w:rsid w:val="002A2745"/>
    <w:rsid w:val="002A30B4"/>
    <w:rsid w:val="002A321F"/>
    <w:rsid w:val="002A3DB4"/>
    <w:rsid w:val="002A4566"/>
    <w:rsid w:val="002A47CA"/>
    <w:rsid w:val="002A4AE6"/>
    <w:rsid w:val="002A5DF2"/>
    <w:rsid w:val="002A79F0"/>
    <w:rsid w:val="002B02B0"/>
    <w:rsid w:val="002B1A3B"/>
    <w:rsid w:val="002B1D4E"/>
    <w:rsid w:val="002B2087"/>
    <w:rsid w:val="002B264F"/>
    <w:rsid w:val="002B345E"/>
    <w:rsid w:val="002B4879"/>
    <w:rsid w:val="002B50CF"/>
    <w:rsid w:val="002B66BF"/>
    <w:rsid w:val="002B747B"/>
    <w:rsid w:val="002B7832"/>
    <w:rsid w:val="002B7E2E"/>
    <w:rsid w:val="002C0756"/>
    <w:rsid w:val="002C1C40"/>
    <w:rsid w:val="002C21FD"/>
    <w:rsid w:val="002C23E2"/>
    <w:rsid w:val="002C3C8E"/>
    <w:rsid w:val="002C3FB0"/>
    <w:rsid w:val="002C49CE"/>
    <w:rsid w:val="002C4DAF"/>
    <w:rsid w:val="002C56B1"/>
    <w:rsid w:val="002C6058"/>
    <w:rsid w:val="002C6894"/>
    <w:rsid w:val="002C6996"/>
    <w:rsid w:val="002D0CD5"/>
    <w:rsid w:val="002D4394"/>
    <w:rsid w:val="002D4A8B"/>
    <w:rsid w:val="002D52F2"/>
    <w:rsid w:val="002E091D"/>
    <w:rsid w:val="002E14DD"/>
    <w:rsid w:val="002E28A9"/>
    <w:rsid w:val="002E36E7"/>
    <w:rsid w:val="002E4B73"/>
    <w:rsid w:val="002E7065"/>
    <w:rsid w:val="002F137A"/>
    <w:rsid w:val="002F14A7"/>
    <w:rsid w:val="002F15E6"/>
    <w:rsid w:val="002F218F"/>
    <w:rsid w:val="002F2C83"/>
    <w:rsid w:val="002F3B48"/>
    <w:rsid w:val="002F73A6"/>
    <w:rsid w:val="002F7DB1"/>
    <w:rsid w:val="00300D36"/>
    <w:rsid w:val="0030175A"/>
    <w:rsid w:val="00301ECA"/>
    <w:rsid w:val="0030203D"/>
    <w:rsid w:val="00303741"/>
    <w:rsid w:val="003042A1"/>
    <w:rsid w:val="003047EB"/>
    <w:rsid w:val="00305487"/>
    <w:rsid w:val="00305E10"/>
    <w:rsid w:val="003102C7"/>
    <w:rsid w:val="0031038D"/>
    <w:rsid w:val="003107B5"/>
    <w:rsid w:val="003114C0"/>
    <w:rsid w:val="00311EDD"/>
    <w:rsid w:val="00313E1B"/>
    <w:rsid w:val="00315239"/>
    <w:rsid w:val="00321281"/>
    <w:rsid w:val="003241F9"/>
    <w:rsid w:val="003264F4"/>
    <w:rsid w:val="00326B4B"/>
    <w:rsid w:val="00330BF3"/>
    <w:rsid w:val="0033141F"/>
    <w:rsid w:val="003348F1"/>
    <w:rsid w:val="00334CC9"/>
    <w:rsid w:val="003358DF"/>
    <w:rsid w:val="00336D83"/>
    <w:rsid w:val="00337500"/>
    <w:rsid w:val="00337C62"/>
    <w:rsid w:val="00343928"/>
    <w:rsid w:val="00343F04"/>
    <w:rsid w:val="003442CC"/>
    <w:rsid w:val="0034490A"/>
    <w:rsid w:val="003507E7"/>
    <w:rsid w:val="00352A06"/>
    <w:rsid w:val="00354472"/>
    <w:rsid w:val="0035458F"/>
    <w:rsid w:val="0035470C"/>
    <w:rsid w:val="0035527F"/>
    <w:rsid w:val="003555B7"/>
    <w:rsid w:val="003556B4"/>
    <w:rsid w:val="003558D0"/>
    <w:rsid w:val="00355DBB"/>
    <w:rsid w:val="00356053"/>
    <w:rsid w:val="00360585"/>
    <w:rsid w:val="003615E8"/>
    <w:rsid w:val="00362575"/>
    <w:rsid w:val="00362C09"/>
    <w:rsid w:val="00363DD9"/>
    <w:rsid w:val="00364152"/>
    <w:rsid w:val="00364BDD"/>
    <w:rsid w:val="00364E44"/>
    <w:rsid w:val="00365711"/>
    <w:rsid w:val="00365911"/>
    <w:rsid w:val="0036626F"/>
    <w:rsid w:val="0037171D"/>
    <w:rsid w:val="00371EB6"/>
    <w:rsid w:val="0037246E"/>
    <w:rsid w:val="00375043"/>
    <w:rsid w:val="003764C1"/>
    <w:rsid w:val="00377BD2"/>
    <w:rsid w:val="0038048F"/>
    <w:rsid w:val="0038075E"/>
    <w:rsid w:val="00380DB4"/>
    <w:rsid w:val="0038305E"/>
    <w:rsid w:val="003837D7"/>
    <w:rsid w:val="003855E8"/>
    <w:rsid w:val="00385F39"/>
    <w:rsid w:val="003865AB"/>
    <w:rsid w:val="003870AE"/>
    <w:rsid w:val="0039034B"/>
    <w:rsid w:val="00391485"/>
    <w:rsid w:val="00391E01"/>
    <w:rsid w:val="00393E1D"/>
    <w:rsid w:val="003945BB"/>
    <w:rsid w:val="003949E3"/>
    <w:rsid w:val="003952BA"/>
    <w:rsid w:val="003969C1"/>
    <w:rsid w:val="00396A3A"/>
    <w:rsid w:val="00396F26"/>
    <w:rsid w:val="003A0322"/>
    <w:rsid w:val="003A058A"/>
    <w:rsid w:val="003A163C"/>
    <w:rsid w:val="003A24DC"/>
    <w:rsid w:val="003A259C"/>
    <w:rsid w:val="003A4FF3"/>
    <w:rsid w:val="003B02BB"/>
    <w:rsid w:val="003B02EB"/>
    <w:rsid w:val="003B05DB"/>
    <w:rsid w:val="003B0DC2"/>
    <w:rsid w:val="003B1598"/>
    <w:rsid w:val="003B4082"/>
    <w:rsid w:val="003B43E8"/>
    <w:rsid w:val="003B4BC2"/>
    <w:rsid w:val="003B5D11"/>
    <w:rsid w:val="003B6523"/>
    <w:rsid w:val="003B70E7"/>
    <w:rsid w:val="003B79D3"/>
    <w:rsid w:val="003C0E2C"/>
    <w:rsid w:val="003C15A0"/>
    <w:rsid w:val="003C180A"/>
    <w:rsid w:val="003C1F2F"/>
    <w:rsid w:val="003C24BB"/>
    <w:rsid w:val="003C2BDC"/>
    <w:rsid w:val="003C3172"/>
    <w:rsid w:val="003C5C17"/>
    <w:rsid w:val="003C6968"/>
    <w:rsid w:val="003C6CE4"/>
    <w:rsid w:val="003C721C"/>
    <w:rsid w:val="003D1130"/>
    <w:rsid w:val="003D2738"/>
    <w:rsid w:val="003D2E8B"/>
    <w:rsid w:val="003D2F72"/>
    <w:rsid w:val="003D4EF1"/>
    <w:rsid w:val="003D5193"/>
    <w:rsid w:val="003D52BC"/>
    <w:rsid w:val="003D5945"/>
    <w:rsid w:val="003D5A69"/>
    <w:rsid w:val="003D5B0A"/>
    <w:rsid w:val="003D61F1"/>
    <w:rsid w:val="003D63B9"/>
    <w:rsid w:val="003D63E8"/>
    <w:rsid w:val="003D6BD4"/>
    <w:rsid w:val="003D70A3"/>
    <w:rsid w:val="003E096E"/>
    <w:rsid w:val="003E15ED"/>
    <w:rsid w:val="003E1DB2"/>
    <w:rsid w:val="003E2556"/>
    <w:rsid w:val="003E2A6C"/>
    <w:rsid w:val="003E3B61"/>
    <w:rsid w:val="003E44A4"/>
    <w:rsid w:val="003E4B82"/>
    <w:rsid w:val="003E6081"/>
    <w:rsid w:val="003E6DB6"/>
    <w:rsid w:val="003E77F3"/>
    <w:rsid w:val="003F1480"/>
    <w:rsid w:val="003F3078"/>
    <w:rsid w:val="003F398D"/>
    <w:rsid w:val="003F3E9B"/>
    <w:rsid w:val="003F4A1A"/>
    <w:rsid w:val="003F5AD0"/>
    <w:rsid w:val="003F722E"/>
    <w:rsid w:val="003F7F6D"/>
    <w:rsid w:val="004012DB"/>
    <w:rsid w:val="00401F98"/>
    <w:rsid w:val="00404414"/>
    <w:rsid w:val="004046FB"/>
    <w:rsid w:val="00404F8B"/>
    <w:rsid w:val="004051D3"/>
    <w:rsid w:val="0040735E"/>
    <w:rsid w:val="00407C32"/>
    <w:rsid w:val="0041087A"/>
    <w:rsid w:val="004112FC"/>
    <w:rsid w:val="00413C6C"/>
    <w:rsid w:val="0041434F"/>
    <w:rsid w:val="004144D4"/>
    <w:rsid w:val="004145C3"/>
    <w:rsid w:val="00415FEF"/>
    <w:rsid w:val="004174F8"/>
    <w:rsid w:val="00420020"/>
    <w:rsid w:val="00420AC0"/>
    <w:rsid w:val="004218B9"/>
    <w:rsid w:val="0042256D"/>
    <w:rsid w:val="00423075"/>
    <w:rsid w:val="00423DBC"/>
    <w:rsid w:val="004254FC"/>
    <w:rsid w:val="00425726"/>
    <w:rsid w:val="00425DB4"/>
    <w:rsid w:val="00426286"/>
    <w:rsid w:val="00426317"/>
    <w:rsid w:val="00427211"/>
    <w:rsid w:val="00430C55"/>
    <w:rsid w:val="00432418"/>
    <w:rsid w:val="00432A07"/>
    <w:rsid w:val="0043340A"/>
    <w:rsid w:val="00433578"/>
    <w:rsid w:val="00433D5E"/>
    <w:rsid w:val="0043597B"/>
    <w:rsid w:val="00435FF9"/>
    <w:rsid w:val="00443EF7"/>
    <w:rsid w:val="00444925"/>
    <w:rsid w:val="00444C0F"/>
    <w:rsid w:val="00445CCC"/>
    <w:rsid w:val="00447B87"/>
    <w:rsid w:val="00451498"/>
    <w:rsid w:val="0045263A"/>
    <w:rsid w:val="00454311"/>
    <w:rsid w:val="0045495F"/>
    <w:rsid w:val="00456700"/>
    <w:rsid w:val="00456EC0"/>
    <w:rsid w:val="004605D3"/>
    <w:rsid w:val="00460C5B"/>
    <w:rsid w:val="00460CDC"/>
    <w:rsid w:val="004610ED"/>
    <w:rsid w:val="00461120"/>
    <w:rsid w:val="00461786"/>
    <w:rsid w:val="00461A20"/>
    <w:rsid w:val="00461AC6"/>
    <w:rsid w:val="0046211C"/>
    <w:rsid w:val="004621AB"/>
    <w:rsid w:val="00462B7D"/>
    <w:rsid w:val="004633CC"/>
    <w:rsid w:val="004638F7"/>
    <w:rsid w:val="00463E9E"/>
    <w:rsid w:val="00464539"/>
    <w:rsid w:val="00465633"/>
    <w:rsid w:val="00466540"/>
    <w:rsid w:val="00466E4A"/>
    <w:rsid w:val="00467EA3"/>
    <w:rsid w:val="00470176"/>
    <w:rsid w:val="00471E37"/>
    <w:rsid w:val="00472A85"/>
    <w:rsid w:val="00474000"/>
    <w:rsid w:val="0047755A"/>
    <w:rsid w:val="00477985"/>
    <w:rsid w:val="004803A4"/>
    <w:rsid w:val="00481551"/>
    <w:rsid w:val="00481AC7"/>
    <w:rsid w:val="00481CE1"/>
    <w:rsid w:val="00482774"/>
    <w:rsid w:val="00482DCD"/>
    <w:rsid w:val="0048407A"/>
    <w:rsid w:val="00485B2E"/>
    <w:rsid w:val="00485FA0"/>
    <w:rsid w:val="004870B7"/>
    <w:rsid w:val="00491C07"/>
    <w:rsid w:val="00495983"/>
    <w:rsid w:val="00497DEC"/>
    <w:rsid w:val="004A24F0"/>
    <w:rsid w:val="004A438B"/>
    <w:rsid w:val="004A460C"/>
    <w:rsid w:val="004A52DC"/>
    <w:rsid w:val="004A5C03"/>
    <w:rsid w:val="004A5C72"/>
    <w:rsid w:val="004A658C"/>
    <w:rsid w:val="004A7335"/>
    <w:rsid w:val="004A79AE"/>
    <w:rsid w:val="004B052C"/>
    <w:rsid w:val="004B145D"/>
    <w:rsid w:val="004B30F1"/>
    <w:rsid w:val="004B3763"/>
    <w:rsid w:val="004B3D47"/>
    <w:rsid w:val="004B4744"/>
    <w:rsid w:val="004B4E06"/>
    <w:rsid w:val="004B5740"/>
    <w:rsid w:val="004B6666"/>
    <w:rsid w:val="004B71B0"/>
    <w:rsid w:val="004B7A4E"/>
    <w:rsid w:val="004C11FD"/>
    <w:rsid w:val="004C1397"/>
    <w:rsid w:val="004C140C"/>
    <w:rsid w:val="004C2BB6"/>
    <w:rsid w:val="004C2CB2"/>
    <w:rsid w:val="004C2DEA"/>
    <w:rsid w:val="004C2EB6"/>
    <w:rsid w:val="004C38B0"/>
    <w:rsid w:val="004C3B59"/>
    <w:rsid w:val="004C5D24"/>
    <w:rsid w:val="004C5FF1"/>
    <w:rsid w:val="004C64DD"/>
    <w:rsid w:val="004C7DB0"/>
    <w:rsid w:val="004D0F71"/>
    <w:rsid w:val="004D1244"/>
    <w:rsid w:val="004D1316"/>
    <w:rsid w:val="004D1AAF"/>
    <w:rsid w:val="004D1D2C"/>
    <w:rsid w:val="004D3628"/>
    <w:rsid w:val="004D3A5F"/>
    <w:rsid w:val="004D49D6"/>
    <w:rsid w:val="004D4A94"/>
    <w:rsid w:val="004D4F1E"/>
    <w:rsid w:val="004D55EE"/>
    <w:rsid w:val="004D5D23"/>
    <w:rsid w:val="004D5DD3"/>
    <w:rsid w:val="004D5E75"/>
    <w:rsid w:val="004D7FAF"/>
    <w:rsid w:val="004E2F12"/>
    <w:rsid w:val="004E3C52"/>
    <w:rsid w:val="004E5EB5"/>
    <w:rsid w:val="004E6D1D"/>
    <w:rsid w:val="004E7509"/>
    <w:rsid w:val="004E764C"/>
    <w:rsid w:val="004E7B68"/>
    <w:rsid w:val="004E7F02"/>
    <w:rsid w:val="004F03E4"/>
    <w:rsid w:val="004F28D2"/>
    <w:rsid w:val="004F296D"/>
    <w:rsid w:val="004F426E"/>
    <w:rsid w:val="004F4334"/>
    <w:rsid w:val="004F4C33"/>
    <w:rsid w:val="004F713B"/>
    <w:rsid w:val="004F71C5"/>
    <w:rsid w:val="00501AF1"/>
    <w:rsid w:val="0050280E"/>
    <w:rsid w:val="0050356E"/>
    <w:rsid w:val="00504DE3"/>
    <w:rsid w:val="00506255"/>
    <w:rsid w:val="00506320"/>
    <w:rsid w:val="00506CF4"/>
    <w:rsid w:val="005079D7"/>
    <w:rsid w:val="00510245"/>
    <w:rsid w:val="00513062"/>
    <w:rsid w:val="00513337"/>
    <w:rsid w:val="00513FA3"/>
    <w:rsid w:val="005144EF"/>
    <w:rsid w:val="005165D5"/>
    <w:rsid w:val="005167FA"/>
    <w:rsid w:val="005172F8"/>
    <w:rsid w:val="005179FC"/>
    <w:rsid w:val="00520AD1"/>
    <w:rsid w:val="0052290C"/>
    <w:rsid w:val="00523696"/>
    <w:rsid w:val="00523841"/>
    <w:rsid w:val="00525362"/>
    <w:rsid w:val="00525C56"/>
    <w:rsid w:val="005263D0"/>
    <w:rsid w:val="0052750D"/>
    <w:rsid w:val="0053023C"/>
    <w:rsid w:val="00530EE3"/>
    <w:rsid w:val="00532554"/>
    <w:rsid w:val="005357E0"/>
    <w:rsid w:val="005372A3"/>
    <w:rsid w:val="005377BC"/>
    <w:rsid w:val="00541989"/>
    <w:rsid w:val="005419E6"/>
    <w:rsid w:val="00541C37"/>
    <w:rsid w:val="0054367A"/>
    <w:rsid w:val="00543E4E"/>
    <w:rsid w:val="00545075"/>
    <w:rsid w:val="00545B0D"/>
    <w:rsid w:val="0054657B"/>
    <w:rsid w:val="005471E2"/>
    <w:rsid w:val="005504FE"/>
    <w:rsid w:val="00550F5B"/>
    <w:rsid w:val="00551D65"/>
    <w:rsid w:val="00552A64"/>
    <w:rsid w:val="00553AFB"/>
    <w:rsid w:val="00553C13"/>
    <w:rsid w:val="00553DE7"/>
    <w:rsid w:val="00553EF7"/>
    <w:rsid w:val="00553FBC"/>
    <w:rsid w:val="005545C0"/>
    <w:rsid w:val="00562446"/>
    <w:rsid w:val="00564C64"/>
    <w:rsid w:val="00564E77"/>
    <w:rsid w:val="005653FA"/>
    <w:rsid w:val="00565663"/>
    <w:rsid w:val="0056613D"/>
    <w:rsid w:val="00566A1F"/>
    <w:rsid w:val="00567D59"/>
    <w:rsid w:val="0057161B"/>
    <w:rsid w:val="005731E0"/>
    <w:rsid w:val="0057560B"/>
    <w:rsid w:val="0057590D"/>
    <w:rsid w:val="005769C9"/>
    <w:rsid w:val="00576A34"/>
    <w:rsid w:val="0057759D"/>
    <w:rsid w:val="005832CC"/>
    <w:rsid w:val="005844D0"/>
    <w:rsid w:val="005856C7"/>
    <w:rsid w:val="0058633F"/>
    <w:rsid w:val="00586886"/>
    <w:rsid w:val="00586CB7"/>
    <w:rsid w:val="00586DC9"/>
    <w:rsid w:val="005902DC"/>
    <w:rsid w:val="005935A1"/>
    <w:rsid w:val="005948EF"/>
    <w:rsid w:val="00594BA7"/>
    <w:rsid w:val="00595C15"/>
    <w:rsid w:val="00596C8B"/>
    <w:rsid w:val="0059755A"/>
    <w:rsid w:val="00597DC3"/>
    <w:rsid w:val="005A09A3"/>
    <w:rsid w:val="005A1091"/>
    <w:rsid w:val="005A1A54"/>
    <w:rsid w:val="005A26A2"/>
    <w:rsid w:val="005A3BBB"/>
    <w:rsid w:val="005A6B2F"/>
    <w:rsid w:val="005A7B6C"/>
    <w:rsid w:val="005B093D"/>
    <w:rsid w:val="005B14C1"/>
    <w:rsid w:val="005B2E2E"/>
    <w:rsid w:val="005B44EF"/>
    <w:rsid w:val="005B57A7"/>
    <w:rsid w:val="005B68F6"/>
    <w:rsid w:val="005B7FE0"/>
    <w:rsid w:val="005C05D2"/>
    <w:rsid w:val="005C0898"/>
    <w:rsid w:val="005C0E49"/>
    <w:rsid w:val="005C25AC"/>
    <w:rsid w:val="005C2C4E"/>
    <w:rsid w:val="005C2E77"/>
    <w:rsid w:val="005C5F2F"/>
    <w:rsid w:val="005C671B"/>
    <w:rsid w:val="005D02A6"/>
    <w:rsid w:val="005D10B2"/>
    <w:rsid w:val="005D136C"/>
    <w:rsid w:val="005D1D52"/>
    <w:rsid w:val="005D38C8"/>
    <w:rsid w:val="005D45A0"/>
    <w:rsid w:val="005D63FF"/>
    <w:rsid w:val="005D716D"/>
    <w:rsid w:val="005D7B12"/>
    <w:rsid w:val="005E0529"/>
    <w:rsid w:val="005E1C64"/>
    <w:rsid w:val="005E26B5"/>
    <w:rsid w:val="005E2874"/>
    <w:rsid w:val="005E3FF2"/>
    <w:rsid w:val="005E7F35"/>
    <w:rsid w:val="005F0CF5"/>
    <w:rsid w:val="005F1948"/>
    <w:rsid w:val="005F1C82"/>
    <w:rsid w:val="005F366B"/>
    <w:rsid w:val="005F3C8D"/>
    <w:rsid w:val="005F3C95"/>
    <w:rsid w:val="005F43DD"/>
    <w:rsid w:val="005F49B3"/>
    <w:rsid w:val="005F4DC9"/>
    <w:rsid w:val="005F51A4"/>
    <w:rsid w:val="005F5D9E"/>
    <w:rsid w:val="005F6008"/>
    <w:rsid w:val="006025B4"/>
    <w:rsid w:val="0060534A"/>
    <w:rsid w:val="006057D1"/>
    <w:rsid w:val="00605F22"/>
    <w:rsid w:val="00610CDC"/>
    <w:rsid w:val="006110A8"/>
    <w:rsid w:val="00612170"/>
    <w:rsid w:val="006129C1"/>
    <w:rsid w:val="00613B7F"/>
    <w:rsid w:val="00614B27"/>
    <w:rsid w:val="0061511A"/>
    <w:rsid w:val="00616635"/>
    <w:rsid w:val="00617FA5"/>
    <w:rsid w:val="006201B4"/>
    <w:rsid w:val="00620621"/>
    <w:rsid w:val="00621CAF"/>
    <w:rsid w:val="00621ED8"/>
    <w:rsid w:val="006220BB"/>
    <w:rsid w:val="0062233B"/>
    <w:rsid w:val="00623CBF"/>
    <w:rsid w:val="0062497F"/>
    <w:rsid w:val="006255DF"/>
    <w:rsid w:val="00625C41"/>
    <w:rsid w:val="00625CE2"/>
    <w:rsid w:val="00626038"/>
    <w:rsid w:val="006310DB"/>
    <w:rsid w:val="0063145E"/>
    <w:rsid w:val="00631671"/>
    <w:rsid w:val="0063261D"/>
    <w:rsid w:val="0063284F"/>
    <w:rsid w:val="00632ECF"/>
    <w:rsid w:val="0063374C"/>
    <w:rsid w:val="00633B52"/>
    <w:rsid w:val="00634F4E"/>
    <w:rsid w:val="006350D6"/>
    <w:rsid w:val="0063557B"/>
    <w:rsid w:val="00636D97"/>
    <w:rsid w:val="006400A7"/>
    <w:rsid w:val="0064066C"/>
    <w:rsid w:val="00641312"/>
    <w:rsid w:val="00643883"/>
    <w:rsid w:val="0064394B"/>
    <w:rsid w:val="00643C1C"/>
    <w:rsid w:val="00647CE7"/>
    <w:rsid w:val="0065032E"/>
    <w:rsid w:val="00650DF0"/>
    <w:rsid w:val="00650F54"/>
    <w:rsid w:val="00652DBC"/>
    <w:rsid w:val="00652F09"/>
    <w:rsid w:val="006548BF"/>
    <w:rsid w:val="006569FF"/>
    <w:rsid w:val="00663470"/>
    <w:rsid w:val="0066381B"/>
    <w:rsid w:val="00665175"/>
    <w:rsid w:val="00665EAF"/>
    <w:rsid w:val="0066722F"/>
    <w:rsid w:val="00667371"/>
    <w:rsid w:val="00670141"/>
    <w:rsid w:val="00670EDD"/>
    <w:rsid w:val="0067164A"/>
    <w:rsid w:val="0067244C"/>
    <w:rsid w:val="00673A64"/>
    <w:rsid w:val="00674319"/>
    <w:rsid w:val="00675A34"/>
    <w:rsid w:val="00675E94"/>
    <w:rsid w:val="00676A8A"/>
    <w:rsid w:val="00676D2E"/>
    <w:rsid w:val="0067718A"/>
    <w:rsid w:val="006773A5"/>
    <w:rsid w:val="00677D31"/>
    <w:rsid w:val="00680B5C"/>
    <w:rsid w:val="00681335"/>
    <w:rsid w:val="00682B72"/>
    <w:rsid w:val="00682C0A"/>
    <w:rsid w:val="0068325C"/>
    <w:rsid w:val="0068389F"/>
    <w:rsid w:val="0068472F"/>
    <w:rsid w:val="00685772"/>
    <w:rsid w:val="00685C68"/>
    <w:rsid w:val="0068698D"/>
    <w:rsid w:val="006872A7"/>
    <w:rsid w:val="006872EC"/>
    <w:rsid w:val="00687593"/>
    <w:rsid w:val="00690DA7"/>
    <w:rsid w:val="00690EC6"/>
    <w:rsid w:val="006920A2"/>
    <w:rsid w:val="00693702"/>
    <w:rsid w:val="006942DD"/>
    <w:rsid w:val="006956B3"/>
    <w:rsid w:val="00697770"/>
    <w:rsid w:val="00697D7C"/>
    <w:rsid w:val="00697D80"/>
    <w:rsid w:val="006A00E3"/>
    <w:rsid w:val="006A16A2"/>
    <w:rsid w:val="006A19CF"/>
    <w:rsid w:val="006A21CA"/>
    <w:rsid w:val="006A27B8"/>
    <w:rsid w:val="006A300D"/>
    <w:rsid w:val="006A31DF"/>
    <w:rsid w:val="006A4ABE"/>
    <w:rsid w:val="006A5069"/>
    <w:rsid w:val="006A7459"/>
    <w:rsid w:val="006A785C"/>
    <w:rsid w:val="006A7F3B"/>
    <w:rsid w:val="006B039D"/>
    <w:rsid w:val="006B10A1"/>
    <w:rsid w:val="006B1A05"/>
    <w:rsid w:val="006B1B39"/>
    <w:rsid w:val="006B2273"/>
    <w:rsid w:val="006B410A"/>
    <w:rsid w:val="006B44E4"/>
    <w:rsid w:val="006B47E5"/>
    <w:rsid w:val="006B6C8E"/>
    <w:rsid w:val="006B6D87"/>
    <w:rsid w:val="006C04DE"/>
    <w:rsid w:val="006C0953"/>
    <w:rsid w:val="006C0B36"/>
    <w:rsid w:val="006C0F3A"/>
    <w:rsid w:val="006C10A7"/>
    <w:rsid w:val="006C18FF"/>
    <w:rsid w:val="006C2B30"/>
    <w:rsid w:val="006C3640"/>
    <w:rsid w:val="006C43D3"/>
    <w:rsid w:val="006C5A11"/>
    <w:rsid w:val="006C6916"/>
    <w:rsid w:val="006C70DB"/>
    <w:rsid w:val="006D10F5"/>
    <w:rsid w:val="006D11C1"/>
    <w:rsid w:val="006D2F6C"/>
    <w:rsid w:val="006D4669"/>
    <w:rsid w:val="006D6A8C"/>
    <w:rsid w:val="006D776A"/>
    <w:rsid w:val="006E1847"/>
    <w:rsid w:val="006E1F85"/>
    <w:rsid w:val="006E2298"/>
    <w:rsid w:val="006E2EC2"/>
    <w:rsid w:val="006E3489"/>
    <w:rsid w:val="006E45C6"/>
    <w:rsid w:val="006E5A39"/>
    <w:rsid w:val="006E5AD4"/>
    <w:rsid w:val="006E689D"/>
    <w:rsid w:val="006E6AAA"/>
    <w:rsid w:val="006E7B54"/>
    <w:rsid w:val="006F0EF3"/>
    <w:rsid w:val="006F1584"/>
    <w:rsid w:val="006F1C60"/>
    <w:rsid w:val="006F1FE9"/>
    <w:rsid w:val="006F2E06"/>
    <w:rsid w:val="006F4FE6"/>
    <w:rsid w:val="006F527D"/>
    <w:rsid w:val="006F6B8B"/>
    <w:rsid w:val="006F6D72"/>
    <w:rsid w:val="00700C09"/>
    <w:rsid w:val="00700FDE"/>
    <w:rsid w:val="00701530"/>
    <w:rsid w:val="007030E2"/>
    <w:rsid w:val="0070463E"/>
    <w:rsid w:val="007047C2"/>
    <w:rsid w:val="0070492A"/>
    <w:rsid w:val="00704AFE"/>
    <w:rsid w:val="007058AA"/>
    <w:rsid w:val="00711114"/>
    <w:rsid w:val="007114F2"/>
    <w:rsid w:val="0071156F"/>
    <w:rsid w:val="00711FCA"/>
    <w:rsid w:val="007124DC"/>
    <w:rsid w:val="00712DB1"/>
    <w:rsid w:val="0071376E"/>
    <w:rsid w:val="0071387A"/>
    <w:rsid w:val="007155B0"/>
    <w:rsid w:val="0072144B"/>
    <w:rsid w:val="00721827"/>
    <w:rsid w:val="00722332"/>
    <w:rsid w:val="007228FD"/>
    <w:rsid w:val="00723D03"/>
    <w:rsid w:val="00727458"/>
    <w:rsid w:val="007277A1"/>
    <w:rsid w:val="00731569"/>
    <w:rsid w:val="00735551"/>
    <w:rsid w:val="00736860"/>
    <w:rsid w:val="00736F2A"/>
    <w:rsid w:val="00736FA1"/>
    <w:rsid w:val="00737771"/>
    <w:rsid w:val="007414BD"/>
    <w:rsid w:val="0074239C"/>
    <w:rsid w:val="007432E2"/>
    <w:rsid w:val="00743EEB"/>
    <w:rsid w:val="00745122"/>
    <w:rsid w:val="0074539D"/>
    <w:rsid w:val="00745B4A"/>
    <w:rsid w:val="00747C9F"/>
    <w:rsid w:val="00750535"/>
    <w:rsid w:val="007511E4"/>
    <w:rsid w:val="00751667"/>
    <w:rsid w:val="00751B61"/>
    <w:rsid w:val="00751DE8"/>
    <w:rsid w:val="00752413"/>
    <w:rsid w:val="00756023"/>
    <w:rsid w:val="00756620"/>
    <w:rsid w:val="00756DCA"/>
    <w:rsid w:val="007574C2"/>
    <w:rsid w:val="00757D82"/>
    <w:rsid w:val="00760A23"/>
    <w:rsid w:val="00760FBB"/>
    <w:rsid w:val="007613B2"/>
    <w:rsid w:val="00761C31"/>
    <w:rsid w:val="007628D8"/>
    <w:rsid w:val="00762DE0"/>
    <w:rsid w:val="0076352E"/>
    <w:rsid w:val="0076423A"/>
    <w:rsid w:val="0076444E"/>
    <w:rsid w:val="007656EF"/>
    <w:rsid w:val="007662A5"/>
    <w:rsid w:val="007667D9"/>
    <w:rsid w:val="0076724F"/>
    <w:rsid w:val="00767332"/>
    <w:rsid w:val="00770663"/>
    <w:rsid w:val="00770D13"/>
    <w:rsid w:val="007710FD"/>
    <w:rsid w:val="00772919"/>
    <w:rsid w:val="0077486B"/>
    <w:rsid w:val="00775FE1"/>
    <w:rsid w:val="00776585"/>
    <w:rsid w:val="0077766C"/>
    <w:rsid w:val="00780E52"/>
    <w:rsid w:val="00781BB0"/>
    <w:rsid w:val="007822EE"/>
    <w:rsid w:val="0078295F"/>
    <w:rsid w:val="00785033"/>
    <w:rsid w:val="007854A6"/>
    <w:rsid w:val="00785A19"/>
    <w:rsid w:val="00785AEE"/>
    <w:rsid w:val="00787827"/>
    <w:rsid w:val="00790023"/>
    <w:rsid w:val="007914AE"/>
    <w:rsid w:val="007916F5"/>
    <w:rsid w:val="00791E82"/>
    <w:rsid w:val="007920D8"/>
    <w:rsid w:val="007923EA"/>
    <w:rsid w:val="00792BFD"/>
    <w:rsid w:val="00792DE2"/>
    <w:rsid w:val="007942C6"/>
    <w:rsid w:val="00794ABF"/>
    <w:rsid w:val="00796743"/>
    <w:rsid w:val="007978BE"/>
    <w:rsid w:val="007A13A7"/>
    <w:rsid w:val="007A159B"/>
    <w:rsid w:val="007A17E8"/>
    <w:rsid w:val="007A2B32"/>
    <w:rsid w:val="007A40E6"/>
    <w:rsid w:val="007A4F94"/>
    <w:rsid w:val="007A65DB"/>
    <w:rsid w:val="007B230B"/>
    <w:rsid w:val="007B389F"/>
    <w:rsid w:val="007B4894"/>
    <w:rsid w:val="007B4A16"/>
    <w:rsid w:val="007B4F7D"/>
    <w:rsid w:val="007B554B"/>
    <w:rsid w:val="007B5FA9"/>
    <w:rsid w:val="007B7919"/>
    <w:rsid w:val="007C0170"/>
    <w:rsid w:val="007C1200"/>
    <w:rsid w:val="007C1D56"/>
    <w:rsid w:val="007C3AFE"/>
    <w:rsid w:val="007C3C03"/>
    <w:rsid w:val="007C409D"/>
    <w:rsid w:val="007C44E0"/>
    <w:rsid w:val="007C45E4"/>
    <w:rsid w:val="007C51DC"/>
    <w:rsid w:val="007C5876"/>
    <w:rsid w:val="007C7E1F"/>
    <w:rsid w:val="007D171B"/>
    <w:rsid w:val="007D22D9"/>
    <w:rsid w:val="007D3055"/>
    <w:rsid w:val="007D4EBF"/>
    <w:rsid w:val="007D549E"/>
    <w:rsid w:val="007D5EDE"/>
    <w:rsid w:val="007D6146"/>
    <w:rsid w:val="007D6BB0"/>
    <w:rsid w:val="007E0D6C"/>
    <w:rsid w:val="007E14C6"/>
    <w:rsid w:val="007E1B35"/>
    <w:rsid w:val="007E292B"/>
    <w:rsid w:val="007E3122"/>
    <w:rsid w:val="007E3DA6"/>
    <w:rsid w:val="007E4072"/>
    <w:rsid w:val="007E56C5"/>
    <w:rsid w:val="007E60EA"/>
    <w:rsid w:val="007E75B0"/>
    <w:rsid w:val="007E76A5"/>
    <w:rsid w:val="007E7754"/>
    <w:rsid w:val="007F5BA6"/>
    <w:rsid w:val="007F5C21"/>
    <w:rsid w:val="00801655"/>
    <w:rsid w:val="0080177F"/>
    <w:rsid w:val="008018A4"/>
    <w:rsid w:val="0080362A"/>
    <w:rsid w:val="00806D83"/>
    <w:rsid w:val="00807F96"/>
    <w:rsid w:val="00813B3B"/>
    <w:rsid w:val="00813BEB"/>
    <w:rsid w:val="0081515E"/>
    <w:rsid w:val="00821276"/>
    <w:rsid w:val="008253EC"/>
    <w:rsid w:val="0082577E"/>
    <w:rsid w:val="00825CA4"/>
    <w:rsid w:val="0082795D"/>
    <w:rsid w:val="00827A42"/>
    <w:rsid w:val="0083061D"/>
    <w:rsid w:val="0083074B"/>
    <w:rsid w:val="00830FD7"/>
    <w:rsid w:val="00831055"/>
    <w:rsid w:val="00833B13"/>
    <w:rsid w:val="008361E8"/>
    <w:rsid w:val="00837222"/>
    <w:rsid w:val="00840E00"/>
    <w:rsid w:val="00840ED4"/>
    <w:rsid w:val="00842E56"/>
    <w:rsid w:val="00842EF2"/>
    <w:rsid w:val="00842F7C"/>
    <w:rsid w:val="0084314A"/>
    <w:rsid w:val="00843622"/>
    <w:rsid w:val="00844055"/>
    <w:rsid w:val="0084433E"/>
    <w:rsid w:val="00844572"/>
    <w:rsid w:val="00844CB6"/>
    <w:rsid w:val="00845639"/>
    <w:rsid w:val="0084568B"/>
    <w:rsid w:val="0084579B"/>
    <w:rsid w:val="00845D6A"/>
    <w:rsid w:val="00846C9E"/>
    <w:rsid w:val="00846D58"/>
    <w:rsid w:val="00847379"/>
    <w:rsid w:val="008478CE"/>
    <w:rsid w:val="00847971"/>
    <w:rsid w:val="00854910"/>
    <w:rsid w:val="008549DC"/>
    <w:rsid w:val="00855F12"/>
    <w:rsid w:val="00856E25"/>
    <w:rsid w:val="00857600"/>
    <w:rsid w:val="00857CC4"/>
    <w:rsid w:val="0086295A"/>
    <w:rsid w:val="00865F3B"/>
    <w:rsid w:val="0086713B"/>
    <w:rsid w:val="00870825"/>
    <w:rsid w:val="00870B3B"/>
    <w:rsid w:val="00870CC5"/>
    <w:rsid w:val="0087353C"/>
    <w:rsid w:val="00874CAF"/>
    <w:rsid w:val="00876F90"/>
    <w:rsid w:val="008828E9"/>
    <w:rsid w:val="00883749"/>
    <w:rsid w:val="00884B9C"/>
    <w:rsid w:val="008854D5"/>
    <w:rsid w:val="008855DE"/>
    <w:rsid w:val="00886F62"/>
    <w:rsid w:val="008873EE"/>
    <w:rsid w:val="00887F43"/>
    <w:rsid w:val="0089038A"/>
    <w:rsid w:val="00890420"/>
    <w:rsid w:val="008908F6"/>
    <w:rsid w:val="00891459"/>
    <w:rsid w:val="0089231F"/>
    <w:rsid w:val="008928EF"/>
    <w:rsid w:val="00895FBE"/>
    <w:rsid w:val="00897ED8"/>
    <w:rsid w:val="008A068F"/>
    <w:rsid w:val="008A1271"/>
    <w:rsid w:val="008A1879"/>
    <w:rsid w:val="008A2068"/>
    <w:rsid w:val="008A2AFF"/>
    <w:rsid w:val="008A2B95"/>
    <w:rsid w:val="008A353D"/>
    <w:rsid w:val="008A44CD"/>
    <w:rsid w:val="008A4885"/>
    <w:rsid w:val="008A4B44"/>
    <w:rsid w:val="008A534E"/>
    <w:rsid w:val="008A6BD1"/>
    <w:rsid w:val="008A7112"/>
    <w:rsid w:val="008B0337"/>
    <w:rsid w:val="008B0509"/>
    <w:rsid w:val="008B0B43"/>
    <w:rsid w:val="008B136A"/>
    <w:rsid w:val="008B25F8"/>
    <w:rsid w:val="008B2C0C"/>
    <w:rsid w:val="008B38D0"/>
    <w:rsid w:val="008B43E2"/>
    <w:rsid w:val="008B4AF6"/>
    <w:rsid w:val="008B5366"/>
    <w:rsid w:val="008B538D"/>
    <w:rsid w:val="008B547E"/>
    <w:rsid w:val="008B6F60"/>
    <w:rsid w:val="008C0FED"/>
    <w:rsid w:val="008C1FD2"/>
    <w:rsid w:val="008C256D"/>
    <w:rsid w:val="008C5681"/>
    <w:rsid w:val="008C5FAB"/>
    <w:rsid w:val="008C6A1E"/>
    <w:rsid w:val="008C7FEB"/>
    <w:rsid w:val="008D1212"/>
    <w:rsid w:val="008D3427"/>
    <w:rsid w:val="008D35A6"/>
    <w:rsid w:val="008D50E0"/>
    <w:rsid w:val="008D578D"/>
    <w:rsid w:val="008D5F98"/>
    <w:rsid w:val="008D7F0D"/>
    <w:rsid w:val="008E15FB"/>
    <w:rsid w:val="008E3733"/>
    <w:rsid w:val="008E3909"/>
    <w:rsid w:val="008E4855"/>
    <w:rsid w:val="008E4A9E"/>
    <w:rsid w:val="008E5159"/>
    <w:rsid w:val="008E5FAF"/>
    <w:rsid w:val="008E60DA"/>
    <w:rsid w:val="008E625F"/>
    <w:rsid w:val="008E6777"/>
    <w:rsid w:val="008E69F4"/>
    <w:rsid w:val="008E6BF3"/>
    <w:rsid w:val="008E6D30"/>
    <w:rsid w:val="008F03CE"/>
    <w:rsid w:val="008F05F4"/>
    <w:rsid w:val="008F0E6D"/>
    <w:rsid w:val="008F2B69"/>
    <w:rsid w:val="008F43EE"/>
    <w:rsid w:val="008F4943"/>
    <w:rsid w:val="008F507F"/>
    <w:rsid w:val="008F65CF"/>
    <w:rsid w:val="00900B04"/>
    <w:rsid w:val="00901132"/>
    <w:rsid w:val="00902852"/>
    <w:rsid w:val="00903C20"/>
    <w:rsid w:val="009042EC"/>
    <w:rsid w:val="0090510C"/>
    <w:rsid w:val="009111B9"/>
    <w:rsid w:val="0091145C"/>
    <w:rsid w:val="00912D5A"/>
    <w:rsid w:val="00913F6C"/>
    <w:rsid w:val="0091409D"/>
    <w:rsid w:val="0091478B"/>
    <w:rsid w:val="00917B15"/>
    <w:rsid w:val="00920A72"/>
    <w:rsid w:val="00920A7B"/>
    <w:rsid w:val="00920D2F"/>
    <w:rsid w:val="00920DC9"/>
    <w:rsid w:val="00921DE8"/>
    <w:rsid w:val="0092206C"/>
    <w:rsid w:val="00922E72"/>
    <w:rsid w:val="00923AD1"/>
    <w:rsid w:val="00923B85"/>
    <w:rsid w:val="0092405C"/>
    <w:rsid w:val="00925007"/>
    <w:rsid w:val="00927F18"/>
    <w:rsid w:val="00930F26"/>
    <w:rsid w:val="009319ED"/>
    <w:rsid w:val="00931C6F"/>
    <w:rsid w:val="00931E57"/>
    <w:rsid w:val="0093201C"/>
    <w:rsid w:val="00932DE7"/>
    <w:rsid w:val="0093330A"/>
    <w:rsid w:val="009336C2"/>
    <w:rsid w:val="009350DC"/>
    <w:rsid w:val="00936B3D"/>
    <w:rsid w:val="00937A7D"/>
    <w:rsid w:val="00937E9F"/>
    <w:rsid w:val="009410A0"/>
    <w:rsid w:val="00942107"/>
    <w:rsid w:val="00942E77"/>
    <w:rsid w:val="009433DA"/>
    <w:rsid w:val="00944FB5"/>
    <w:rsid w:val="009462BA"/>
    <w:rsid w:val="00950CF6"/>
    <w:rsid w:val="00952ACE"/>
    <w:rsid w:val="00953189"/>
    <w:rsid w:val="00953B9F"/>
    <w:rsid w:val="0095716F"/>
    <w:rsid w:val="0096110A"/>
    <w:rsid w:val="009617B4"/>
    <w:rsid w:val="00961FCC"/>
    <w:rsid w:val="009626A8"/>
    <w:rsid w:val="00962E9A"/>
    <w:rsid w:val="00965381"/>
    <w:rsid w:val="00972000"/>
    <w:rsid w:val="00972755"/>
    <w:rsid w:val="0097315D"/>
    <w:rsid w:val="00974A0E"/>
    <w:rsid w:val="00975023"/>
    <w:rsid w:val="00975EF4"/>
    <w:rsid w:val="00975F8F"/>
    <w:rsid w:val="009760C8"/>
    <w:rsid w:val="00976AB0"/>
    <w:rsid w:val="00977F3D"/>
    <w:rsid w:val="00977FC5"/>
    <w:rsid w:val="00980DA8"/>
    <w:rsid w:val="0098170C"/>
    <w:rsid w:val="009820DC"/>
    <w:rsid w:val="00982A1F"/>
    <w:rsid w:val="0098308E"/>
    <w:rsid w:val="009843C1"/>
    <w:rsid w:val="00985B35"/>
    <w:rsid w:val="00986144"/>
    <w:rsid w:val="00986710"/>
    <w:rsid w:val="00987248"/>
    <w:rsid w:val="0099093A"/>
    <w:rsid w:val="00990C0E"/>
    <w:rsid w:val="009916DC"/>
    <w:rsid w:val="009950CB"/>
    <w:rsid w:val="009958F8"/>
    <w:rsid w:val="00995A91"/>
    <w:rsid w:val="009969F6"/>
    <w:rsid w:val="00997498"/>
    <w:rsid w:val="009A0BE0"/>
    <w:rsid w:val="009A10AC"/>
    <w:rsid w:val="009A1118"/>
    <w:rsid w:val="009A196F"/>
    <w:rsid w:val="009A243E"/>
    <w:rsid w:val="009A3811"/>
    <w:rsid w:val="009A48E7"/>
    <w:rsid w:val="009A5877"/>
    <w:rsid w:val="009A5A01"/>
    <w:rsid w:val="009A5C88"/>
    <w:rsid w:val="009A7573"/>
    <w:rsid w:val="009B0361"/>
    <w:rsid w:val="009B1220"/>
    <w:rsid w:val="009B1CFD"/>
    <w:rsid w:val="009B7F36"/>
    <w:rsid w:val="009C01BA"/>
    <w:rsid w:val="009C08A2"/>
    <w:rsid w:val="009C4A0B"/>
    <w:rsid w:val="009C73D2"/>
    <w:rsid w:val="009D0D77"/>
    <w:rsid w:val="009D12B6"/>
    <w:rsid w:val="009D13F8"/>
    <w:rsid w:val="009D291E"/>
    <w:rsid w:val="009D47D2"/>
    <w:rsid w:val="009D4A07"/>
    <w:rsid w:val="009D4FE4"/>
    <w:rsid w:val="009D583A"/>
    <w:rsid w:val="009D6438"/>
    <w:rsid w:val="009D6533"/>
    <w:rsid w:val="009D7684"/>
    <w:rsid w:val="009E0844"/>
    <w:rsid w:val="009E16AD"/>
    <w:rsid w:val="009E1DC6"/>
    <w:rsid w:val="009E2769"/>
    <w:rsid w:val="009E28D3"/>
    <w:rsid w:val="009E2FBA"/>
    <w:rsid w:val="009E4FBE"/>
    <w:rsid w:val="009E58AC"/>
    <w:rsid w:val="009E59AF"/>
    <w:rsid w:val="009E5AD9"/>
    <w:rsid w:val="009E628A"/>
    <w:rsid w:val="009E6C69"/>
    <w:rsid w:val="009E749F"/>
    <w:rsid w:val="009E7CC7"/>
    <w:rsid w:val="009F003C"/>
    <w:rsid w:val="009F11AD"/>
    <w:rsid w:val="009F2091"/>
    <w:rsid w:val="009F433A"/>
    <w:rsid w:val="009F6C43"/>
    <w:rsid w:val="009F6FC2"/>
    <w:rsid w:val="009F727F"/>
    <w:rsid w:val="00A00577"/>
    <w:rsid w:val="00A01215"/>
    <w:rsid w:val="00A0524E"/>
    <w:rsid w:val="00A06BBF"/>
    <w:rsid w:val="00A07575"/>
    <w:rsid w:val="00A075E9"/>
    <w:rsid w:val="00A10152"/>
    <w:rsid w:val="00A10D47"/>
    <w:rsid w:val="00A10D49"/>
    <w:rsid w:val="00A10D52"/>
    <w:rsid w:val="00A115B8"/>
    <w:rsid w:val="00A127F6"/>
    <w:rsid w:val="00A146E5"/>
    <w:rsid w:val="00A158F2"/>
    <w:rsid w:val="00A169E7"/>
    <w:rsid w:val="00A179A2"/>
    <w:rsid w:val="00A21492"/>
    <w:rsid w:val="00A216E8"/>
    <w:rsid w:val="00A23F38"/>
    <w:rsid w:val="00A255BB"/>
    <w:rsid w:val="00A2564D"/>
    <w:rsid w:val="00A25D19"/>
    <w:rsid w:val="00A25D30"/>
    <w:rsid w:val="00A260A6"/>
    <w:rsid w:val="00A33130"/>
    <w:rsid w:val="00A3340A"/>
    <w:rsid w:val="00A3394A"/>
    <w:rsid w:val="00A33C0A"/>
    <w:rsid w:val="00A34136"/>
    <w:rsid w:val="00A354AD"/>
    <w:rsid w:val="00A36109"/>
    <w:rsid w:val="00A368D3"/>
    <w:rsid w:val="00A36A5B"/>
    <w:rsid w:val="00A36E56"/>
    <w:rsid w:val="00A3711C"/>
    <w:rsid w:val="00A37EE7"/>
    <w:rsid w:val="00A4059F"/>
    <w:rsid w:val="00A41D54"/>
    <w:rsid w:val="00A446CC"/>
    <w:rsid w:val="00A45EE0"/>
    <w:rsid w:val="00A475D9"/>
    <w:rsid w:val="00A50FE8"/>
    <w:rsid w:val="00A51201"/>
    <w:rsid w:val="00A52A82"/>
    <w:rsid w:val="00A53A00"/>
    <w:rsid w:val="00A56AFF"/>
    <w:rsid w:val="00A6060A"/>
    <w:rsid w:val="00A607F7"/>
    <w:rsid w:val="00A60DCB"/>
    <w:rsid w:val="00A6111D"/>
    <w:rsid w:val="00A616C4"/>
    <w:rsid w:val="00A6275F"/>
    <w:rsid w:val="00A632E5"/>
    <w:rsid w:val="00A635A8"/>
    <w:rsid w:val="00A650FE"/>
    <w:rsid w:val="00A65875"/>
    <w:rsid w:val="00A65D86"/>
    <w:rsid w:val="00A65DE6"/>
    <w:rsid w:val="00A70A55"/>
    <w:rsid w:val="00A71D9C"/>
    <w:rsid w:val="00A71ED2"/>
    <w:rsid w:val="00A72444"/>
    <w:rsid w:val="00A7244A"/>
    <w:rsid w:val="00A72F27"/>
    <w:rsid w:val="00A7307F"/>
    <w:rsid w:val="00A75535"/>
    <w:rsid w:val="00A757F7"/>
    <w:rsid w:val="00A75EF3"/>
    <w:rsid w:val="00A80170"/>
    <w:rsid w:val="00A805DD"/>
    <w:rsid w:val="00A809DE"/>
    <w:rsid w:val="00A81B8D"/>
    <w:rsid w:val="00A824C8"/>
    <w:rsid w:val="00A82946"/>
    <w:rsid w:val="00A8470A"/>
    <w:rsid w:val="00A86488"/>
    <w:rsid w:val="00A864D5"/>
    <w:rsid w:val="00A8739C"/>
    <w:rsid w:val="00A905BE"/>
    <w:rsid w:val="00A9097A"/>
    <w:rsid w:val="00A90FBD"/>
    <w:rsid w:val="00A9254B"/>
    <w:rsid w:val="00A94014"/>
    <w:rsid w:val="00A94554"/>
    <w:rsid w:val="00A95389"/>
    <w:rsid w:val="00A9600E"/>
    <w:rsid w:val="00A9630A"/>
    <w:rsid w:val="00AA25E9"/>
    <w:rsid w:val="00AA486A"/>
    <w:rsid w:val="00AA649B"/>
    <w:rsid w:val="00AA6567"/>
    <w:rsid w:val="00AA7471"/>
    <w:rsid w:val="00AB0159"/>
    <w:rsid w:val="00AB30E3"/>
    <w:rsid w:val="00AB4C7B"/>
    <w:rsid w:val="00AB7362"/>
    <w:rsid w:val="00AC01EE"/>
    <w:rsid w:val="00AC037D"/>
    <w:rsid w:val="00AC0849"/>
    <w:rsid w:val="00AC0E03"/>
    <w:rsid w:val="00AC176E"/>
    <w:rsid w:val="00AC21F5"/>
    <w:rsid w:val="00AC2385"/>
    <w:rsid w:val="00AC3EF9"/>
    <w:rsid w:val="00AC4D8F"/>
    <w:rsid w:val="00AC6D19"/>
    <w:rsid w:val="00AD1741"/>
    <w:rsid w:val="00AD2D8D"/>
    <w:rsid w:val="00AD4995"/>
    <w:rsid w:val="00AD520B"/>
    <w:rsid w:val="00AD57FF"/>
    <w:rsid w:val="00AD6DB5"/>
    <w:rsid w:val="00AE1CA8"/>
    <w:rsid w:val="00AE1F3D"/>
    <w:rsid w:val="00AE22DA"/>
    <w:rsid w:val="00AE28F6"/>
    <w:rsid w:val="00AE319F"/>
    <w:rsid w:val="00AE3626"/>
    <w:rsid w:val="00AE380E"/>
    <w:rsid w:val="00AE3EF5"/>
    <w:rsid w:val="00AE4F9C"/>
    <w:rsid w:val="00AF1C11"/>
    <w:rsid w:val="00AF4850"/>
    <w:rsid w:val="00AF7381"/>
    <w:rsid w:val="00AF75F6"/>
    <w:rsid w:val="00B00BCF"/>
    <w:rsid w:val="00B0150E"/>
    <w:rsid w:val="00B02772"/>
    <w:rsid w:val="00B02794"/>
    <w:rsid w:val="00B03AB1"/>
    <w:rsid w:val="00B04CAE"/>
    <w:rsid w:val="00B06A32"/>
    <w:rsid w:val="00B07E62"/>
    <w:rsid w:val="00B07EC2"/>
    <w:rsid w:val="00B10321"/>
    <w:rsid w:val="00B10E2C"/>
    <w:rsid w:val="00B12CB3"/>
    <w:rsid w:val="00B12D03"/>
    <w:rsid w:val="00B13747"/>
    <w:rsid w:val="00B13982"/>
    <w:rsid w:val="00B13B1C"/>
    <w:rsid w:val="00B156D9"/>
    <w:rsid w:val="00B15E79"/>
    <w:rsid w:val="00B15F65"/>
    <w:rsid w:val="00B16AAA"/>
    <w:rsid w:val="00B17214"/>
    <w:rsid w:val="00B201A1"/>
    <w:rsid w:val="00B20688"/>
    <w:rsid w:val="00B225C9"/>
    <w:rsid w:val="00B24F46"/>
    <w:rsid w:val="00B25C69"/>
    <w:rsid w:val="00B27043"/>
    <w:rsid w:val="00B27DCB"/>
    <w:rsid w:val="00B317A5"/>
    <w:rsid w:val="00B31B7A"/>
    <w:rsid w:val="00B32165"/>
    <w:rsid w:val="00B32CC9"/>
    <w:rsid w:val="00B34AB6"/>
    <w:rsid w:val="00B3569F"/>
    <w:rsid w:val="00B3733B"/>
    <w:rsid w:val="00B37CA2"/>
    <w:rsid w:val="00B40BD9"/>
    <w:rsid w:val="00B411B4"/>
    <w:rsid w:val="00B41D93"/>
    <w:rsid w:val="00B435AC"/>
    <w:rsid w:val="00B44D30"/>
    <w:rsid w:val="00B45675"/>
    <w:rsid w:val="00B45D57"/>
    <w:rsid w:val="00B477AE"/>
    <w:rsid w:val="00B51719"/>
    <w:rsid w:val="00B52281"/>
    <w:rsid w:val="00B52444"/>
    <w:rsid w:val="00B527F9"/>
    <w:rsid w:val="00B52BD3"/>
    <w:rsid w:val="00B52F2F"/>
    <w:rsid w:val="00B537D0"/>
    <w:rsid w:val="00B54ED8"/>
    <w:rsid w:val="00B554DA"/>
    <w:rsid w:val="00B60A8E"/>
    <w:rsid w:val="00B60D29"/>
    <w:rsid w:val="00B61733"/>
    <w:rsid w:val="00B63788"/>
    <w:rsid w:val="00B64804"/>
    <w:rsid w:val="00B6531B"/>
    <w:rsid w:val="00B66122"/>
    <w:rsid w:val="00B67630"/>
    <w:rsid w:val="00B67BDC"/>
    <w:rsid w:val="00B7180F"/>
    <w:rsid w:val="00B71F2D"/>
    <w:rsid w:val="00B725A9"/>
    <w:rsid w:val="00B73443"/>
    <w:rsid w:val="00B73A7F"/>
    <w:rsid w:val="00B76C2D"/>
    <w:rsid w:val="00B777EB"/>
    <w:rsid w:val="00B80A0E"/>
    <w:rsid w:val="00B81088"/>
    <w:rsid w:val="00B81E4E"/>
    <w:rsid w:val="00B82097"/>
    <w:rsid w:val="00B84AE0"/>
    <w:rsid w:val="00B84F07"/>
    <w:rsid w:val="00B85758"/>
    <w:rsid w:val="00B86097"/>
    <w:rsid w:val="00B86587"/>
    <w:rsid w:val="00B87164"/>
    <w:rsid w:val="00B920F5"/>
    <w:rsid w:val="00B92550"/>
    <w:rsid w:val="00B94B24"/>
    <w:rsid w:val="00B969C2"/>
    <w:rsid w:val="00BA1D13"/>
    <w:rsid w:val="00BA2461"/>
    <w:rsid w:val="00BA2B70"/>
    <w:rsid w:val="00BA546E"/>
    <w:rsid w:val="00BA57C1"/>
    <w:rsid w:val="00BA5954"/>
    <w:rsid w:val="00BB2CFF"/>
    <w:rsid w:val="00BB2D87"/>
    <w:rsid w:val="00BB3F40"/>
    <w:rsid w:val="00BB40C0"/>
    <w:rsid w:val="00BB4A07"/>
    <w:rsid w:val="00BB4FB5"/>
    <w:rsid w:val="00BB5C38"/>
    <w:rsid w:val="00BC11AA"/>
    <w:rsid w:val="00BC1753"/>
    <w:rsid w:val="00BC1CC4"/>
    <w:rsid w:val="00BC3115"/>
    <w:rsid w:val="00BC3749"/>
    <w:rsid w:val="00BC376F"/>
    <w:rsid w:val="00BC3FA5"/>
    <w:rsid w:val="00BC3FB6"/>
    <w:rsid w:val="00BC4B31"/>
    <w:rsid w:val="00BC5070"/>
    <w:rsid w:val="00BC6028"/>
    <w:rsid w:val="00BC65E2"/>
    <w:rsid w:val="00BC6641"/>
    <w:rsid w:val="00BC6E1A"/>
    <w:rsid w:val="00BC6E4D"/>
    <w:rsid w:val="00BD0F17"/>
    <w:rsid w:val="00BD33FB"/>
    <w:rsid w:val="00BD3CA0"/>
    <w:rsid w:val="00BD42BC"/>
    <w:rsid w:val="00BD43EA"/>
    <w:rsid w:val="00BD4EB9"/>
    <w:rsid w:val="00BD6193"/>
    <w:rsid w:val="00BD6D39"/>
    <w:rsid w:val="00BD78F6"/>
    <w:rsid w:val="00BD7DEC"/>
    <w:rsid w:val="00BE1F60"/>
    <w:rsid w:val="00BE244C"/>
    <w:rsid w:val="00BE3C57"/>
    <w:rsid w:val="00BE49EF"/>
    <w:rsid w:val="00BE5CEC"/>
    <w:rsid w:val="00BE78F8"/>
    <w:rsid w:val="00BE7F5A"/>
    <w:rsid w:val="00BF1661"/>
    <w:rsid w:val="00BF207F"/>
    <w:rsid w:val="00BF26A6"/>
    <w:rsid w:val="00BF4322"/>
    <w:rsid w:val="00BF5E7A"/>
    <w:rsid w:val="00BF6305"/>
    <w:rsid w:val="00BF67B7"/>
    <w:rsid w:val="00BF6AD0"/>
    <w:rsid w:val="00BF795C"/>
    <w:rsid w:val="00C01896"/>
    <w:rsid w:val="00C018F5"/>
    <w:rsid w:val="00C02B50"/>
    <w:rsid w:val="00C02EF2"/>
    <w:rsid w:val="00C030C9"/>
    <w:rsid w:val="00C05AAB"/>
    <w:rsid w:val="00C06619"/>
    <w:rsid w:val="00C078C8"/>
    <w:rsid w:val="00C07D56"/>
    <w:rsid w:val="00C107FC"/>
    <w:rsid w:val="00C13633"/>
    <w:rsid w:val="00C13A5D"/>
    <w:rsid w:val="00C13CD4"/>
    <w:rsid w:val="00C14993"/>
    <w:rsid w:val="00C14ECB"/>
    <w:rsid w:val="00C15A73"/>
    <w:rsid w:val="00C1778E"/>
    <w:rsid w:val="00C20B40"/>
    <w:rsid w:val="00C21041"/>
    <w:rsid w:val="00C21D4F"/>
    <w:rsid w:val="00C21F3F"/>
    <w:rsid w:val="00C23692"/>
    <w:rsid w:val="00C23BCA"/>
    <w:rsid w:val="00C242DA"/>
    <w:rsid w:val="00C269AA"/>
    <w:rsid w:val="00C30326"/>
    <w:rsid w:val="00C30E6D"/>
    <w:rsid w:val="00C33439"/>
    <w:rsid w:val="00C33844"/>
    <w:rsid w:val="00C33A40"/>
    <w:rsid w:val="00C342DF"/>
    <w:rsid w:val="00C34E12"/>
    <w:rsid w:val="00C358E2"/>
    <w:rsid w:val="00C35A14"/>
    <w:rsid w:val="00C35D2A"/>
    <w:rsid w:val="00C35D44"/>
    <w:rsid w:val="00C36273"/>
    <w:rsid w:val="00C40972"/>
    <w:rsid w:val="00C41202"/>
    <w:rsid w:val="00C422FE"/>
    <w:rsid w:val="00C4232B"/>
    <w:rsid w:val="00C43500"/>
    <w:rsid w:val="00C43C3B"/>
    <w:rsid w:val="00C4404F"/>
    <w:rsid w:val="00C45017"/>
    <w:rsid w:val="00C45304"/>
    <w:rsid w:val="00C45E33"/>
    <w:rsid w:val="00C45F56"/>
    <w:rsid w:val="00C47295"/>
    <w:rsid w:val="00C5085B"/>
    <w:rsid w:val="00C50B13"/>
    <w:rsid w:val="00C51B03"/>
    <w:rsid w:val="00C54C1F"/>
    <w:rsid w:val="00C569C5"/>
    <w:rsid w:val="00C56BAB"/>
    <w:rsid w:val="00C56F78"/>
    <w:rsid w:val="00C577F5"/>
    <w:rsid w:val="00C57FDB"/>
    <w:rsid w:val="00C61F4F"/>
    <w:rsid w:val="00C662DB"/>
    <w:rsid w:val="00C6667F"/>
    <w:rsid w:val="00C6674E"/>
    <w:rsid w:val="00C668DD"/>
    <w:rsid w:val="00C676D4"/>
    <w:rsid w:val="00C72285"/>
    <w:rsid w:val="00C7249F"/>
    <w:rsid w:val="00C73F12"/>
    <w:rsid w:val="00C7511D"/>
    <w:rsid w:val="00C7663F"/>
    <w:rsid w:val="00C768FB"/>
    <w:rsid w:val="00C76B7D"/>
    <w:rsid w:val="00C808A8"/>
    <w:rsid w:val="00C82766"/>
    <w:rsid w:val="00C83C93"/>
    <w:rsid w:val="00C84D98"/>
    <w:rsid w:val="00C8633F"/>
    <w:rsid w:val="00C86492"/>
    <w:rsid w:val="00C86F31"/>
    <w:rsid w:val="00C9119B"/>
    <w:rsid w:val="00C916C8"/>
    <w:rsid w:val="00C922B5"/>
    <w:rsid w:val="00C92F55"/>
    <w:rsid w:val="00C93530"/>
    <w:rsid w:val="00C93A73"/>
    <w:rsid w:val="00C93EF3"/>
    <w:rsid w:val="00C95252"/>
    <w:rsid w:val="00CA0075"/>
    <w:rsid w:val="00CA2CDB"/>
    <w:rsid w:val="00CA4098"/>
    <w:rsid w:val="00CA4218"/>
    <w:rsid w:val="00CA4EAD"/>
    <w:rsid w:val="00CA536A"/>
    <w:rsid w:val="00CA588E"/>
    <w:rsid w:val="00CA6157"/>
    <w:rsid w:val="00CA6695"/>
    <w:rsid w:val="00CA6C25"/>
    <w:rsid w:val="00CA72D4"/>
    <w:rsid w:val="00CA774A"/>
    <w:rsid w:val="00CA794C"/>
    <w:rsid w:val="00CB02C8"/>
    <w:rsid w:val="00CB3349"/>
    <w:rsid w:val="00CB4A6B"/>
    <w:rsid w:val="00CB4D09"/>
    <w:rsid w:val="00CB5931"/>
    <w:rsid w:val="00CC1629"/>
    <w:rsid w:val="00CC172D"/>
    <w:rsid w:val="00CC1D92"/>
    <w:rsid w:val="00CC267E"/>
    <w:rsid w:val="00CC2E72"/>
    <w:rsid w:val="00CC55DC"/>
    <w:rsid w:val="00CC5700"/>
    <w:rsid w:val="00CC67C9"/>
    <w:rsid w:val="00CC68D1"/>
    <w:rsid w:val="00CD1F9E"/>
    <w:rsid w:val="00CD22E9"/>
    <w:rsid w:val="00CD2897"/>
    <w:rsid w:val="00CD4C44"/>
    <w:rsid w:val="00CD65E5"/>
    <w:rsid w:val="00CD6D68"/>
    <w:rsid w:val="00CE0E1C"/>
    <w:rsid w:val="00CE240F"/>
    <w:rsid w:val="00CE2BA2"/>
    <w:rsid w:val="00CE34DE"/>
    <w:rsid w:val="00CE4C84"/>
    <w:rsid w:val="00CE6244"/>
    <w:rsid w:val="00CF00A1"/>
    <w:rsid w:val="00CF0AB9"/>
    <w:rsid w:val="00CF18F3"/>
    <w:rsid w:val="00CF365D"/>
    <w:rsid w:val="00CF3C0B"/>
    <w:rsid w:val="00CF3DC8"/>
    <w:rsid w:val="00CF4383"/>
    <w:rsid w:val="00CF46FC"/>
    <w:rsid w:val="00CF50F6"/>
    <w:rsid w:val="00CF590A"/>
    <w:rsid w:val="00CF6B49"/>
    <w:rsid w:val="00CF78A6"/>
    <w:rsid w:val="00D0011F"/>
    <w:rsid w:val="00D00E34"/>
    <w:rsid w:val="00D01002"/>
    <w:rsid w:val="00D04953"/>
    <w:rsid w:val="00D12883"/>
    <w:rsid w:val="00D12C10"/>
    <w:rsid w:val="00D12EC7"/>
    <w:rsid w:val="00D1349A"/>
    <w:rsid w:val="00D14565"/>
    <w:rsid w:val="00D15E96"/>
    <w:rsid w:val="00D160AC"/>
    <w:rsid w:val="00D16F1F"/>
    <w:rsid w:val="00D16F35"/>
    <w:rsid w:val="00D179ED"/>
    <w:rsid w:val="00D257CE"/>
    <w:rsid w:val="00D25FA9"/>
    <w:rsid w:val="00D265E3"/>
    <w:rsid w:val="00D275E6"/>
    <w:rsid w:val="00D30B0C"/>
    <w:rsid w:val="00D30E10"/>
    <w:rsid w:val="00D314B7"/>
    <w:rsid w:val="00D31D2F"/>
    <w:rsid w:val="00D32589"/>
    <w:rsid w:val="00D32ACF"/>
    <w:rsid w:val="00D33989"/>
    <w:rsid w:val="00D33BDC"/>
    <w:rsid w:val="00D340F9"/>
    <w:rsid w:val="00D34200"/>
    <w:rsid w:val="00D35585"/>
    <w:rsid w:val="00D35B71"/>
    <w:rsid w:val="00D363FF"/>
    <w:rsid w:val="00D368AF"/>
    <w:rsid w:val="00D36E81"/>
    <w:rsid w:val="00D37608"/>
    <w:rsid w:val="00D41EF8"/>
    <w:rsid w:val="00D4268F"/>
    <w:rsid w:val="00D430ED"/>
    <w:rsid w:val="00D44162"/>
    <w:rsid w:val="00D442B7"/>
    <w:rsid w:val="00D45526"/>
    <w:rsid w:val="00D46838"/>
    <w:rsid w:val="00D4778A"/>
    <w:rsid w:val="00D5031E"/>
    <w:rsid w:val="00D50738"/>
    <w:rsid w:val="00D532E1"/>
    <w:rsid w:val="00D53B34"/>
    <w:rsid w:val="00D54345"/>
    <w:rsid w:val="00D56059"/>
    <w:rsid w:val="00D56ECB"/>
    <w:rsid w:val="00D607B4"/>
    <w:rsid w:val="00D60ECD"/>
    <w:rsid w:val="00D61012"/>
    <w:rsid w:val="00D62644"/>
    <w:rsid w:val="00D6369A"/>
    <w:rsid w:val="00D6555C"/>
    <w:rsid w:val="00D66D67"/>
    <w:rsid w:val="00D6763F"/>
    <w:rsid w:val="00D67D23"/>
    <w:rsid w:val="00D67FD4"/>
    <w:rsid w:val="00D70318"/>
    <w:rsid w:val="00D7032E"/>
    <w:rsid w:val="00D70C55"/>
    <w:rsid w:val="00D72EF2"/>
    <w:rsid w:val="00D73D87"/>
    <w:rsid w:val="00D7428C"/>
    <w:rsid w:val="00D74E57"/>
    <w:rsid w:val="00D76CD4"/>
    <w:rsid w:val="00D77A0F"/>
    <w:rsid w:val="00D839B0"/>
    <w:rsid w:val="00D845DB"/>
    <w:rsid w:val="00D85157"/>
    <w:rsid w:val="00D86C62"/>
    <w:rsid w:val="00D87121"/>
    <w:rsid w:val="00D872BA"/>
    <w:rsid w:val="00D8766C"/>
    <w:rsid w:val="00D90B01"/>
    <w:rsid w:val="00D926F0"/>
    <w:rsid w:val="00D92B38"/>
    <w:rsid w:val="00D93138"/>
    <w:rsid w:val="00D9373A"/>
    <w:rsid w:val="00D97A78"/>
    <w:rsid w:val="00D97BE8"/>
    <w:rsid w:val="00DA30D1"/>
    <w:rsid w:val="00DA316F"/>
    <w:rsid w:val="00DA32DF"/>
    <w:rsid w:val="00DA3D73"/>
    <w:rsid w:val="00DA50A4"/>
    <w:rsid w:val="00DA721B"/>
    <w:rsid w:val="00DA753B"/>
    <w:rsid w:val="00DA78D1"/>
    <w:rsid w:val="00DA7A32"/>
    <w:rsid w:val="00DA7E83"/>
    <w:rsid w:val="00DB0AB4"/>
    <w:rsid w:val="00DB12C9"/>
    <w:rsid w:val="00DB1F3B"/>
    <w:rsid w:val="00DB3B13"/>
    <w:rsid w:val="00DB4CAA"/>
    <w:rsid w:val="00DB6955"/>
    <w:rsid w:val="00DB6E14"/>
    <w:rsid w:val="00DB703F"/>
    <w:rsid w:val="00DC0B0C"/>
    <w:rsid w:val="00DC0BD3"/>
    <w:rsid w:val="00DC1D31"/>
    <w:rsid w:val="00DC2B5F"/>
    <w:rsid w:val="00DC2CC5"/>
    <w:rsid w:val="00DC3ADA"/>
    <w:rsid w:val="00DC44D0"/>
    <w:rsid w:val="00DC5E73"/>
    <w:rsid w:val="00DC5E8A"/>
    <w:rsid w:val="00DC6626"/>
    <w:rsid w:val="00DC6A11"/>
    <w:rsid w:val="00DC74CE"/>
    <w:rsid w:val="00DD3BB5"/>
    <w:rsid w:val="00DD3E68"/>
    <w:rsid w:val="00DD4B0D"/>
    <w:rsid w:val="00DD4DE6"/>
    <w:rsid w:val="00DD54AB"/>
    <w:rsid w:val="00DD57D8"/>
    <w:rsid w:val="00DD652E"/>
    <w:rsid w:val="00DE0CB8"/>
    <w:rsid w:val="00DE10DC"/>
    <w:rsid w:val="00DE1DFA"/>
    <w:rsid w:val="00DE23E4"/>
    <w:rsid w:val="00DE241A"/>
    <w:rsid w:val="00DE2AA0"/>
    <w:rsid w:val="00DE2AF0"/>
    <w:rsid w:val="00DE2E04"/>
    <w:rsid w:val="00DE2E6E"/>
    <w:rsid w:val="00DE43EE"/>
    <w:rsid w:val="00DE62EA"/>
    <w:rsid w:val="00DE6862"/>
    <w:rsid w:val="00DF0156"/>
    <w:rsid w:val="00DF07E5"/>
    <w:rsid w:val="00DF08E9"/>
    <w:rsid w:val="00DF2063"/>
    <w:rsid w:val="00DF27BD"/>
    <w:rsid w:val="00DF4050"/>
    <w:rsid w:val="00DF4FFB"/>
    <w:rsid w:val="00DF6995"/>
    <w:rsid w:val="00DF74F6"/>
    <w:rsid w:val="00E0008C"/>
    <w:rsid w:val="00E004AC"/>
    <w:rsid w:val="00E03713"/>
    <w:rsid w:val="00E04543"/>
    <w:rsid w:val="00E047D5"/>
    <w:rsid w:val="00E05955"/>
    <w:rsid w:val="00E06FE2"/>
    <w:rsid w:val="00E07927"/>
    <w:rsid w:val="00E111F4"/>
    <w:rsid w:val="00E12642"/>
    <w:rsid w:val="00E133EA"/>
    <w:rsid w:val="00E13C3B"/>
    <w:rsid w:val="00E147FE"/>
    <w:rsid w:val="00E157C6"/>
    <w:rsid w:val="00E17439"/>
    <w:rsid w:val="00E200A1"/>
    <w:rsid w:val="00E20A59"/>
    <w:rsid w:val="00E21AF9"/>
    <w:rsid w:val="00E22E9B"/>
    <w:rsid w:val="00E302B2"/>
    <w:rsid w:val="00E30735"/>
    <w:rsid w:val="00E30F8D"/>
    <w:rsid w:val="00E340D8"/>
    <w:rsid w:val="00E35EBD"/>
    <w:rsid w:val="00E36631"/>
    <w:rsid w:val="00E37C20"/>
    <w:rsid w:val="00E40056"/>
    <w:rsid w:val="00E41A68"/>
    <w:rsid w:val="00E43AB2"/>
    <w:rsid w:val="00E4442D"/>
    <w:rsid w:val="00E44631"/>
    <w:rsid w:val="00E477B1"/>
    <w:rsid w:val="00E47850"/>
    <w:rsid w:val="00E47932"/>
    <w:rsid w:val="00E5077A"/>
    <w:rsid w:val="00E50E0E"/>
    <w:rsid w:val="00E511D2"/>
    <w:rsid w:val="00E513B8"/>
    <w:rsid w:val="00E51BBE"/>
    <w:rsid w:val="00E5222A"/>
    <w:rsid w:val="00E53600"/>
    <w:rsid w:val="00E55997"/>
    <w:rsid w:val="00E57EEE"/>
    <w:rsid w:val="00E60F62"/>
    <w:rsid w:val="00E62525"/>
    <w:rsid w:val="00E649B1"/>
    <w:rsid w:val="00E64B7C"/>
    <w:rsid w:val="00E669A6"/>
    <w:rsid w:val="00E67876"/>
    <w:rsid w:val="00E67CBF"/>
    <w:rsid w:val="00E67D14"/>
    <w:rsid w:val="00E67DB2"/>
    <w:rsid w:val="00E702C6"/>
    <w:rsid w:val="00E7053B"/>
    <w:rsid w:val="00E71F98"/>
    <w:rsid w:val="00E72F69"/>
    <w:rsid w:val="00E74DE0"/>
    <w:rsid w:val="00E763F8"/>
    <w:rsid w:val="00E7748E"/>
    <w:rsid w:val="00E8033B"/>
    <w:rsid w:val="00E80E91"/>
    <w:rsid w:val="00E81058"/>
    <w:rsid w:val="00E81B38"/>
    <w:rsid w:val="00E82FD9"/>
    <w:rsid w:val="00E8327D"/>
    <w:rsid w:val="00E854C7"/>
    <w:rsid w:val="00E85AD4"/>
    <w:rsid w:val="00E87A00"/>
    <w:rsid w:val="00E87CFA"/>
    <w:rsid w:val="00E87FBC"/>
    <w:rsid w:val="00E90E80"/>
    <w:rsid w:val="00E9106B"/>
    <w:rsid w:val="00E9180E"/>
    <w:rsid w:val="00E91ED0"/>
    <w:rsid w:val="00E92747"/>
    <w:rsid w:val="00E92874"/>
    <w:rsid w:val="00E92D88"/>
    <w:rsid w:val="00E935EE"/>
    <w:rsid w:val="00E96093"/>
    <w:rsid w:val="00E97801"/>
    <w:rsid w:val="00EA0D54"/>
    <w:rsid w:val="00EA2E28"/>
    <w:rsid w:val="00EA449A"/>
    <w:rsid w:val="00EA4D5D"/>
    <w:rsid w:val="00EB0992"/>
    <w:rsid w:val="00EB1986"/>
    <w:rsid w:val="00EB1A7F"/>
    <w:rsid w:val="00EB3E6B"/>
    <w:rsid w:val="00EB5105"/>
    <w:rsid w:val="00EB6C0D"/>
    <w:rsid w:val="00EC24FB"/>
    <w:rsid w:val="00EC43E5"/>
    <w:rsid w:val="00EC44F5"/>
    <w:rsid w:val="00EC4641"/>
    <w:rsid w:val="00EC4B0C"/>
    <w:rsid w:val="00EC5278"/>
    <w:rsid w:val="00EC617D"/>
    <w:rsid w:val="00EC630D"/>
    <w:rsid w:val="00ED01C3"/>
    <w:rsid w:val="00ED17FC"/>
    <w:rsid w:val="00ED3027"/>
    <w:rsid w:val="00ED41FF"/>
    <w:rsid w:val="00ED4630"/>
    <w:rsid w:val="00ED4C4E"/>
    <w:rsid w:val="00ED4DCA"/>
    <w:rsid w:val="00ED59EE"/>
    <w:rsid w:val="00ED7CCD"/>
    <w:rsid w:val="00EE0B1F"/>
    <w:rsid w:val="00EE23C6"/>
    <w:rsid w:val="00EE3161"/>
    <w:rsid w:val="00EE31C9"/>
    <w:rsid w:val="00EE3F59"/>
    <w:rsid w:val="00EE5879"/>
    <w:rsid w:val="00EE5E5A"/>
    <w:rsid w:val="00EE60EB"/>
    <w:rsid w:val="00EE7878"/>
    <w:rsid w:val="00EF0F89"/>
    <w:rsid w:val="00EF1E7E"/>
    <w:rsid w:val="00EF3640"/>
    <w:rsid w:val="00EF3CFC"/>
    <w:rsid w:val="00EF5970"/>
    <w:rsid w:val="00EF660E"/>
    <w:rsid w:val="00EF6620"/>
    <w:rsid w:val="00EF6DC3"/>
    <w:rsid w:val="00F01716"/>
    <w:rsid w:val="00F027E1"/>
    <w:rsid w:val="00F03594"/>
    <w:rsid w:val="00F04119"/>
    <w:rsid w:val="00F04323"/>
    <w:rsid w:val="00F059C8"/>
    <w:rsid w:val="00F06E94"/>
    <w:rsid w:val="00F10656"/>
    <w:rsid w:val="00F10CC0"/>
    <w:rsid w:val="00F11D39"/>
    <w:rsid w:val="00F1309B"/>
    <w:rsid w:val="00F13334"/>
    <w:rsid w:val="00F14084"/>
    <w:rsid w:val="00F1517A"/>
    <w:rsid w:val="00F152B9"/>
    <w:rsid w:val="00F1599B"/>
    <w:rsid w:val="00F15D13"/>
    <w:rsid w:val="00F161E0"/>
    <w:rsid w:val="00F200C3"/>
    <w:rsid w:val="00F2097C"/>
    <w:rsid w:val="00F211A7"/>
    <w:rsid w:val="00F21CD6"/>
    <w:rsid w:val="00F23514"/>
    <w:rsid w:val="00F23821"/>
    <w:rsid w:val="00F23D17"/>
    <w:rsid w:val="00F253C5"/>
    <w:rsid w:val="00F258FF"/>
    <w:rsid w:val="00F26027"/>
    <w:rsid w:val="00F264B3"/>
    <w:rsid w:val="00F269C9"/>
    <w:rsid w:val="00F26EC8"/>
    <w:rsid w:val="00F27DE4"/>
    <w:rsid w:val="00F30183"/>
    <w:rsid w:val="00F30220"/>
    <w:rsid w:val="00F317CB"/>
    <w:rsid w:val="00F31C45"/>
    <w:rsid w:val="00F33E67"/>
    <w:rsid w:val="00F34089"/>
    <w:rsid w:val="00F3518F"/>
    <w:rsid w:val="00F35A25"/>
    <w:rsid w:val="00F35EF6"/>
    <w:rsid w:val="00F37DDE"/>
    <w:rsid w:val="00F4164F"/>
    <w:rsid w:val="00F4202D"/>
    <w:rsid w:val="00F42130"/>
    <w:rsid w:val="00F4291A"/>
    <w:rsid w:val="00F45A49"/>
    <w:rsid w:val="00F45D29"/>
    <w:rsid w:val="00F4631C"/>
    <w:rsid w:val="00F475CE"/>
    <w:rsid w:val="00F509CC"/>
    <w:rsid w:val="00F525F6"/>
    <w:rsid w:val="00F540A8"/>
    <w:rsid w:val="00F55A67"/>
    <w:rsid w:val="00F607D4"/>
    <w:rsid w:val="00F61467"/>
    <w:rsid w:val="00F6185B"/>
    <w:rsid w:val="00F61D85"/>
    <w:rsid w:val="00F62F60"/>
    <w:rsid w:val="00F66F5C"/>
    <w:rsid w:val="00F67BE9"/>
    <w:rsid w:val="00F74982"/>
    <w:rsid w:val="00F755FE"/>
    <w:rsid w:val="00F772A2"/>
    <w:rsid w:val="00F77D6D"/>
    <w:rsid w:val="00F80816"/>
    <w:rsid w:val="00F81B7E"/>
    <w:rsid w:val="00F83AF7"/>
    <w:rsid w:val="00F83EAC"/>
    <w:rsid w:val="00F84730"/>
    <w:rsid w:val="00F84E5E"/>
    <w:rsid w:val="00F85396"/>
    <w:rsid w:val="00F86925"/>
    <w:rsid w:val="00F86B56"/>
    <w:rsid w:val="00F874A6"/>
    <w:rsid w:val="00F87BE1"/>
    <w:rsid w:val="00F90312"/>
    <w:rsid w:val="00F90D3F"/>
    <w:rsid w:val="00F918A9"/>
    <w:rsid w:val="00F9283F"/>
    <w:rsid w:val="00F92E31"/>
    <w:rsid w:val="00F94802"/>
    <w:rsid w:val="00F95221"/>
    <w:rsid w:val="00F963AC"/>
    <w:rsid w:val="00F966E8"/>
    <w:rsid w:val="00FA04D7"/>
    <w:rsid w:val="00FA0AAB"/>
    <w:rsid w:val="00FA0B30"/>
    <w:rsid w:val="00FA177C"/>
    <w:rsid w:val="00FA35CA"/>
    <w:rsid w:val="00FA377C"/>
    <w:rsid w:val="00FA4237"/>
    <w:rsid w:val="00FA611F"/>
    <w:rsid w:val="00FB1211"/>
    <w:rsid w:val="00FB46A0"/>
    <w:rsid w:val="00FB5DAD"/>
    <w:rsid w:val="00FB609D"/>
    <w:rsid w:val="00FB73D4"/>
    <w:rsid w:val="00FB7B71"/>
    <w:rsid w:val="00FB7FD6"/>
    <w:rsid w:val="00FC08F9"/>
    <w:rsid w:val="00FC172F"/>
    <w:rsid w:val="00FC1F59"/>
    <w:rsid w:val="00FC2A3E"/>
    <w:rsid w:val="00FC2FC4"/>
    <w:rsid w:val="00FC3B7D"/>
    <w:rsid w:val="00FC40CA"/>
    <w:rsid w:val="00FC45E7"/>
    <w:rsid w:val="00FC51A4"/>
    <w:rsid w:val="00FC5BA4"/>
    <w:rsid w:val="00FC63A0"/>
    <w:rsid w:val="00FC6D0B"/>
    <w:rsid w:val="00FC73A7"/>
    <w:rsid w:val="00FD12AD"/>
    <w:rsid w:val="00FD3820"/>
    <w:rsid w:val="00FD3E9E"/>
    <w:rsid w:val="00FD586D"/>
    <w:rsid w:val="00FD6BF5"/>
    <w:rsid w:val="00FD75AF"/>
    <w:rsid w:val="00FD78C1"/>
    <w:rsid w:val="00FE074F"/>
    <w:rsid w:val="00FE0E91"/>
    <w:rsid w:val="00FE1C3E"/>
    <w:rsid w:val="00FE2AD2"/>
    <w:rsid w:val="00FE4042"/>
    <w:rsid w:val="00FE6B0D"/>
    <w:rsid w:val="00FE71A3"/>
    <w:rsid w:val="00FE76BD"/>
    <w:rsid w:val="00FF18D6"/>
    <w:rsid w:val="00FF2146"/>
    <w:rsid w:val="00FF3E47"/>
    <w:rsid w:val="00FF5005"/>
    <w:rsid w:val="00FF5675"/>
    <w:rsid w:val="00FF7C44"/>
    <w:rsid w:val="25E23AFA"/>
    <w:rsid w:val="2FBB390E"/>
    <w:rsid w:val="318C3797"/>
    <w:rsid w:val="34282BF3"/>
    <w:rsid w:val="435C6BEA"/>
    <w:rsid w:val="4CAE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next w:val="1"/>
    <w:link w:val="20"/>
    <w:qFormat/>
    <w:uiPriority w:val="9"/>
    <w:pPr>
      <w:keepNext/>
      <w:keepLines/>
      <w:numPr>
        <w:ilvl w:val="0"/>
        <w:numId w:val="1"/>
      </w:numPr>
      <w:spacing w:before="50" w:beforeLines="50" w:after="50" w:afterLines="50" w:line="360" w:lineRule="auto"/>
      <w:ind w:left="0"/>
      <w:jc w:val="center"/>
      <w:outlineLvl w:val="0"/>
    </w:pPr>
    <w:rPr>
      <w:rFonts w:ascii="Times New Roman" w:hAnsi="Times New Roman" w:eastAsia="黑体" w:cstheme="minorBidi"/>
      <w:bCs/>
      <w:kern w:val="44"/>
      <w:sz w:val="32"/>
      <w:szCs w:val="44"/>
      <w:lang w:val="en-US" w:eastAsia="zh-CN" w:bidi="ar-SA"/>
    </w:rPr>
  </w:style>
  <w:style w:type="paragraph" w:styleId="3">
    <w:name w:val="heading 2"/>
    <w:basedOn w:val="1"/>
    <w:next w:val="1"/>
    <w:link w:val="21"/>
    <w:unhideWhenUsed/>
    <w:qFormat/>
    <w:uiPriority w:val="9"/>
    <w:pPr>
      <w:keepNext/>
      <w:keepLines/>
      <w:numPr>
        <w:ilvl w:val="1"/>
        <w:numId w:val="1"/>
      </w:numPr>
      <w:spacing w:before="120" w:after="120"/>
      <w:ind w:firstLine="200"/>
      <w:outlineLvl w:val="1"/>
    </w:pPr>
    <w:rPr>
      <w:rFonts w:eastAsia="楷体_GB2312" w:cstheme="majorBidi"/>
      <w:bCs/>
      <w:szCs w:val="32"/>
    </w:rPr>
  </w:style>
  <w:style w:type="paragraph" w:styleId="4">
    <w:name w:val="heading 3"/>
    <w:basedOn w:val="1"/>
    <w:next w:val="1"/>
    <w:link w:val="22"/>
    <w:unhideWhenUsed/>
    <w:qFormat/>
    <w:uiPriority w:val="9"/>
    <w:pPr>
      <w:keepNext/>
      <w:keepLines/>
      <w:numPr>
        <w:ilvl w:val="2"/>
        <w:numId w:val="1"/>
      </w:numPr>
      <w:spacing w:before="120" w:after="120"/>
      <w:ind w:left="0" w:firstLine="200"/>
      <w:outlineLvl w:val="2"/>
    </w:pPr>
    <w:rPr>
      <w:b/>
      <w:bCs/>
      <w:sz w:val="30"/>
      <w:szCs w:val="32"/>
    </w:rPr>
  </w:style>
  <w:style w:type="paragraph" w:styleId="5">
    <w:name w:val="heading 4"/>
    <w:basedOn w:val="1"/>
    <w:next w:val="1"/>
    <w:link w:val="33"/>
    <w:unhideWhenUsed/>
    <w:qFormat/>
    <w:uiPriority w:val="9"/>
    <w:pPr>
      <w:keepNext/>
      <w:keepLines/>
      <w:spacing w:before="120" w:after="120"/>
      <w:ind w:firstLine="0"/>
      <w:outlineLvl w:val="3"/>
    </w:pPr>
    <w:rPr>
      <w:rFonts w:cstheme="majorBidi"/>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Body Text Indent"/>
    <w:basedOn w:val="1"/>
    <w:link w:val="27"/>
    <w:qFormat/>
    <w:uiPriority w:val="0"/>
    <w:pPr>
      <w:widowControl/>
      <w:spacing w:after="120"/>
      <w:ind w:left="420" w:leftChars="200" w:firstLine="0" w:firstLineChars="0"/>
      <w:jc w:val="left"/>
    </w:pPr>
    <w:rPr>
      <w:rFonts w:eastAsia="宋体" w:cs="Times New Roman"/>
      <w:kern w:val="0"/>
      <w:sz w:val="24"/>
      <w:szCs w:val="24"/>
      <w:lang w:eastAsia="en-US" w:bidi="en-US"/>
    </w:rPr>
  </w:style>
  <w:style w:type="paragraph" w:styleId="8">
    <w:name w:val="toc 3"/>
    <w:basedOn w:val="1"/>
    <w:next w:val="1"/>
    <w:unhideWhenUsed/>
    <w:qFormat/>
    <w:uiPriority w:val="39"/>
    <w:pPr>
      <w:ind w:left="840" w:leftChars="400"/>
    </w:pPr>
  </w:style>
  <w:style w:type="paragraph" w:styleId="9">
    <w:name w:val="Balloon Text"/>
    <w:basedOn w:val="1"/>
    <w:link w:val="35"/>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834"/>
      </w:tabs>
      <w:ind w:firstLine="0" w:firstLineChars="0"/>
    </w:pPr>
  </w:style>
  <w:style w:type="paragraph" w:styleId="13">
    <w:name w:val="toc 2"/>
    <w:basedOn w:val="1"/>
    <w:next w:val="1"/>
    <w:unhideWhenUsed/>
    <w:qFormat/>
    <w:uiPriority w:val="39"/>
    <w:pPr>
      <w:tabs>
        <w:tab w:val="right" w:leader="dot" w:pos="8834"/>
      </w:tabs>
      <w:ind w:left="640" w:leftChars="200" w:firstLine="0" w:firstLineChars="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页眉 字符"/>
    <w:basedOn w:val="16"/>
    <w:link w:val="11"/>
    <w:qFormat/>
    <w:uiPriority w:val="99"/>
    <w:rPr>
      <w:sz w:val="18"/>
      <w:szCs w:val="18"/>
    </w:rPr>
  </w:style>
  <w:style w:type="character" w:customStyle="1" w:styleId="19">
    <w:name w:val="页脚 字符"/>
    <w:basedOn w:val="16"/>
    <w:link w:val="10"/>
    <w:qFormat/>
    <w:uiPriority w:val="99"/>
    <w:rPr>
      <w:sz w:val="18"/>
      <w:szCs w:val="18"/>
    </w:rPr>
  </w:style>
  <w:style w:type="character" w:customStyle="1" w:styleId="20">
    <w:name w:val="标题 1 字符"/>
    <w:basedOn w:val="16"/>
    <w:link w:val="2"/>
    <w:qFormat/>
    <w:uiPriority w:val="9"/>
    <w:rPr>
      <w:rFonts w:ascii="Times New Roman" w:hAnsi="Times New Roman" w:eastAsia="黑体"/>
      <w:bCs/>
      <w:kern w:val="44"/>
      <w:sz w:val="32"/>
      <w:szCs w:val="44"/>
    </w:rPr>
  </w:style>
  <w:style w:type="character" w:customStyle="1" w:styleId="21">
    <w:name w:val="标题 2 字符"/>
    <w:basedOn w:val="16"/>
    <w:link w:val="3"/>
    <w:qFormat/>
    <w:uiPriority w:val="9"/>
    <w:rPr>
      <w:rFonts w:ascii="Times New Roman" w:hAnsi="Times New Roman" w:eastAsia="楷体_GB2312" w:cstheme="majorBidi"/>
      <w:bCs/>
      <w:sz w:val="32"/>
      <w:szCs w:val="32"/>
    </w:rPr>
  </w:style>
  <w:style w:type="character" w:customStyle="1" w:styleId="22">
    <w:name w:val="标题 3 字符"/>
    <w:basedOn w:val="16"/>
    <w:link w:val="4"/>
    <w:qFormat/>
    <w:uiPriority w:val="9"/>
    <w:rPr>
      <w:rFonts w:ascii="Times New Roman" w:hAnsi="Times New Roman" w:eastAsia="仿宋_GB2312"/>
      <w:b/>
      <w:bCs/>
      <w:sz w:val="30"/>
      <w:szCs w:val="32"/>
    </w:rPr>
  </w:style>
  <w:style w:type="paragraph" w:styleId="23">
    <w:name w:val="No Spacing"/>
    <w:qFormat/>
    <w:uiPriority w:val="1"/>
    <w:pPr>
      <w:widowControl w:val="0"/>
      <w:ind w:firstLine="200" w:firstLineChars="200"/>
      <w:jc w:val="both"/>
    </w:pPr>
    <w:rPr>
      <w:rFonts w:ascii="Times New Roman" w:hAnsi="Times New Roman" w:eastAsia="仿宋_GB2312" w:cstheme="minorBidi"/>
      <w:kern w:val="2"/>
      <w:sz w:val="32"/>
      <w:szCs w:val="22"/>
      <w:lang w:val="en-US" w:eastAsia="zh-CN" w:bidi="ar-SA"/>
    </w:rPr>
  </w:style>
  <w:style w:type="paragraph" w:customStyle="1" w:styleId="24">
    <w:name w:val="样式定义"/>
    <w:basedOn w:val="1"/>
    <w:qFormat/>
    <w:uiPriority w:val="0"/>
    <w:pPr>
      <w:widowControl/>
      <w:shd w:val="clear" w:color="auto" w:fill="FFFFFF"/>
      <w:spacing w:line="600" w:lineRule="exact"/>
      <w:ind w:firstLine="420"/>
    </w:pPr>
    <w:rPr>
      <w:rFonts w:ascii="仿宋_GB2312" w:hAnsi="仿宋_GB2312" w:eastAsia="宋体" w:cs="仿宋_GB2312"/>
      <w:sz w:val="24"/>
      <w:szCs w:val="32"/>
    </w:rPr>
  </w:style>
  <w:style w:type="character" w:customStyle="1" w:styleId="25">
    <w:name w:val="页脚 Char"/>
    <w:qFormat/>
    <w:uiPriority w:val="99"/>
    <w:rPr>
      <w:kern w:val="2"/>
      <w:sz w:val="18"/>
      <w:szCs w:val="18"/>
    </w:rPr>
  </w:style>
  <w:style w:type="character" w:customStyle="1" w:styleId="26">
    <w:name w:val="标题 3 Char"/>
    <w:basedOn w:val="16"/>
    <w:qFormat/>
    <w:uiPriority w:val="9"/>
    <w:rPr>
      <w:rFonts w:ascii="Calibri Light" w:hAnsi="Calibri Light"/>
      <w:b/>
      <w:bCs/>
      <w:sz w:val="28"/>
      <w:szCs w:val="26"/>
      <w:lang w:bidi="en-US"/>
    </w:rPr>
  </w:style>
  <w:style w:type="character" w:customStyle="1" w:styleId="27">
    <w:name w:val="正文文本缩进 字符"/>
    <w:basedOn w:val="16"/>
    <w:link w:val="7"/>
    <w:qFormat/>
    <w:uiPriority w:val="0"/>
    <w:rPr>
      <w:rFonts w:ascii="Times New Roman" w:hAnsi="Times New Roman" w:eastAsia="宋体" w:cs="Times New Roman"/>
      <w:kern w:val="0"/>
      <w:sz w:val="24"/>
      <w:szCs w:val="24"/>
      <w:lang w:eastAsia="en-US" w:bidi="en-US"/>
    </w:rPr>
  </w:style>
  <w:style w:type="paragraph" w:customStyle="1" w:styleId="28">
    <w:name w:val="图表号"/>
    <w:next w:val="23"/>
    <w:link w:val="30"/>
    <w:qFormat/>
    <w:uiPriority w:val="0"/>
    <w:pPr>
      <w:widowControl w:val="0"/>
      <w:jc w:val="center"/>
    </w:pPr>
    <w:rPr>
      <w:rFonts w:ascii="Times New Roman" w:hAnsi="Times New Roman" w:eastAsia="仿宋_GB2312" w:cstheme="minorBidi"/>
      <w:kern w:val="2"/>
      <w:sz w:val="28"/>
      <w:szCs w:val="22"/>
      <w:lang w:val="en-US" w:eastAsia="zh-CN" w:bidi="ar-SA"/>
    </w:rPr>
  </w:style>
  <w:style w:type="paragraph" w:customStyle="1" w:styleId="29">
    <w:name w:val="表格内容"/>
    <w:basedOn w:val="23"/>
    <w:link w:val="31"/>
    <w:qFormat/>
    <w:uiPriority w:val="0"/>
    <w:pPr>
      <w:ind w:firstLine="0" w:firstLineChars="0"/>
      <w:jc w:val="center"/>
    </w:pPr>
    <w:rPr>
      <w:sz w:val="24"/>
      <w:szCs w:val="24"/>
    </w:rPr>
  </w:style>
  <w:style w:type="character" w:customStyle="1" w:styleId="30">
    <w:name w:val="图表号 字符"/>
    <w:basedOn w:val="16"/>
    <w:link w:val="28"/>
    <w:qFormat/>
    <w:uiPriority w:val="0"/>
    <w:rPr>
      <w:rFonts w:ascii="Times New Roman" w:hAnsi="Times New Roman" w:eastAsia="仿宋_GB2312"/>
      <w:sz w:val="28"/>
    </w:rPr>
  </w:style>
  <w:style w:type="character" w:customStyle="1" w:styleId="31">
    <w:name w:val="表格内容 字符"/>
    <w:basedOn w:val="16"/>
    <w:link w:val="29"/>
    <w:qFormat/>
    <w:uiPriority w:val="0"/>
    <w:rPr>
      <w:rFonts w:ascii="Times New Roman" w:hAnsi="Times New Roman" w:eastAsia="仿宋_GB2312"/>
      <w:sz w:val="24"/>
      <w:szCs w:val="24"/>
    </w:rPr>
  </w:style>
  <w:style w:type="paragraph" w:styleId="32">
    <w:name w:val="List Paragraph"/>
    <w:basedOn w:val="1"/>
    <w:qFormat/>
    <w:uiPriority w:val="34"/>
    <w:pPr>
      <w:ind w:firstLine="420"/>
    </w:pPr>
  </w:style>
  <w:style w:type="character" w:customStyle="1" w:styleId="33">
    <w:name w:val="标题 4 字符"/>
    <w:basedOn w:val="16"/>
    <w:link w:val="5"/>
    <w:qFormat/>
    <w:uiPriority w:val="9"/>
    <w:rPr>
      <w:rFonts w:ascii="Times New Roman" w:hAnsi="Times New Roman" w:eastAsia="仿宋_GB2312" w:cstheme="majorBidi"/>
      <w:bCs/>
      <w:sz w:val="32"/>
      <w:szCs w:val="28"/>
    </w:rPr>
  </w:style>
  <w:style w:type="character" w:customStyle="1" w:styleId="34">
    <w:name w:val="标题 3 字符1"/>
    <w:qFormat/>
    <w:uiPriority w:val="0"/>
    <w:rPr>
      <w:rFonts w:ascii="宋体" w:hAnsi="宋体" w:eastAsia="宋体" w:cs="宋体"/>
      <w:b/>
      <w:bCs/>
      <w:sz w:val="32"/>
      <w:szCs w:val="32"/>
      <w:lang w:val="en-US" w:eastAsia="zh-CN" w:bidi="ar-SA"/>
    </w:rPr>
  </w:style>
  <w:style w:type="character" w:customStyle="1" w:styleId="35">
    <w:name w:val="批注框文本 字符"/>
    <w:basedOn w:val="16"/>
    <w:link w:val="9"/>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6.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57</Pages>
  <Words>17479</Words>
  <Characters>18074</Characters>
  <Lines>207</Lines>
  <Paragraphs>58</Paragraphs>
  <TotalTime>6588</TotalTime>
  <ScaleCrop>false</ScaleCrop>
  <LinksUpToDate>false</LinksUpToDate>
  <CharactersWithSpaces>18157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2020-05-29T01:12:00Z</dcterms:created>
  <dc:creator>xy</dc:creator>
  <cp:lastModifiedBy>Administrator</cp:lastModifiedBy>
  <cp:lastPrinted>2020-10-09T03:01:00Z</cp:lastPrinted>
  <dcterms:modified xsi:type="dcterms:W3CDTF">2024-12-30T01:45:56Z</dcterms:modified>
  <cp:revision>3214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9617EC043D0E491A999F72F81233E622</vt:lpwstr>
  </property>
  <property fmtid="{D5CDD505-2E9C-101B-9397-08002B2CF9AE}" pid="4" name="KSOTemplateDocerSaveRecord">
    <vt:lpwstr>eyJoZGlkIjoiZDk4N2QxZDA1YjM2ZWJkNDZhZTQ2YTgxODJmMjEwMTUifQ==</vt:lpwstr>
  </property>
</Properties>
</file>