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kinsoku/>
        <w:wordWrap/>
        <w:overflowPunct/>
        <w:topLinePunct w:val="false"/>
        <w:autoSpaceDE/>
        <w:autoSpaceDN/>
        <w:bidi w:val="false"/>
        <w:adjustRightInd/>
        <w:snapToGrid/>
        <w:spacing w:before="0" w:beforeAutospacing="false" w:after="0" w:afterAutospacing="false" w:lineRule="exact" w:line="660"/>
        <w:ind w:left="0" w:right="0" w:firstLine="0"/>
        <w:jc w:val="center"/>
        <w:textAlignment w:val="auto"/>
        <w:rPr>
          <w:rFonts w:ascii="方正小标宋简体" w:cs="方正小标宋简体" w:eastAsia="方正小标宋简体" w:hAnsi="方正小标宋简体" w:hint="eastAsia"/>
          <w:b/>
          <w:i w:val="false"/>
          <w:caps w:val="false"/>
          <w:color w:val="000000"/>
          <w:spacing w:val="0"/>
          <w:kern w:val="0"/>
          <w:sz w:val="44"/>
          <w:szCs w:val="44"/>
          <w:lang w:val="en-US" w:eastAsia="zh-CN"/>
        </w:rPr>
      </w:pPr>
      <w:r>
        <w:rPr>
          <w:rFonts w:ascii="方正小标宋简体" w:cs="方正小标宋简体" w:eastAsia="方正小标宋简体" w:hAnsi="方正小标宋简体" w:hint="eastAsia"/>
          <w:b/>
          <w:i w:val="false"/>
          <w:caps w:val="false"/>
          <w:color w:val="000000"/>
          <w:spacing w:val="0"/>
          <w:kern w:val="0"/>
          <w:sz w:val="44"/>
          <w:szCs w:val="44"/>
          <w:lang w:val="en-US" w:eastAsia="zh-CN"/>
        </w:rPr>
        <w:t>阳城县林业局</w:t>
      </w:r>
    </w:p>
    <w:p>
      <w:pPr>
        <w:pStyle w:val="style0"/>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kinsoku/>
        <w:wordWrap/>
        <w:overflowPunct/>
        <w:topLinePunct w:val="false"/>
        <w:autoSpaceDE/>
        <w:autoSpaceDN/>
        <w:bidi w:val="false"/>
        <w:adjustRightInd/>
        <w:snapToGrid/>
        <w:spacing w:before="0" w:beforeAutospacing="false" w:after="0" w:afterAutospacing="false" w:lineRule="exact" w:line="660"/>
        <w:ind w:left="0" w:right="0" w:firstLine="0"/>
        <w:jc w:val="center"/>
        <w:textAlignment w:val="auto"/>
        <w:rPr>
          <w:rFonts w:ascii="方正小标宋简体" w:cs="方正小标宋简体" w:eastAsia="方正小标宋简体" w:hAnsi="方正小标宋简体" w:hint="eastAsia"/>
          <w:b/>
          <w:i w:val="false"/>
          <w:caps w:val="false"/>
          <w:color w:val="000000"/>
          <w:spacing w:val="0"/>
          <w:sz w:val="44"/>
          <w:szCs w:val="44"/>
        </w:rPr>
      </w:pPr>
      <w:r>
        <w:rPr>
          <w:rFonts w:ascii="方正小标宋简体" w:cs="方正小标宋简体" w:eastAsia="方正小标宋简体" w:hAnsi="方正小标宋简体" w:hint="eastAsia"/>
          <w:b/>
          <w:i w:val="false"/>
          <w:caps w:val="false"/>
          <w:color w:val="000000"/>
          <w:spacing w:val="0"/>
          <w:kern w:val="0"/>
          <w:sz w:val="44"/>
          <w:szCs w:val="44"/>
          <w:lang w:val="en-US" w:eastAsia="zh-CN"/>
        </w:rPr>
        <w:t>2019年度法治政府建设工作报告</w:t>
      </w:r>
    </w:p>
    <w:p>
      <w:pPr>
        <w:pStyle w:val="style94"/>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kinsoku/>
        <w:wordWrap/>
        <w:overflowPunct/>
        <w:topLinePunct w:val="false"/>
        <w:autoSpaceDE/>
        <w:autoSpaceDN/>
        <w:bidi w:val="false"/>
        <w:adjustRightInd/>
        <w:snapToGrid/>
        <w:spacing w:before="0" w:beforeAutospacing="false" w:after="0" w:afterAutospacing="false" w:lineRule="exact" w:line="660"/>
        <w:ind w:right="0" w:firstLine="640" w:firstLineChars="200"/>
        <w:jc w:val="left"/>
        <w:textAlignment w:val="auto"/>
        <w:rPr>
          <w:rFonts w:ascii="仿宋" w:cs="仿宋" w:eastAsia="仿宋" w:hAnsi="仿宋" w:hint="eastAsia"/>
          <w:i w:val="false"/>
          <w:caps w:val="false"/>
          <w:color w:val="000000"/>
          <w:spacing w:val="0"/>
          <w:sz w:val="32"/>
          <w:szCs w:val="32"/>
        </w:rPr>
      </w:pPr>
    </w:p>
    <w:p>
      <w:pPr>
        <w:pStyle w:val="style0"/>
        <w:ind w:firstLine="640" w:firstLineChars="200"/>
        <w:rPr>
          <w:rFonts w:ascii="仿宋" w:cs="仿宋" w:eastAsia="仿宋" w:hAnsi="仿宋" w:hint="eastAsia"/>
          <w:sz w:val="32"/>
          <w:szCs w:val="32"/>
        </w:rPr>
      </w:pPr>
      <w:r>
        <w:rPr>
          <w:rFonts w:ascii="仿宋" w:cs="仿宋" w:eastAsia="仿宋" w:hAnsi="仿宋" w:hint="eastAsia"/>
          <w:sz w:val="32"/>
          <w:szCs w:val="32"/>
        </w:rPr>
        <w:t>201</w:t>
      </w:r>
      <w:r>
        <w:rPr>
          <w:rFonts w:ascii="仿宋" w:cs="仿宋" w:eastAsia="仿宋" w:hAnsi="仿宋" w:hint="eastAsia"/>
          <w:sz w:val="32"/>
          <w:szCs w:val="32"/>
          <w:lang w:val="en-US" w:eastAsia="zh-CN"/>
        </w:rPr>
        <w:t>9</w:t>
      </w:r>
      <w:r>
        <w:rPr>
          <w:rFonts w:ascii="仿宋" w:cs="仿宋" w:eastAsia="仿宋" w:hAnsi="仿宋" w:hint="eastAsia"/>
          <w:sz w:val="32"/>
          <w:szCs w:val="32"/>
        </w:rPr>
        <w:t>年</w:t>
      </w:r>
      <w:r>
        <w:rPr>
          <w:rFonts w:ascii="仿宋" w:cs="仿宋" w:eastAsia="仿宋" w:hAnsi="仿宋" w:hint="eastAsia"/>
          <w:sz w:val="32"/>
          <w:szCs w:val="32"/>
          <w:lang w:val="en-US" w:eastAsia="zh-CN"/>
        </w:rPr>
        <w:t>以来</w:t>
      </w:r>
      <w:r>
        <w:rPr>
          <w:rFonts w:ascii="仿宋" w:cs="仿宋" w:eastAsia="仿宋" w:hAnsi="仿宋" w:hint="eastAsia"/>
          <w:sz w:val="32"/>
          <w:szCs w:val="32"/>
        </w:rPr>
        <w:t>，</w:t>
      </w:r>
      <w:r>
        <w:rPr>
          <w:rFonts w:ascii="仿宋" w:cs="仿宋" w:eastAsia="仿宋" w:hAnsi="仿宋" w:hint="eastAsia"/>
          <w:sz w:val="32"/>
          <w:szCs w:val="32"/>
          <w:lang w:val="en-US" w:eastAsia="zh-CN"/>
        </w:rPr>
        <w:t>我局</w:t>
      </w:r>
      <w:r>
        <w:rPr>
          <w:rFonts w:ascii="仿宋" w:cs="仿宋" w:eastAsia="仿宋" w:hAnsi="仿宋" w:hint="eastAsia"/>
          <w:sz w:val="32"/>
          <w:szCs w:val="32"/>
          <w:lang w:eastAsia="zh-CN"/>
        </w:rPr>
        <w:t>深入</w:t>
      </w:r>
      <w:r>
        <w:rPr>
          <w:rFonts w:ascii="仿宋" w:cs="仿宋" w:eastAsia="仿宋" w:hAnsi="仿宋" w:hint="eastAsia"/>
          <w:sz w:val="32"/>
          <w:szCs w:val="32"/>
        </w:rPr>
        <w:t>贯彻落实《法治政府建设实施纲</w:t>
      </w:r>
      <w:r>
        <w:rPr>
          <w:rFonts w:ascii="仿宋" w:cs="仿宋" w:eastAsia="仿宋" w:hAnsi="仿宋" w:hint="eastAsia"/>
          <w:sz w:val="32"/>
          <w:szCs w:val="32"/>
          <w:lang w:eastAsia="zh-CN"/>
        </w:rPr>
        <w:t>要</w:t>
      </w:r>
      <w:r>
        <w:rPr>
          <w:rFonts w:ascii="仿宋" w:cs="仿宋" w:eastAsia="仿宋" w:hAnsi="仿宋" w:hint="eastAsia"/>
          <w:sz w:val="32"/>
          <w:szCs w:val="32"/>
        </w:rPr>
        <w:t>（2015-2020年）》和省、市</w:t>
      </w:r>
      <w:r>
        <w:rPr>
          <w:rFonts w:ascii="仿宋" w:cs="仿宋" w:eastAsia="仿宋" w:hAnsi="仿宋" w:hint="eastAsia"/>
          <w:sz w:val="32"/>
          <w:szCs w:val="32"/>
          <w:lang w:eastAsia="zh-CN"/>
        </w:rPr>
        <w:t>、县</w:t>
      </w:r>
      <w:r>
        <w:rPr>
          <w:rFonts w:ascii="仿宋" w:cs="仿宋" w:eastAsia="仿宋" w:hAnsi="仿宋" w:hint="eastAsia"/>
          <w:sz w:val="32"/>
          <w:szCs w:val="32"/>
        </w:rPr>
        <w:t>有关规定，按照《</w:t>
      </w:r>
      <w:r>
        <w:rPr>
          <w:rFonts w:ascii="仿宋" w:cs="仿宋" w:eastAsia="仿宋" w:hAnsi="仿宋" w:hint="eastAsia"/>
          <w:sz w:val="32"/>
          <w:szCs w:val="32"/>
          <w:lang w:val="en-US" w:eastAsia="zh-CN"/>
        </w:rPr>
        <w:t>县全面依法治县委员会2019年工作要点</w:t>
      </w:r>
      <w:r>
        <w:rPr>
          <w:rFonts w:ascii="仿宋" w:cs="仿宋" w:eastAsia="仿宋" w:hAnsi="仿宋" w:hint="eastAsia"/>
          <w:sz w:val="32"/>
          <w:szCs w:val="32"/>
        </w:rPr>
        <w:t>》</w:t>
      </w:r>
      <w:r>
        <w:rPr>
          <w:rFonts w:ascii="仿宋" w:cs="仿宋" w:eastAsia="仿宋" w:hAnsi="仿宋" w:hint="eastAsia"/>
          <w:sz w:val="32"/>
          <w:szCs w:val="32"/>
          <w:lang w:val="en-US" w:eastAsia="zh-CN"/>
        </w:rPr>
        <w:t>要求，围绕全面履行政府职能，完善依法行政制度体系，推进行政决策科学化</w:t>
      </w:r>
      <w:r>
        <w:rPr>
          <w:rFonts w:ascii="仿宋" w:cs="仿宋" w:eastAsia="仿宋" w:hAnsi="仿宋" w:hint="eastAsia"/>
          <w:sz w:val="32"/>
          <w:szCs w:val="32"/>
        </w:rPr>
        <w:t>，</w:t>
      </w:r>
      <w:r>
        <w:rPr>
          <w:rFonts w:ascii="仿宋" w:cs="仿宋" w:eastAsia="仿宋" w:hAnsi="仿宋" w:hint="eastAsia"/>
          <w:sz w:val="32"/>
          <w:szCs w:val="32"/>
          <w:lang w:val="en-US" w:eastAsia="zh-CN"/>
        </w:rPr>
        <w:t>民主化和法治化等内容，全面推进机关法治建设，</w:t>
      </w:r>
      <w:r>
        <w:rPr>
          <w:rFonts w:ascii="仿宋" w:cs="仿宋" w:eastAsia="仿宋" w:hAnsi="仿宋" w:hint="eastAsia"/>
          <w:sz w:val="32"/>
          <w:szCs w:val="32"/>
        </w:rPr>
        <w:t>取得明显成效。</w:t>
      </w:r>
      <w:r>
        <w:rPr>
          <w:rFonts w:ascii="仿宋" w:cs="仿宋" w:eastAsia="仿宋" w:hAnsi="仿宋" w:hint="eastAsia"/>
          <w:sz w:val="32"/>
          <w:szCs w:val="32"/>
          <w:lang w:val="en-US" w:eastAsia="zh-CN"/>
        </w:rPr>
        <w:t>主要做了以下工作</w:t>
      </w:r>
      <w:r>
        <w:rPr>
          <w:rFonts w:ascii="仿宋" w:cs="仿宋" w:eastAsia="仿宋" w:hAnsi="仿宋" w:hint="eastAsia"/>
          <w:sz w:val="32"/>
          <w:szCs w:val="32"/>
        </w:rPr>
        <w:t>：</w:t>
      </w:r>
    </w:p>
    <w:p>
      <w:pPr>
        <w:pStyle w:val="style0"/>
        <w:ind w:firstLine="640" w:firstLineChars="200"/>
        <w:rPr>
          <w:rFonts w:ascii="黑体" w:cs="黑体" w:eastAsia="黑体" w:hAnsi="黑体" w:hint="eastAsia"/>
          <w:sz w:val="32"/>
          <w:szCs w:val="32"/>
          <w:lang w:val="en-US" w:eastAsia="zh-CN"/>
        </w:rPr>
      </w:pPr>
      <w:r>
        <w:rPr>
          <w:rFonts w:ascii="黑体" w:cs="黑体" w:eastAsia="黑体" w:hAnsi="黑体" w:hint="eastAsia"/>
          <w:sz w:val="32"/>
          <w:szCs w:val="32"/>
          <w:lang w:val="en-US" w:eastAsia="zh-CN"/>
        </w:rPr>
        <w:t>一、履行推进法治建设第一责任人情况</w:t>
      </w:r>
    </w:p>
    <w:p>
      <w:pPr>
        <w:pStyle w:val="style0"/>
        <w:ind w:firstLine="640" w:firstLineChars="200"/>
        <w:rPr>
          <w:rFonts w:ascii="仿宋" w:cs="仿宋" w:eastAsia="仿宋" w:hAnsi="仿宋" w:hint="eastAsia"/>
          <w:sz w:val="32"/>
          <w:szCs w:val="32"/>
        </w:rPr>
      </w:pPr>
      <w:r>
        <w:rPr>
          <w:rFonts w:ascii="仿宋" w:cs="仿宋" w:eastAsia="仿宋" w:hAnsi="仿宋" w:hint="eastAsia"/>
          <w:sz w:val="32"/>
          <w:szCs w:val="32"/>
          <w:lang w:val="en-US" w:eastAsia="zh-CN"/>
        </w:rPr>
        <w:t>认真落实党中央关于全面依法治国和省市县全面推进法治政府建设的决策部署，成立了法治建设工作领导小组，制定了法治建设第一责任人责任清单，细化了责任分工，落实一把手法治建设第一责任人的责任。一把手和党组班子亲自研究部署法治建设相关工作，带头参加学法普法，定期听取法治建设推进情况，</w:t>
      </w:r>
      <w:r>
        <w:rPr>
          <w:rFonts w:ascii="仿宋" w:cs="仿宋" w:eastAsia="仿宋" w:hAnsi="仿宋" w:hint="eastAsia"/>
          <w:sz w:val="32"/>
          <w:szCs w:val="32"/>
        </w:rPr>
        <w:t>重大问题亲自过问、重点环节亲自协调、重要任务亲自督办，把本部门各项工作全面纳入法治化轨道。</w:t>
      </w:r>
      <w:r>
        <w:rPr>
          <w:rFonts w:ascii="仿宋" w:cs="仿宋" w:eastAsia="仿宋" w:hAnsi="仿宋" w:hint="eastAsia"/>
          <w:sz w:val="32"/>
          <w:szCs w:val="32"/>
          <w:lang w:val="en-US" w:eastAsia="zh-CN"/>
        </w:rPr>
        <w:t>建立了《阳城县林业局法治建设第一责任人履职工作台账》，</w:t>
      </w:r>
      <w:r>
        <w:rPr>
          <w:rFonts w:ascii="仿宋" w:cs="仿宋" w:eastAsia="仿宋" w:hAnsi="仿宋" w:hint="eastAsia"/>
          <w:sz w:val="32"/>
          <w:szCs w:val="32"/>
        </w:rPr>
        <w:t>制定了《</w:t>
      </w:r>
      <w:r>
        <w:rPr>
          <w:rFonts w:ascii="仿宋" w:cs="仿宋" w:eastAsia="仿宋" w:hAnsi="仿宋" w:hint="eastAsia"/>
          <w:sz w:val="32"/>
          <w:szCs w:val="32"/>
          <w:lang w:eastAsia="zh-CN"/>
        </w:rPr>
        <w:t>阳城县</w:t>
      </w:r>
      <w:r>
        <w:rPr>
          <w:rFonts w:ascii="仿宋" w:cs="仿宋" w:eastAsia="仿宋" w:hAnsi="仿宋" w:hint="eastAsia"/>
          <w:sz w:val="32"/>
          <w:szCs w:val="32"/>
        </w:rPr>
        <w:t>林业局法治政府建设工作方案》，明确了依法治林工作的内容及重点，严格规范了林业行政执法的程序及行为，加大了行政执法宣传力度</w:t>
      </w:r>
      <w:r>
        <w:rPr>
          <w:rFonts w:ascii="仿宋" w:cs="仿宋" w:eastAsia="仿宋" w:hAnsi="仿宋" w:hint="eastAsia"/>
          <w:sz w:val="32"/>
          <w:szCs w:val="32"/>
          <w:lang w:eastAsia="zh-CN"/>
        </w:rPr>
        <w:t>，</w:t>
      </w:r>
      <w:r>
        <w:rPr>
          <w:rFonts w:ascii="仿宋" w:cs="仿宋" w:eastAsia="仿宋" w:hAnsi="仿宋" w:hint="eastAsia"/>
          <w:sz w:val="32"/>
          <w:szCs w:val="32"/>
          <w:lang w:val="en-US" w:eastAsia="zh-CN"/>
        </w:rPr>
        <w:t>将</w:t>
      </w:r>
      <w:r>
        <w:rPr>
          <w:rFonts w:ascii="仿宋" w:cs="仿宋" w:eastAsia="仿宋" w:hAnsi="仿宋" w:hint="eastAsia"/>
          <w:sz w:val="32"/>
          <w:szCs w:val="32"/>
        </w:rPr>
        <w:t>依法治林工作纳入年度目标管理责任制考核内容，坚持每季度一检查，每半年总结讲评，每年考核评估，并注重结果运用。</w:t>
      </w:r>
    </w:p>
    <w:p>
      <w:pPr>
        <w:pStyle w:val="style0"/>
        <w:ind w:firstLine="640" w:firstLineChars="200"/>
        <w:rPr>
          <w:rFonts w:ascii="黑体" w:cs="黑体" w:eastAsia="黑体" w:hAnsi="黑体" w:hint="eastAsia"/>
          <w:sz w:val="32"/>
          <w:szCs w:val="32"/>
          <w:lang w:val="en-US" w:eastAsia="zh-CN"/>
        </w:rPr>
      </w:pPr>
      <w:r>
        <w:rPr>
          <w:rFonts w:ascii="黑体" w:cs="黑体" w:eastAsia="黑体" w:hAnsi="黑体" w:hint="eastAsia"/>
          <w:sz w:val="32"/>
          <w:szCs w:val="32"/>
          <w:lang w:val="en-US" w:eastAsia="zh-CN"/>
        </w:rPr>
        <w:t>二、主要举措和成效</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lang w:eastAsia="zh-CN"/>
        </w:rPr>
        <w:t>（</w:t>
      </w:r>
      <w:r>
        <w:rPr>
          <w:rFonts w:ascii="楷体" w:cs="楷体" w:eastAsia="楷体" w:hAnsi="楷体" w:hint="eastAsia"/>
          <w:b/>
          <w:bCs/>
          <w:sz w:val="32"/>
          <w:szCs w:val="32"/>
          <w:lang w:val="en-US" w:eastAsia="zh-CN"/>
        </w:rPr>
        <w:t>一）</w:t>
      </w:r>
      <w:r>
        <w:rPr>
          <w:rFonts w:ascii="楷体" w:cs="楷体" w:eastAsia="楷体" w:hAnsi="楷体" w:hint="eastAsia"/>
          <w:b/>
          <w:bCs/>
          <w:sz w:val="32"/>
          <w:szCs w:val="32"/>
        </w:rPr>
        <w:t>领导干部带头学法。</w:t>
      </w:r>
      <w:r>
        <w:rPr>
          <w:rFonts w:ascii="仿宋" w:cs="仿宋" w:eastAsia="仿宋" w:hAnsi="仿宋" w:hint="eastAsia"/>
          <w:sz w:val="32"/>
          <w:szCs w:val="32"/>
        </w:rPr>
        <w:t>年初，我局制定了领导干部年度学法计划，坚持会前学法、干部学纪、任前考法等制度。每周五下午由分管领导围绕相关宣传讲解相关法律法规和党内纪律，采取集中学习和自主学习相结合的方法，定期进行交流，同时还结合局里举办各项业务培训会的机会，为林业系统进一步深入推进法治林业建设起到了示范作用。</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lang w:val="en-US" w:eastAsia="zh-CN"/>
        </w:rPr>
        <w:t>（二）加强</w:t>
      </w:r>
      <w:r>
        <w:rPr>
          <w:rFonts w:ascii="楷体" w:cs="楷体" w:eastAsia="楷体" w:hAnsi="楷体" w:hint="eastAsia"/>
          <w:b/>
          <w:bCs/>
          <w:sz w:val="32"/>
          <w:szCs w:val="32"/>
        </w:rPr>
        <w:t>林业政务</w:t>
      </w:r>
      <w:r>
        <w:rPr>
          <w:rFonts w:ascii="楷体" w:cs="楷体" w:eastAsia="楷体" w:hAnsi="楷体" w:hint="eastAsia"/>
          <w:b/>
          <w:bCs/>
          <w:sz w:val="32"/>
          <w:szCs w:val="32"/>
          <w:lang w:eastAsia="zh-CN"/>
        </w:rPr>
        <w:t>信息</w:t>
      </w:r>
      <w:r>
        <w:rPr>
          <w:rFonts w:ascii="楷体" w:cs="楷体" w:eastAsia="楷体" w:hAnsi="楷体" w:hint="eastAsia"/>
          <w:b/>
          <w:bCs/>
          <w:sz w:val="32"/>
          <w:szCs w:val="32"/>
        </w:rPr>
        <w:t>公开。</w:t>
      </w:r>
      <w:r>
        <w:rPr>
          <w:rFonts w:ascii="仿宋" w:cs="仿宋" w:eastAsia="仿宋" w:hAnsi="仿宋" w:hint="eastAsia"/>
          <w:sz w:val="32"/>
          <w:szCs w:val="32"/>
        </w:rPr>
        <w:t>一是主动公开信息。认真贯彻实施政府信息公开条例，加大主动公开力度，积极推进林业行政决策、财政预决算、“三公经费”、公共资源配置、林业重大建设项目批准和实施、社会公益事业建设等重点领域的政府信息公开。三是扎实做好政务服务信息公开。为深入贯彻落实国家、省、市</w:t>
      </w:r>
      <w:r>
        <w:rPr>
          <w:rFonts w:ascii="仿宋" w:cs="仿宋" w:eastAsia="仿宋" w:hAnsi="仿宋" w:hint="eastAsia"/>
          <w:sz w:val="32"/>
          <w:szCs w:val="32"/>
          <w:lang w:eastAsia="zh-CN"/>
        </w:rPr>
        <w:t>、县</w:t>
      </w:r>
      <w:r>
        <w:rPr>
          <w:rFonts w:ascii="仿宋" w:cs="仿宋" w:eastAsia="仿宋" w:hAnsi="仿宋" w:hint="eastAsia"/>
          <w:sz w:val="32"/>
          <w:szCs w:val="32"/>
        </w:rPr>
        <w:t>关于“互联网+政务服务”的要求，</w:t>
      </w:r>
      <w:r>
        <w:rPr>
          <w:rFonts w:ascii="仿宋" w:cs="仿宋" w:eastAsia="仿宋" w:hAnsi="仿宋" w:hint="eastAsia"/>
          <w:sz w:val="32"/>
          <w:szCs w:val="32"/>
          <w:lang w:eastAsia="zh-CN"/>
        </w:rPr>
        <w:t>依托县政府网站</w:t>
      </w:r>
      <w:r>
        <w:rPr>
          <w:rFonts w:ascii="仿宋" w:cs="仿宋" w:eastAsia="仿宋" w:hAnsi="仿宋" w:hint="eastAsia"/>
          <w:sz w:val="32"/>
          <w:szCs w:val="32"/>
        </w:rPr>
        <w:t>开设有政务公开专栏，</w:t>
      </w:r>
      <w:r>
        <w:rPr>
          <w:rFonts w:ascii="仿宋" w:cs="仿宋" w:eastAsia="仿宋" w:hAnsi="仿宋" w:hint="eastAsia"/>
          <w:sz w:val="32"/>
          <w:szCs w:val="32"/>
          <w:lang w:eastAsia="zh-CN"/>
        </w:rPr>
        <w:t>专栏是</w:t>
      </w:r>
      <w:r>
        <w:rPr>
          <w:rFonts w:ascii="仿宋" w:cs="仿宋" w:eastAsia="仿宋" w:hAnsi="仿宋" w:hint="eastAsia"/>
          <w:sz w:val="32"/>
          <w:szCs w:val="32"/>
        </w:rPr>
        <w:t>集政务服务、政府问询等服务资源为一体的“一站式”网上服务平台，公布有行政权力和责任事项清单、政务服务办事指南，实施公示行政许可和行政处罚事项。四是认真完成</w:t>
      </w:r>
      <w:r>
        <w:rPr>
          <w:rFonts w:ascii="仿宋" w:cs="仿宋" w:eastAsia="仿宋" w:hAnsi="仿宋" w:hint="eastAsia"/>
          <w:sz w:val="32"/>
          <w:szCs w:val="32"/>
          <w:lang w:eastAsia="zh-CN"/>
        </w:rPr>
        <w:t>部门权责</w:t>
      </w:r>
      <w:r>
        <w:rPr>
          <w:rFonts w:ascii="仿宋" w:cs="仿宋" w:eastAsia="仿宋" w:hAnsi="仿宋" w:hint="eastAsia"/>
          <w:sz w:val="32"/>
          <w:szCs w:val="32"/>
        </w:rPr>
        <w:t>清单</w:t>
      </w:r>
      <w:r>
        <w:rPr>
          <w:rFonts w:ascii="仿宋" w:cs="仿宋" w:eastAsia="仿宋" w:hAnsi="仿宋" w:hint="eastAsia"/>
          <w:sz w:val="32"/>
          <w:szCs w:val="32"/>
          <w:lang w:eastAsia="zh-CN"/>
        </w:rPr>
        <w:t>梳理调整</w:t>
      </w:r>
      <w:r>
        <w:rPr>
          <w:rFonts w:ascii="仿宋" w:cs="仿宋" w:eastAsia="仿宋" w:hAnsi="仿宋" w:hint="eastAsia"/>
          <w:sz w:val="32"/>
          <w:szCs w:val="32"/>
        </w:rPr>
        <w:t>工作</w:t>
      </w:r>
      <w:r>
        <w:rPr>
          <w:rFonts w:ascii="仿宋" w:cs="仿宋" w:eastAsia="仿宋" w:hAnsi="仿宋" w:hint="eastAsia"/>
          <w:sz w:val="32"/>
          <w:szCs w:val="32"/>
          <w:lang w:eastAsia="zh-CN"/>
        </w:rPr>
        <w:t>，补充完善</w:t>
      </w:r>
      <w:r>
        <w:rPr>
          <w:rFonts w:ascii="仿宋" w:cs="仿宋" w:eastAsia="仿宋" w:hAnsi="仿宋" w:hint="eastAsia"/>
          <w:sz w:val="32"/>
          <w:szCs w:val="32"/>
        </w:rPr>
        <w:t>行政权责事项共</w:t>
      </w:r>
      <w:r>
        <w:rPr>
          <w:rFonts w:ascii="仿宋" w:cs="仿宋" w:eastAsia="仿宋" w:hAnsi="仿宋" w:hint="eastAsia"/>
          <w:sz w:val="32"/>
          <w:szCs w:val="32"/>
          <w:lang w:val="en-US" w:eastAsia="zh-CN"/>
        </w:rPr>
        <w:t>63</w:t>
      </w:r>
      <w:r>
        <w:rPr>
          <w:rFonts w:ascii="仿宋" w:cs="仿宋" w:eastAsia="仿宋" w:hAnsi="仿宋" w:hint="eastAsia"/>
          <w:sz w:val="32"/>
          <w:szCs w:val="32"/>
        </w:rPr>
        <w:t>项。</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lang w:eastAsia="zh-CN"/>
        </w:rPr>
        <w:t>（</w:t>
      </w:r>
      <w:r>
        <w:rPr>
          <w:rFonts w:ascii="楷体" w:cs="楷体" w:eastAsia="楷体" w:hAnsi="楷体" w:hint="eastAsia"/>
          <w:b/>
          <w:bCs/>
          <w:sz w:val="32"/>
          <w:szCs w:val="32"/>
          <w:lang w:val="en-US" w:eastAsia="zh-CN"/>
        </w:rPr>
        <w:t>三）</w:t>
      </w:r>
      <w:r>
        <w:rPr>
          <w:rFonts w:ascii="楷体" w:cs="楷体" w:eastAsia="楷体" w:hAnsi="楷体" w:hint="eastAsia"/>
          <w:b/>
          <w:bCs/>
          <w:sz w:val="32"/>
          <w:szCs w:val="32"/>
        </w:rPr>
        <w:t>建立了常年法律顾问制度。</w:t>
      </w:r>
      <w:r>
        <w:rPr>
          <w:rFonts w:ascii="仿宋" w:cs="仿宋" w:eastAsia="仿宋" w:hAnsi="仿宋" w:hint="eastAsia"/>
          <w:sz w:val="32"/>
          <w:szCs w:val="32"/>
        </w:rPr>
        <w:t>与</w:t>
      </w:r>
      <w:r>
        <w:rPr>
          <w:rFonts w:ascii="仿宋" w:cs="仿宋" w:eastAsia="仿宋" w:hAnsi="仿宋" w:hint="eastAsia"/>
          <w:sz w:val="32"/>
          <w:szCs w:val="32"/>
          <w:lang w:eastAsia="zh-CN"/>
        </w:rPr>
        <w:t>山西获泽律师事务所</w:t>
      </w:r>
      <w:r>
        <w:rPr>
          <w:rFonts w:ascii="仿宋" w:cs="仿宋" w:eastAsia="仿宋" w:hAnsi="仿宋" w:hint="eastAsia"/>
          <w:sz w:val="32"/>
          <w:szCs w:val="32"/>
        </w:rPr>
        <w:t>签订了《常年法律顾问聘用合同》，聘请了该</w:t>
      </w:r>
      <w:r>
        <w:rPr>
          <w:rFonts w:ascii="仿宋" w:cs="仿宋" w:eastAsia="仿宋" w:hAnsi="仿宋" w:hint="eastAsia"/>
          <w:sz w:val="32"/>
          <w:szCs w:val="32"/>
          <w:lang w:eastAsia="zh-CN"/>
        </w:rPr>
        <w:t>事务</w:t>
      </w:r>
      <w:r>
        <w:rPr>
          <w:rFonts w:ascii="仿宋" w:cs="仿宋" w:eastAsia="仿宋" w:hAnsi="仿宋" w:hint="eastAsia"/>
          <w:sz w:val="32"/>
          <w:szCs w:val="32"/>
        </w:rPr>
        <w:t>所律师作为我局的常年法律顾问，协助我局开展依法行政工作。完善了法律顾问工作机制，凡属重大决策出台、重大项目签约、重大工程上都必须征求法律顾问意见。</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lang w:eastAsia="zh-CN"/>
        </w:rPr>
        <w:t>（</w:t>
      </w:r>
      <w:r>
        <w:rPr>
          <w:rFonts w:ascii="楷体" w:cs="楷体" w:eastAsia="楷体" w:hAnsi="楷体" w:hint="eastAsia"/>
          <w:b/>
          <w:bCs/>
          <w:sz w:val="32"/>
          <w:szCs w:val="32"/>
          <w:lang w:val="en-US" w:eastAsia="zh-CN"/>
        </w:rPr>
        <w:t>四）</w:t>
      </w:r>
      <w:r>
        <w:rPr>
          <w:rFonts w:ascii="楷体" w:cs="楷体" w:eastAsia="楷体" w:hAnsi="楷体" w:hint="eastAsia"/>
          <w:b/>
          <w:bCs/>
          <w:sz w:val="32"/>
          <w:szCs w:val="32"/>
        </w:rPr>
        <w:t>建立健全</w:t>
      </w:r>
      <w:r>
        <w:rPr>
          <w:rFonts w:ascii="楷体" w:cs="楷体" w:eastAsia="楷体" w:hAnsi="楷体" w:hint="eastAsia"/>
          <w:b/>
          <w:bCs/>
          <w:sz w:val="32"/>
          <w:szCs w:val="32"/>
          <w:lang w:eastAsia="zh-CN"/>
        </w:rPr>
        <w:t>相关</w:t>
      </w:r>
      <w:r>
        <w:rPr>
          <w:rFonts w:ascii="楷体" w:cs="楷体" w:eastAsia="楷体" w:hAnsi="楷体" w:hint="eastAsia"/>
          <w:b/>
          <w:bCs/>
          <w:sz w:val="32"/>
          <w:szCs w:val="32"/>
        </w:rPr>
        <w:t>制度。</w:t>
      </w:r>
      <w:r>
        <w:rPr>
          <w:rFonts w:ascii="仿宋" w:cs="仿宋" w:eastAsia="仿宋" w:hAnsi="仿宋" w:hint="eastAsia"/>
          <w:sz w:val="32"/>
          <w:szCs w:val="32"/>
        </w:rPr>
        <w:t>修订了《</w:t>
      </w:r>
      <w:r>
        <w:rPr>
          <w:rFonts w:ascii="仿宋" w:cs="仿宋" w:eastAsia="仿宋" w:hAnsi="仿宋" w:hint="eastAsia"/>
          <w:sz w:val="32"/>
          <w:szCs w:val="32"/>
          <w:lang w:eastAsia="zh-CN"/>
        </w:rPr>
        <w:t>阳城县</w:t>
      </w:r>
      <w:r>
        <w:rPr>
          <w:rFonts w:ascii="仿宋" w:cs="仿宋" w:eastAsia="仿宋" w:hAnsi="仿宋" w:hint="eastAsia"/>
          <w:sz w:val="32"/>
          <w:szCs w:val="32"/>
        </w:rPr>
        <w:t>林业局党组议事规则》，进一步明确局领导成员工作职责，完善了领导班子重大问题集体讨论决定等会议制度，积极推行法制工作领导责任制，在重大事项决策前落实专家论证、风险评估、合法性审查和局党组集体讨论决定制度，行政执法、行政许可公示制度，然后依法予以公布，切实用制度规范行政执法行为，实行依法决策、民主决策。</w:t>
      </w:r>
    </w:p>
    <w:p>
      <w:pPr>
        <w:pStyle w:val="style0"/>
        <w:ind w:firstLine="321" w:firstLineChars="100"/>
        <w:rPr>
          <w:rFonts w:ascii="仿宋" w:cs="仿宋" w:eastAsia="仿宋" w:hAnsi="仿宋" w:hint="eastAsia"/>
          <w:sz w:val="32"/>
          <w:szCs w:val="32"/>
        </w:rPr>
      </w:pPr>
      <w:r>
        <w:rPr>
          <w:rFonts w:ascii="楷体" w:cs="楷体" w:eastAsia="楷体" w:hAnsi="楷体" w:hint="eastAsia"/>
          <w:b/>
          <w:bCs/>
          <w:sz w:val="32"/>
          <w:szCs w:val="32"/>
          <w:lang w:eastAsia="zh-CN"/>
        </w:rPr>
        <w:t>（</w:t>
      </w:r>
      <w:r>
        <w:rPr>
          <w:rFonts w:ascii="楷体" w:cs="楷体" w:eastAsia="楷体" w:hAnsi="楷体" w:hint="eastAsia"/>
          <w:b/>
          <w:bCs/>
          <w:sz w:val="32"/>
          <w:szCs w:val="32"/>
          <w:lang w:val="en-US" w:eastAsia="zh-CN"/>
        </w:rPr>
        <w:t>五）</w:t>
      </w:r>
      <w:r>
        <w:rPr>
          <w:rFonts w:ascii="楷体" w:cs="楷体" w:eastAsia="楷体" w:hAnsi="楷体" w:hint="eastAsia"/>
          <w:b/>
          <w:bCs/>
          <w:sz w:val="32"/>
          <w:szCs w:val="32"/>
        </w:rPr>
        <w:t>多途径开展法律法规宣传</w:t>
      </w:r>
      <w:r>
        <w:rPr>
          <w:rFonts w:ascii="楷体" w:cs="楷体" w:eastAsia="楷体" w:hAnsi="楷体" w:hint="eastAsia"/>
          <w:b/>
          <w:bCs/>
          <w:sz w:val="32"/>
          <w:szCs w:val="32"/>
          <w:lang w:eastAsia="zh-CN"/>
        </w:rPr>
        <w:t>。</w:t>
      </w:r>
      <w:r>
        <w:rPr>
          <w:rFonts w:ascii="仿宋" w:cs="仿宋" w:eastAsia="仿宋" w:hAnsi="仿宋" w:hint="eastAsia"/>
          <w:sz w:val="32"/>
          <w:szCs w:val="32"/>
        </w:rPr>
        <w:t>充分利用</w:t>
      </w:r>
      <w:r>
        <w:rPr>
          <w:rFonts w:ascii="仿宋" w:cs="仿宋" w:eastAsia="仿宋" w:hAnsi="仿宋" w:hint="eastAsia"/>
          <w:sz w:val="32"/>
          <w:szCs w:val="32"/>
          <w:lang w:eastAsia="zh-CN"/>
        </w:rPr>
        <w:t>横幅</w:t>
      </w:r>
      <w:r>
        <w:rPr>
          <w:rFonts w:ascii="仿宋" w:cs="仿宋" w:eastAsia="仿宋" w:hAnsi="仿宋" w:hint="eastAsia"/>
          <w:sz w:val="32"/>
          <w:szCs w:val="32"/>
        </w:rPr>
        <w:t>、标语、图片展览等形式开展涉林法律宣传。</w:t>
      </w:r>
      <w:r>
        <w:rPr>
          <w:rFonts w:ascii="仿宋" w:cs="仿宋" w:eastAsia="仿宋" w:hAnsi="仿宋" w:hint="eastAsia"/>
          <w:b/>
          <w:bCs/>
          <w:sz w:val="32"/>
          <w:szCs w:val="32"/>
          <w:lang w:val="en-US" w:eastAsia="zh-CN"/>
        </w:rPr>
        <w:t>一是</w:t>
      </w:r>
      <w:r>
        <w:rPr>
          <w:rFonts w:ascii="仿宋" w:cs="仿宋" w:eastAsia="仿宋" w:hAnsi="仿宋" w:hint="eastAsia"/>
          <w:b/>
          <w:bCs/>
          <w:sz w:val="32"/>
          <w:szCs w:val="32"/>
        </w:rPr>
        <w:t>抓安全宣传。</w:t>
      </w:r>
      <w:r>
        <w:rPr>
          <w:rFonts w:ascii="仿宋" w:cs="仿宋" w:eastAsia="仿宋" w:hAnsi="仿宋" w:hint="eastAsia"/>
          <w:sz w:val="32"/>
          <w:szCs w:val="32"/>
        </w:rPr>
        <w:t>春节、清明等重要时间节点，我</w:t>
      </w:r>
      <w:r>
        <w:rPr>
          <w:rFonts w:ascii="仿宋" w:cs="仿宋" w:eastAsia="仿宋" w:hAnsi="仿宋" w:hint="eastAsia"/>
          <w:sz w:val="32"/>
          <w:szCs w:val="32"/>
          <w:lang w:eastAsia="zh-CN"/>
        </w:rPr>
        <w:t>县</w:t>
      </w:r>
      <w:r>
        <w:rPr>
          <w:rFonts w:ascii="仿宋" w:cs="仿宋" w:eastAsia="仿宋" w:hAnsi="仿宋" w:hint="eastAsia"/>
          <w:sz w:val="32"/>
          <w:szCs w:val="32"/>
        </w:rPr>
        <w:t>森</w:t>
      </w:r>
      <w:r>
        <w:rPr>
          <w:rFonts w:ascii="仿宋" w:cs="仿宋" w:eastAsia="仿宋" w:hAnsi="仿宋" w:hint="eastAsia"/>
          <w:sz w:val="32"/>
          <w:szCs w:val="32"/>
          <w:lang w:eastAsia="zh-CN"/>
        </w:rPr>
        <w:t>林</w:t>
      </w:r>
      <w:r>
        <w:rPr>
          <w:rFonts w:ascii="仿宋" w:cs="仿宋" w:eastAsia="仿宋" w:hAnsi="仿宋" w:hint="eastAsia"/>
          <w:sz w:val="32"/>
          <w:szCs w:val="32"/>
        </w:rPr>
        <w:t>防火</w:t>
      </w:r>
      <w:r>
        <w:rPr>
          <w:rFonts w:ascii="仿宋" w:cs="仿宋" w:eastAsia="仿宋" w:hAnsi="仿宋" w:hint="eastAsia"/>
          <w:sz w:val="32"/>
          <w:szCs w:val="32"/>
          <w:lang w:eastAsia="zh-CN"/>
        </w:rPr>
        <w:t>指挥部</w:t>
      </w:r>
      <w:r>
        <w:rPr>
          <w:rFonts w:ascii="仿宋" w:cs="仿宋" w:eastAsia="仿宋" w:hAnsi="仿宋" w:hint="eastAsia"/>
          <w:sz w:val="32"/>
          <w:szCs w:val="32"/>
        </w:rPr>
        <w:t>组织全</w:t>
      </w:r>
      <w:r>
        <w:rPr>
          <w:rFonts w:ascii="仿宋" w:cs="仿宋" w:eastAsia="仿宋" w:hAnsi="仿宋" w:hint="eastAsia"/>
          <w:sz w:val="32"/>
          <w:szCs w:val="32"/>
          <w:lang w:eastAsia="zh-CN"/>
        </w:rPr>
        <w:t>县涉林单位</w:t>
      </w:r>
      <w:r>
        <w:rPr>
          <w:rFonts w:ascii="仿宋" w:cs="仿宋" w:eastAsia="仿宋" w:hAnsi="仿宋" w:hint="eastAsia"/>
          <w:sz w:val="32"/>
          <w:szCs w:val="32"/>
        </w:rPr>
        <w:t>在国有林场、自然保护区、风景名胜区等重点林区和乡镇、</w:t>
      </w:r>
      <w:r>
        <w:rPr>
          <w:rFonts w:ascii="仿宋" w:cs="仿宋" w:eastAsia="仿宋" w:hAnsi="仿宋" w:hint="eastAsia"/>
          <w:sz w:val="32"/>
          <w:szCs w:val="32"/>
          <w:lang w:eastAsia="zh-CN"/>
        </w:rPr>
        <w:t>村</w:t>
      </w:r>
      <w:r>
        <w:rPr>
          <w:rFonts w:ascii="仿宋" w:cs="仿宋" w:eastAsia="仿宋" w:hAnsi="仿宋" w:hint="eastAsia"/>
          <w:sz w:val="32"/>
          <w:szCs w:val="32"/>
        </w:rPr>
        <w:t>、学校等重点人群区域张贴</w:t>
      </w:r>
      <w:r>
        <w:rPr>
          <w:rFonts w:ascii="仿宋" w:cs="仿宋" w:eastAsia="仿宋" w:hAnsi="仿宋" w:hint="eastAsia"/>
          <w:sz w:val="32"/>
          <w:szCs w:val="32"/>
          <w:lang w:eastAsia="zh-CN"/>
        </w:rPr>
        <w:t>标语、发放宣传单，大力宣传森林防火。</w:t>
      </w:r>
      <w:r>
        <w:rPr>
          <w:rFonts w:ascii="仿宋" w:cs="仿宋" w:eastAsia="仿宋" w:hAnsi="仿宋" w:hint="eastAsia"/>
          <w:b w:val="false"/>
          <w:bCs w:val="false"/>
          <w:sz w:val="32"/>
          <w:szCs w:val="32"/>
          <w:lang w:val="en-US" w:eastAsia="zh-CN"/>
        </w:rPr>
        <w:t>二是</w:t>
      </w:r>
      <w:r>
        <w:rPr>
          <w:rFonts w:ascii="仿宋" w:cs="仿宋" w:eastAsia="仿宋" w:hAnsi="仿宋" w:hint="eastAsia"/>
          <w:b w:val="false"/>
          <w:bCs w:val="false"/>
          <w:sz w:val="32"/>
          <w:szCs w:val="32"/>
        </w:rPr>
        <w:t>强化</w:t>
      </w:r>
      <w:r>
        <w:rPr>
          <w:rFonts w:ascii="仿宋" w:cs="仿宋" w:eastAsia="仿宋" w:hAnsi="仿宋" w:hint="eastAsia"/>
          <w:b w:val="false"/>
          <w:bCs w:val="false"/>
          <w:sz w:val="32"/>
          <w:szCs w:val="32"/>
          <w:lang w:eastAsia="zh-CN"/>
        </w:rPr>
        <w:t>行</w:t>
      </w:r>
      <w:r>
        <w:rPr>
          <w:rFonts w:ascii="仿宋" w:cs="仿宋" w:eastAsia="仿宋" w:hAnsi="仿宋" w:hint="eastAsia"/>
          <w:b w:val="false"/>
          <w:bCs w:val="false"/>
          <w:sz w:val="32"/>
          <w:szCs w:val="32"/>
        </w:rPr>
        <w:t>业法律法规宣传</w:t>
      </w:r>
      <w:r>
        <w:rPr>
          <w:rFonts w:ascii="仿宋" w:cs="仿宋" w:eastAsia="仿宋" w:hAnsi="仿宋" w:hint="eastAsia"/>
          <w:sz w:val="32"/>
          <w:szCs w:val="32"/>
        </w:rPr>
        <w:t>。</w:t>
      </w:r>
      <w:r>
        <w:rPr>
          <w:rFonts w:ascii="仿宋" w:cs="仿宋" w:eastAsia="仿宋" w:hAnsi="仿宋" w:hint="eastAsia"/>
          <w:sz w:val="32"/>
          <w:szCs w:val="32"/>
          <w:lang w:eastAsia="zh-CN"/>
        </w:rPr>
        <w:t>扎实开展林业法律法规宣传教育工作，积极创新宣传教育方式方法，通过在“森林防火期”、“爱鸟周”、“</w:t>
      </w:r>
      <w:r>
        <w:rPr>
          <w:rFonts w:ascii="仿宋" w:cs="仿宋" w:eastAsia="仿宋" w:hAnsi="仿宋" w:hint="eastAsia"/>
          <w:sz w:val="32"/>
          <w:szCs w:val="32"/>
          <w:lang w:val="en-US" w:eastAsia="zh-CN"/>
        </w:rPr>
        <w:t>12.4法治宣传日</w:t>
      </w:r>
      <w:r>
        <w:rPr>
          <w:rFonts w:ascii="仿宋" w:cs="仿宋" w:eastAsia="仿宋" w:hAnsi="仿宋" w:hint="eastAsia"/>
          <w:sz w:val="32"/>
          <w:szCs w:val="32"/>
          <w:lang w:eastAsia="zh-CN"/>
        </w:rPr>
        <w:t>”等时段进一步加大《</w:t>
      </w:r>
      <w:r>
        <w:rPr>
          <w:rFonts w:ascii="仿宋" w:cs="仿宋" w:eastAsia="仿宋" w:hAnsi="仿宋" w:hint="eastAsia"/>
          <w:sz w:val="32"/>
          <w:szCs w:val="32"/>
          <w:lang w:val="en-US" w:eastAsia="zh-CN"/>
        </w:rPr>
        <w:t>宪法》和</w:t>
      </w:r>
      <w:r>
        <w:rPr>
          <w:rFonts w:ascii="仿宋" w:cs="仿宋" w:eastAsia="仿宋" w:hAnsi="仿宋" w:hint="eastAsia"/>
          <w:sz w:val="32"/>
          <w:szCs w:val="32"/>
          <w:lang w:eastAsia="zh-CN"/>
        </w:rPr>
        <w:t>林业法律法规的宣传，大力弘扬法治精神，不断增强群众法治意识。</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rPr>
        <w:t>(</w:t>
      </w:r>
      <w:r>
        <w:rPr>
          <w:rFonts w:ascii="楷体" w:cs="楷体" w:eastAsia="楷体" w:hAnsi="楷体" w:hint="eastAsia"/>
          <w:b/>
          <w:bCs/>
          <w:sz w:val="32"/>
          <w:szCs w:val="32"/>
          <w:lang w:val="en-US" w:eastAsia="zh-CN"/>
        </w:rPr>
        <w:t>六</w:t>
      </w:r>
      <w:r>
        <w:rPr>
          <w:rFonts w:ascii="楷体" w:cs="楷体" w:eastAsia="楷体" w:hAnsi="楷体" w:hint="eastAsia"/>
          <w:b/>
          <w:bCs/>
          <w:sz w:val="32"/>
          <w:szCs w:val="32"/>
        </w:rPr>
        <w:t>)严格规范执法行政行为</w:t>
      </w:r>
      <w:r>
        <w:rPr>
          <w:rFonts w:ascii="楷体" w:cs="楷体" w:eastAsia="楷体" w:hAnsi="楷体" w:hint="eastAsia"/>
          <w:b/>
          <w:bCs/>
          <w:sz w:val="32"/>
          <w:szCs w:val="32"/>
          <w:lang w:eastAsia="zh-CN"/>
        </w:rPr>
        <w:t>。</w:t>
      </w:r>
      <w:r>
        <w:rPr>
          <w:rFonts w:ascii="仿宋" w:cs="仿宋" w:eastAsia="仿宋" w:hAnsi="仿宋" w:hint="eastAsia"/>
          <w:b/>
          <w:bCs/>
          <w:sz w:val="32"/>
          <w:szCs w:val="32"/>
          <w:lang w:val="en-US" w:eastAsia="zh-CN"/>
        </w:rPr>
        <w:t>一是</w:t>
      </w:r>
      <w:r>
        <w:rPr>
          <w:rFonts w:ascii="仿宋" w:cs="仿宋" w:eastAsia="仿宋" w:hAnsi="仿宋" w:hint="eastAsia"/>
          <w:b/>
          <w:bCs/>
          <w:sz w:val="32"/>
          <w:szCs w:val="32"/>
        </w:rPr>
        <w:t>积极开展执法专项行为</w:t>
      </w:r>
      <w:r>
        <w:rPr>
          <w:rFonts w:ascii="仿宋" w:cs="仿宋" w:eastAsia="仿宋" w:hAnsi="仿宋" w:hint="eastAsia"/>
          <w:b/>
          <w:bCs/>
          <w:sz w:val="32"/>
          <w:szCs w:val="32"/>
          <w:lang w:eastAsia="zh-CN"/>
        </w:rPr>
        <w:t>。</w:t>
      </w:r>
      <w:r>
        <w:rPr>
          <w:rFonts w:ascii="仿宋" w:cs="仿宋" w:eastAsia="仿宋" w:hAnsi="仿宋" w:hint="eastAsia"/>
          <w:sz w:val="32"/>
          <w:szCs w:val="32"/>
          <w:lang w:eastAsia="zh-CN"/>
        </w:rPr>
        <w:t>严厉打击盗伐滥伐林木、毁坏森林林木、违法侵占林地等涉林犯罪行为，</w:t>
      </w:r>
      <w:r>
        <w:rPr>
          <w:rFonts w:ascii="仿宋" w:cs="仿宋" w:eastAsia="仿宋" w:hAnsi="仿宋" w:hint="eastAsia"/>
          <w:sz w:val="32"/>
          <w:szCs w:val="32"/>
          <w:lang w:val="en-US" w:eastAsia="zh-CN"/>
        </w:rPr>
        <w:t>全年查处盗砍滥伐、破坏林地、违法野外用火等违法案件</w:t>
      </w:r>
      <w:r>
        <w:rPr>
          <w:rFonts w:ascii="仿宋" w:cs="仿宋" w:eastAsia="仿宋" w:hAnsi="仿宋" w:hint="default"/>
          <w:sz w:val="32"/>
          <w:szCs w:val="32"/>
          <w:lang w:val="en-US" w:eastAsia="zh-CN"/>
        </w:rPr>
        <w:t>86</w:t>
      </w:r>
      <w:r>
        <w:rPr>
          <w:rFonts w:ascii="仿宋" w:cs="仿宋" w:eastAsia="仿宋" w:hAnsi="仿宋" w:hint="eastAsia"/>
          <w:sz w:val="32"/>
          <w:szCs w:val="32"/>
          <w:lang w:val="en-US" w:eastAsia="zh-CN"/>
        </w:rPr>
        <w:t>起，行政处罚1</w:t>
      </w:r>
      <w:r>
        <w:rPr>
          <w:rFonts w:ascii="仿宋" w:cs="仿宋" w:eastAsia="仿宋" w:hAnsi="仿宋" w:hint="default"/>
          <w:sz w:val="32"/>
          <w:szCs w:val="32"/>
          <w:lang w:val="en-US" w:eastAsia="zh-CN"/>
        </w:rPr>
        <w:t>38</w:t>
      </w:r>
      <w:r>
        <w:rPr>
          <w:rFonts w:ascii="仿宋" w:cs="仿宋" w:eastAsia="仿宋" w:hAnsi="仿宋" w:hint="eastAsia"/>
          <w:sz w:val="32"/>
          <w:szCs w:val="32"/>
          <w:lang w:val="en-US" w:eastAsia="zh-CN"/>
        </w:rPr>
        <w:t>万元，移动刑事案件</w:t>
      </w:r>
      <w:r>
        <w:rPr>
          <w:rFonts w:ascii="仿宋" w:cs="仿宋" w:eastAsia="仿宋" w:hAnsi="仿宋" w:hint="default"/>
          <w:sz w:val="32"/>
          <w:szCs w:val="32"/>
          <w:lang w:val="en-US" w:eastAsia="zh-CN"/>
        </w:rPr>
        <w:t>1</w:t>
      </w:r>
      <w:r>
        <w:rPr>
          <w:rFonts w:ascii="仿宋" w:cs="仿宋" w:eastAsia="仿宋" w:hAnsi="仿宋" w:hint="eastAsia"/>
          <w:sz w:val="32"/>
          <w:szCs w:val="32"/>
          <w:lang w:val="en-US" w:eastAsia="zh-CN"/>
        </w:rPr>
        <w:t>起，</w:t>
      </w:r>
      <w:r>
        <w:rPr>
          <w:rFonts w:ascii="仿宋" w:cs="仿宋" w:eastAsia="仿宋" w:hAnsi="仿宋" w:hint="eastAsia"/>
          <w:sz w:val="32"/>
          <w:szCs w:val="32"/>
          <w:lang w:eastAsia="zh-CN"/>
        </w:rPr>
        <w:t>有力保护了森林资源安全。</w:t>
      </w:r>
      <w:r>
        <w:rPr>
          <w:rFonts w:ascii="仿宋" w:cs="仿宋" w:eastAsia="仿宋" w:hAnsi="仿宋" w:hint="eastAsia"/>
          <w:b/>
          <w:bCs/>
          <w:sz w:val="32"/>
          <w:szCs w:val="32"/>
          <w:lang w:val="en-US" w:eastAsia="zh-CN"/>
        </w:rPr>
        <w:t>二是</w:t>
      </w:r>
      <w:r>
        <w:rPr>
          <w:rFonts w:ascii="仿宋" w:cs="仿宋" w:eastAsia="仿宋" w:hAnsi="仿宋" w:hint="eastAsia"/>
          <w:b/>
          <w:bCs/>
          <w:sz w:val="32"/>
          <w:szCs w:val="32"/>
        </w:rPr>
        <w:t>加强行政执法队伍建设。</w:t>
      </w:r>
      <w:r>
        <w:rPr>
          <w:rFonts w:ascii="仿宋" w:cs="仿宋" w:eastAsia="仿宋" w:hAnsi="仿宋" w:hint="eastAsia"/>
          <w:sz w:val="32"/>
          <w:szCs w:val="32"/>
        </w:rPr>
        <w:t>坚持凭证执法。现有行政执法人员共计</w:t>
      </w:r>
      <w:r>
        <w:rPr>
          <w:rFonts w:ascii="仿宋" w:cs="仿宋" w:eastAsia="仿宋" w:hAnsi="仿宋" w:hint="eastAsia"/>
          <w:sz w:val="32"/>
          <w:szCs w:val="32"/>
          <w:lang w:val="en-US" w:eastAsia="zh-CN"/>
        </w:rPr>
        <w:t>11</w:t>
      </w:r>
      <w:r>
        <w:rPr>
          <w:rFonts w:ascii="仿宋" w:cs="仿宋" w:eastAsia="仿宋" w:hAnsi="仿宋" w:hint="eastAsia"/>
          <w:sz w:val="32"/>
          <w:szCs w:val="32"/>
        </w:rPr>
        <w:t>名</w:t>
      </w:r>
      <w:r>
        <w:rPr>
          <w:rFonts w:ascii="仿宋" w:cs="仿宋" w:eastAsia="仿宋" w:hAnsi="仿宋" w:hint="eastAsia"/>
          <w:sz w:val="32"/>
          <w:szCs w:val="32"/>
          <w:lang w:eastAsia="zh-CN"/>
        </w:rPr>
        <w:t>，</w:t>
      </w:r>
      <w:r>
        <w:rPr>
          <w:rFonts w:ascii="仿宋" w:cs="仿宋" w:eastAsia="仿宋" w:hAnsi="仿宋" w:hint="eastAsia"/>
          <w:sz w:val="32"/>
          <w:szCs w:val="32"/>
        </w:rPr>
        <w:t>均持有由</w:t>
      </w:r>
      <w:r>
        <w:rPr>
          <w:rFonts w:ascii="仿宋" w:cs="仿宋" w:eastAsia="仿宋" w:hAnsi="仿宋" w:hint="eastAsia"/>
          <w:sz w:val="32"/>
          <w:szCs w:val="32"/>
          <w:lang w:eastAsia="zh-CN"/>
        </w:rPr>
        <w:t>山西省</w:t>
      </w:r>
      <w:r>
        <w:rPr>
          <w:rFonts w:ascii="仿宋" w:cs="仿宋" w:eastAsia="仿宋" w:hAnsi="仿宋" w:hint="eastAsia"/>
          <w:sz w:val="32"/>
          <w:szCs w:val="32"/>
        </w:rPr>
        <w:t>人民政府统一颁发的行政执法证，做到凭证上岗，凭证执法。加强执法人员培训。组织林业行政执法人员系统学习法律法规，召开案例分析现场会，及时解决执法工作中出现的新问题，将学习课堂搬到查案现场，指导分析案情，切实提高执法人员的实际操作能力和办案技巧，熟练掌握执法标准、执法流程、执法要求。</w:t>
      </w:r>
      <w:r>
        <w:rPr>
          <w:rFonts w:ascii="仿宋" w:cs="仿宋" w:eastAsia="仿宋" w:hAnsi="仿宋" w:hint="eastAsia"/>
          <w:b/>
          <w:bCs/>
          <w:sz w:val="32"/>
          <w:szCs w:val="32"/>
          <w:lang w:val="en-US" w:eastAsia="zh-CN"/>
        </w:rPr>
        <w:t>三是</w:t>
      </w:r>
      <w:r>
        <w:rPr>
          <w:rFonts w:ascii="仿宋" w:cs="仿宋" w:eastAsia="仿宋" w:hAnsi="仿宋" w:hint="eastAsia"/>
          <w:b/>
          <w:bCs/>
          <w:sz w:val="32"/>
          <w:szCs w:val="32"/>
        </w:rPr>
        <w:t>开展林业执法质量提升专项行动。</w:t>
      </w:r>
      <w:r>
        <w:rPr>
          <w:rFonts w:ascii="仿宋" w:cs="仿宋" w:eastAsia="仿宋" w:hAnsi="仿宋" w:hint="eastAsia"/>
          <w:sz w:val="32"/>
          <w:szCs w:val="32"/>
          <w:lang w:val="en-US" w:eastAsia="zh-CN"/>
        </w:rPr>
        <w:t>全面推进行政执法三项制度及相关清单、指南和流程图的落实，</w:t>
      </w:r>
      <w:r>
        <w:rPr>
          <w:rFonts w:ascii="仿宋" w:cs="仿宋" w:eastAsia="仿宋" w:hAnsi="仿宋" w:hint="eastAsia"/>
          <w:sz w:val="32"/>
          <w:szCs w:val="32"/>
        </w:rPr>
        <w:t>规范林业执法，加大案件曝光力度、强化执法过程监督，林业行政执法水平迈上新的台阶</w:t>
      </w:r>
      <w:r>
        <w:rPr>
          <w:rFonts w:ascii="仿宋" w:cs="仿宋" w:eastAsia="仿宋" w:hAnsi="仿宋" w:hint="eastAsia"/>
          <w:sz w:val="32"/>
          <w:szCs w:val="32"/>
          <w:lang w:eastAsia="zh-CN"/>
        </w:rPr>
        <w:t>。</w:t>
      </w:r>
      <w:r>
        <w:rPr>
          <w:rFonts w:ascii="仿宋" w:cs="仿宋" w:eastAsia="仿宋" w:hAnsi="仿宋" w:hint="eastAsia"/>
          <w:b/>
          <w:bCs/>
          <w:sz w:val="32"/>
          <w:szCs w:val="32"/>
          <w:lang w:val="en-US" w:eastAsia="zh-CN"/>
        </w:rPr>
        <w:t>四是</w:t>
      </w:r>
      <w:r>
        <w:rPr>
          <w:rFonts w:ascii="仿宋" w:cs="仿宋" w:eastAsia="仿宋" w:hAnsi="仿宋" w:hint="eastAsia"/>
          <w:b/>
          <w:bCs/>
          <w:sz w:val="32"/>
          <w:szCs w:val="32"/>
        </w:rPr>
        <w:t>加强执法案件监督。</w:t>
      </w:r>
      <w:r>
        <w:rPr>
          <w:rFonts w:ascii="仿宋" w:cs="仿宋" w:eastAsia="仿宋" w:hAnsi="仿宋" w:hint="eastAsia"/>
          <w:sz w:val="32"/>
          <w:szCs w:val="32"/>
        </w:rPr>
        <w:t>对作出处罚决定的案件每月滚动监督，及时列出清单，提醒和督促案件承办人做好案件的执行工作。定期组织案卷评查，及时发现执法中所存在的问题，落实整改措施，从而逐步提高执法质量。</w:t>
      </w:r>
    </w:p>
    <w:p>
      <w:pPr>
        <w:pStyle w:val="style0"/>
        <w:ind w:firstLine="640" w:firstLineChars="200"/>
        <w:rPr>
          <w:rFonts w:ascii="黑体" w:cs="黑体" w:eastAsia="黑体" w:hAnsi="黑体" w:hint="eastAsia"/>
          <w:sz w:val="32"/>
          <w:szCs w:val="32"/>
        </w:rPr>
      </w:pPr>
      <w:r>
        <w:rPr>
          <w:rFonts w:ascii="黑体" w:cs="黑体" w:eastAsia="黑体" w:hAnsi="黑体" w:hint="eastAsia"/>
          <w:sz w:val="32"/>
          <w:szCs w:val="32"/>
          <w:lang w:val="en-US" w:eastAsia="zh-CN"/>
        </w:rPr>
        <w:t>三</w:t>
      </w:r>
      <w:r>
        <w:rPr>
          <w:rFonts w:ascii="黑体" w:cs="黑体" w:eastAsia="黑体" w:hAnsi="黑体" w:hint="eastAsia"/>
          <w:sz w:val="32"/>
          <w:szCs w:val="32"/>
        </w:rPr>
        <w:t>、存在问题</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rPr>
        <w:t>（一）执法装备和技术手段落后。</w:t>
      </w:r>
      <w:r>
        <w:rPr>
          <w:rFonts w:ascii="仿宋" w:cs="仿宋" w:eastAsia="仿宋" w:hAnsi="仿宋" w:hint="eastAsia"/>
          <w:sz w:val="32"/>
          <w:szCs w:val="32"/>
        </w:rPr>
        <w:t>主要表现为缺乏执法办案车辆和高技术破案手段，主动执法缺乏技术支撑，影响监控和打击破坏森林资源违法行为效果。</w:t>
      </w:r>
    </w:p>
    <w:p>
      <w:pPr>
        <w:pStyle w:val="style0"/>
        <w:ind w:firstLine="643" w:firstLineChars="200"/>
        <w:rPr>
          <w:rFonts w:ascii="仿宋" w:cs="仿宋" w:eastAsia="仿宋" w:hAnsi="仿宋" w:hint="eastAsia"/>
          <w:sz w:val="32"/>
          <w:szCs w:val="32"/>
          <w:lang w:eastAsia="zh-CN"/>
        </w:rPr>
      </w:pPr>
      <w:r>
        <w:rPr>
          <w:rFonts w:ascii="楷体" w:cs="楷体" w:eastAsia="楷体" w:hAnsi="楷体" w:hint="eastAsia"/>
          <w:b/>
          <w:bCs/>
          <w:sz w:val="32"/>
          <w:szCs w:val="32"/>
        </w:rPr>
        <w:t>（二）行政执法</w:t>
      </w:r>
      <w:r>
        <w:rPr>
          <w:rFonts w:ascii="楷体" w:cs="楷体" w:eastAsia="楷体" w:hAnsi="楷体" w:hint="eastAsia"/>
          <w:b/>
          <w:bCs/>
          <w:sz w:val="32"/>
          <w:szCs w:val="32"/>
          <w:lang w:eastAsia="zh-CN"/>
        </w:rPr>
        <w:t>人员</w:t>
      </w:r>
      <w:r>
        <w:rPr>
          <w:rFonts w:ascii="楷体" w:cs="楷体" w:eastAsia="楷体" w:hAnsi="楷体" w:hint="eastAsia"/>
          <w:b/>
          <w:bCs/>
          <w:sz w:val="32"/>
          <w:szCs w:val="32"/>
        </w:rPr>
        <w:t>的</w:t>
      </w:r>
      <w:r>
        <w:rPr>
          <w:rFonts w:ascii="楷体" w:cs="楷体" w:eastAsia="楷体" w:hAnsi="楷体" w:hint="eastAsia"/>
          <w:b/>
          <w:bCs/>
          <w:sz w:val="32"/>
          <w:szCs w:val="32"/>
          <w:lang w:eastAsia="zh-CN"/>
        </w:rPr>
        <w:t>业务能力有待提高</w:t>
      </w:r>
      <w:r>
        <w:rPr>
          <w:rFonts w:ascii="楷体" w:cs="楷体" w:eastAsia="楷体" w:hAnsi="楷体" w:hint="eastAsia"/>
          <w:b/>
          <w:bCs/>
          <w:sz w:val="32"/>
          <w:szCs w:val="32"/>
        </w:rPr>
        <w:t>。</w:t>
      </w:r>
      <w:r>
        <w:rPr>
          <w:rFonts w:ascii="仿宋" w:cs="仿宋" w:eastAsia="仿宋" w:hAnsi="仿宋" w:hint="eastAsia"/>
          <w:sz w:val="32"/>
          <w:szCs w:val="32"/>
        </w:rPr>
        <w:t>执法人员绝大多数未经过专业培训，素质普遍不高</w:t>
      </w:r>
      <w:r>
        <w:rPr>
          <w:rFonts w:ascii="仿宋" w:cs="仿宋" w:eastAsia="仿宋" w:hAnsi="仿宋" w:hint="eastAsia"/>
          <w:sz w:val="32"/>
          <w:szCs w:val="32"/>
          <w:lang w:eastAsia="zh-CN"/>
        </w:rPr>
        <w:t>，影响案件办理质量和效率。</w:t>
      </w:r>
    </w:p>
    <w:p>
      <w:pPr>
        <w:pStyle w:val="style0"/>
        <w:ind w:firstLine="643" w:firstLineChars="200"/>
        <w:rPr>
          <w:rFonts w:ascii="仿宋" w:cs="仿宋" w:eastAsia="仿宋" w:hAnsi="仿宋" w:hint="eastAsia"/>
          <w:sz w:val="32"/>
          <w:szCs w:val="32"/>
          <w:lang w:val="en-US" w:eastAsia="zh-CN"/>
        </w:rPr>
      </w:pPr>
      <w:r>
        <w:rPr>
          <w:rFonts w:ascii="楷体" w:cs="楷体" w:eastAsia="楷体" w:hAnsi="楷体" w:hint="eastAsia"/>
          <w:b/>
          <w:bCs/>
          <w:sz w:val="32"/>
          <w:szCs w:val="32"/>
        </w:rPr>
        <w:t>（三）行政执法监督有待加强。</w:t>
      </w:r>
      <w:r>
        <w:rPr>
          <w:rFonts w:ascii="仿宋" w:cs="仿宋" w:eastAsia="仿宋" w:hAnsi="仿宋" w:hint="eastAsia"/>
          <w:sz w:val="32"/>
          <w:szCs w:val="32"/>
        </w:rPr>
        <w:t>因承担职责任务太多太重，</w:t>
      </w:r>
      <w:r>
        <w:rPr>
          <w:rFonts w:ascii="仿宋" w:cs="仿宋" w:eastAsia="仿宋" w:hAnsi="仿宋" w:hint="eastAsia"/>
          <w:sz w:val="32"/>
          <w:szCs w:val="32"/>
          <w:lang w:eastAsia="zh-CN"/>
        </w:rPr>
        <w:t>执行</w:t>
      </w:r>
      <w:r>
        <w:rPr>
          <w:rFonts w:ascii="仿宋" w:cs="仿宋" w:eastAsia="仿宋" w:hAnsi="仿宋" w:hint="eastAsia"/>
          <w:sz w:val="32"/>
          <w:szCs w:val="32"/>
        </w:rPr>
        <w:t>人员严重不足，导致集中开展行政监督检查活动的次数偏少、范围偏小和行政执法监督滞后等问题未得到根本解决。</w:t>
      </w:r>
      <w:r>
        <w:rPr>
          <w:rFonts w:ascii="仿宋" w:cs="仿宋" w:eastAsia="仿宋" w:hAnsi="仿宋" w:hint="eastAsia"/>
          <w:sz w:val="32"/>
          <w:szCs w:val="32"/>
          <w:lang w:eastAsia="zh-CN"/>
        </w:rPr>
        <w:t>上级部门要求林业部门成立法制科，加强执法监督，但受编制及人员限制，成立工作一直无法开展。</w:t>
      </w:r>
    </w:p>
    <w:p>
      <w:pPr>
        <w:pStyle w:val="style0"/>
        <w:ind w:firstLine="640" w:firstLineChars="200"/>
        <w:rPr>
          <w:rFonts w:ascii="黑体" w:cs="黑体" w:eastAsia="黑体" w:hAnsi="黑体" w:hint="eastAsia"/>
          <w:sz w:val="32"/>
          <w:szCs w:val="32"/>
        </w:rPr>
      </w:pPr>
      <w:r>
        <w:rPr>
          <w:rFonts w:ascii="黑体" w:cs="黑体" w:eastAsia="黑体" w:hAnsi="黑体" w:hint="eastAsia"/>
          <w:sz w:val="32"/>
          <w:szCs w:val="32"/>
          <w:lang w:val="en-US" w:eastAsia="zh-CN"/>
        </w:rPr>
        <w:t>四、</w:t>
      </w:r>
      <w:r>
        <w:rPr>
          <w:rFonts w:ascii="黑体" w:cs="黑体" w:eastAsia="黑体" w:hAnsi="黑体" w:hint="eastAsia"/>
          <w:sz w:val="32"/>
          <w:szCs w:val="32"/>
        </w:rPr>
        <w:t>下一步工作打算</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rPr>
        <w:t>（一）继续深入推进林业政务公开。</w:t>
      </w:r>
      <w:r>
        <w:rPr>
          <w:rFonts w:ascii="仿宋" w:cs="仿宋" w:eastAsia="仿宋" w:hAnsi="仿宋" w:hint="eastAsia"/>
          <w:sz w:val="32"/>
          <w:szCs w:val="32"/>
        </w:rPr>
        <w:t>完善政务公开内容，采取多种形式、公开渠道公开公示政务服务信息，力争应公开尽公开，努力提高林业行政公信力。</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rPr>
        <w:t>（二）进一步强化法律宣传。</w:t>
      </w:r>
      <w:r>
        <w:rPr>
          <w:rFonts w:ascii="仿宋" w:cs="仿宋" w:eastAsia="仿宋" w:hAnsi="仿宋" w:hint="eastAsia"/>
          <w:sz w:val="32"/>
          <w:szCs w:val="32"/>
        </w:rPr>
        <w:t>利用“七五”普法契机，大力拓展林业法制宣传的力度和深度，采取多种多样、灵活多样的方式深入林区、深入基层广泛宣传林业法律法规，使全社会都能充分认识到保护森林资源的重大意义和违法后果，使群众自觉遵纪守法，牢固树立保林护林的意识。</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rPr>
        <w:t>（三）强化执法人员培训。</w:t>
      </w:r>
      <w:r>
        <w:rPr>
          <w:rFonts w:ascii="仿宋" w:cs="仿宋" w:eastAsia="仿宋" w:hAnsi="仿宋" w:hint="eastAsia"/>
          <w:sz w:val="32"/>
          <w:szCs w:val="32"/>
        </w:rPr>
        <w:t>把执法人员的学习培训工作放到重要位置，不走过场，不搞形式，切实开展林业知识、涉林法律、法规的培训活动。通过请进来、走出去、实践中学、引进专业人才等方式，促进执法队伍建设健康有序正规化发展。</w:t>
      </w:r>
    </w:p>
    <w:p>
      <w:pPr>
        <w:pStyle w:val="style0"/>
        <w:ind w:firstLine="643" w:firstLineChars="200"/>
        <w:rPr>
          <w:rFonts w:ascii="仿宋" w:cs="仿宋" w:eastAsia="仿宋" w:hAnsi="仿宋" w:hint="eastAsia"/>
          <w:sz w:val="32"/>
          <w:szCs w:val="32"/>
        </w:rPr>
      </w:pPr>
      <w:r>
        <w:rPr>
          <w:rFonts w:ascii="楷体" w:cs="楷体" w:eastAsia="楷体" w:hAnsi="楷体" w:hint="eastAsia"/>
          <w:b/>
          <w:bCs/>
          <w:sz w:val="32"/>
          <w:szCs w:val="32"/>
        </w:rPr>
        <w:t>（四）强化执法监督机制。</w:t>
      </w:r>
      <w:r>
        <w:rPr>
          <w:rFonts w:ascii="仿宋" w:cs="仿宋" w:eastAsia="仿宋" w:hAnsi="仿宋" w:hint="eastAsia"/>
          <w:sz w:val="32"/>
          <w:szCs w:val="32"/>
        </w:rPr>
        <w:t>严格执法程序，规范执法操作流程，严把行政审核关，切实执行重大案件集体研究决定制度，定期组织开展执法案卷评查工作。加强部门内部纪检监督，及时发现和纠正不良倾向。加大执法信息公开力度，全方位接受公众、媒体等社会监督。</w:t>
      </w:r>
    </w:p>
    <w:p>
      <w:pPr>
        <w:pStyle w:val="style0"/>
        <w:rPr>
          <w:rFonts w:ascii="仿宋" w:cs="仿宋" w:eastAsia="仿宋" w:hAnsi="仿宋" w:hint="eastAsia"/>
          <w:sz w:val="32"/>
          <w:szCs w:val="32"/>
        </w:rPr>
      </w:pPr>
    </w:p>
    <w:p>
      <w:pPr>
        <w:pStyle w:val="style0"/>
        <w:rPr>
          <w:rFonts w:ascii="仿宋" w:cs="仿宋" w:eastAsia="仿宋" w:hAnsi="仿宋" w:hint="eastAsia"/>
          <w:sz w:val="32"/>
          <w:szCs w:val="32"/>
        </w:rPr>
      </w:pPr>
    </w:p>
    <w:p>
      <w:pPr>
        <w:pStyle w:val="style0"/>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 xml:space="preserve">                               阳城县林业局</w:t>
      </w:r>
    </w:p>
    <w:p>
      <w:pPr>
        <w:pStyle w:val="style0"/>
        <w:ind w:firstLine="4800" w:firstLineChars="1500"/>
        <w:rPr>
          <w:rFonts w:ascii="仿宋" w:cs="仿宋" w:eastAsia="仿宋" w:hAnsi="仿宋" w:hint="eastAsia"/>
          <w:sz w:val="32"/>
          <w:szCs w:val="32"/>
        </w:rPr>
      </w:pPr>
      <w:r>
        <w:rPr>
          <w:rFonts w:ascii="仿宋" w:cs="仿宋" w:eastAsia="仿宋" w:hAnsi="仿宋" w:hint="eastAsia"/>
          <w:sz w:val="32"/>
          <w:szCs w:val="32"/>
        </w:rPr>
        <w:t>20</w:t>
      </w:r>
      <w:r>
        <w:rPr>
          <w:rFonts w:ascii="仿宋" w:cs="仿宋" w:eastAsia="仿宋" w:hAnsi="仿宋" w:hint="eastAsia"/>
          <w:sz w:val="32"/>
          <w:szCs w:val="32"/>
          <w:lang w:val="en-US" w:eastAsia="zh-CN"/>
        </w:rPr>
        <w:t>20</w:t>
      </w:r>
      <w:r>
        <w:rPr>
          <w:rFonts w:ascii="仿宋" w:cs="仿宋" w:eastAsia="仿宋" w:hAnsi="仿宋" w:hint="eastAsia"/>
          <w:sz w:val="32"/>
          <w:szCs w:val="32"/>
        </w:rPr>
        <w:t>年1月</w:t>
      </w:r>
      <w:r>
        <w:rPr>
          <w:rFonts w:ascii="仿宋" w:cs="仿宋" w:eastAsia="仿宋" w:hAnsi="仿宋" w:hint="eastAsia"/>
          <w:sz w:val="32"/>
          <w:szCs w:val="32"/>
          <w:lang w:val="en-US" w:eastAsia="zh-CN"/>
        </w:rPr>
        <w:t>1</w:t>
      </w:r>
      <w:bookmarkStart w:id="0" w:name="_GoBack"/>
      <w:bookmarkEnd w:id="0"/>
      <w:r>
        <w:rPr>
          <w:rFonts w:ascii="仿宋" w:cs="仿宋" w:eastAsia="仿宋" w:hAnsi="仿宋" w:hint="eastAsia"/>
          <w:sz w:val="32"/>
          <w:szCs w:val="32"/>
          <w:lang w:val="en-US" w:eastAsia="zh-CN"/>
        </w:rPr>
        <w:t>5</w:t>
      </w:r>
      <w:r>
        <w:rPr>
          <w:rFonts w:ascii="仿宋" w:cs="仿宋" w:eastAsia="仿宋" w:hAnsi="仿宋" w:hint="eastAsia"/>
          <w:sz w:val="32"/>
          <w:szCs w:val="32"/>
        </w:rPr>
        <w:t>日</w:t>
      </w:r>
    </w:p>
    <w:sectPr>
      <w:footerReference w:type="default" r:id="rId2"/>
      <w:pgSz w:w="11906" w:h="16838" w:orient="portrait"/>
      <w:pgMar w:top="1440" w:right="1633" w:bottom="1440" w:left="1800" w:header="851" w:footer="992" w:gutter="0"/>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AFF" w:usb1="C000247B" w:usb2="00000009" w:usb3="00000000" w:csb0="200001FF" w:csb1="00000000"/>
  </w:font>
  <w:font w:name="方正小标宋简体">
    <w:altName w:val="方正小标宋简体"/>
    <w:panose1 w:val="02010601030001010101"/>
    <w:charset w:val="86"/>
    <w:family w:val="auto"/>
    <w:pitch w:val="default"/>
    <w:sig w:usb0="00000001" w:usb1="080E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楷体">
    <w:altName w:val="楷体"/>
    <w:panose1 w:val="02010609060001010101"/>
    <w:charset w:val="86"/>
    <w:family w:val="auto"/>
    <w:pitch w:val="default"/>
    <w:sig w:usb0="800002BF" w:usb1="38CF7CFA" w:usb2="00000016" w:usb3="00000000" w:csb0="00040001" w:csb1="00000000"/>
  </w:font>
  <w:font w:name="微软雅黑">
    <w:altName w:val="微软雅黑"/>
    <w:panose1 w:val="020b0503020002020204"/>
    <w:charset w:val="86"/>
    <w:family w:val="auto"/>
    <w:pitch w:val="default"/>
    <w:sig w:usb0="80000287" w:usb1="28CF3C50" w:usb2="00000016" w:usb3="00000000" w:csb0="0004001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32">
    <w:name w:val="footer"/>
    <w:basedOn w:val="style0"/>
    <w:next w:val="style32"/>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5">
    <w:name w:val="Hyperlink"/>
    <w:basedOn w:val="style65"/>
    <w:next w:val="style85"/>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Words>2648</Words>
  <Pages>1</Pages>
  <Characters>2677</Characters>
  <Application>WPS Office</Application>
  <DocSecurity>0</DocSecurity>
  <Paragraphs>30</Paragraphs>
  <ScaleCrop>false</ScaleCrop>
  <LinksUpToDate>false</LinksUpToDate>
  <CharactersWithSpaces>2708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2019-11-12T01:10:00Z</dcterms:created>
  <dc:creator>白百合</dc:creator>
  <lastModifiedBy>MI 9</lastModifiedBy>
  <lastPrinted>2020-01-15T08:27:42Z</lastPrinted>
  <dcterms:modified xsi:type="dcterms:W3CDTF">2020-03-31T03:39:11Z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