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color w:val="auto"/>
          <w:u w:val="single"/>
          <w:lang w:val="en-US" w:eastAsia="zh-CN"/>
        </w:rPr>
      </w:pPr>
      <w:r>
        <w:rPr>
          <w:rFonts w:hint="eastAsia"/>
          <w:color w:val="auto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44"/>
          <w:szCs w:val="44"/>
          <w:u w:val="single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 xml:space="preserve">阳城县民政局 </w:t>
      </w:r>
      <w:r>
        <w:rPr>
          <w:rFonts w:hint="eastAsia" w:ascii="宋体" w:hAnsi="宋体" w:eastAsia="宋体" w:cs="宋体"/>
          <w:color w:val="auto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                                   A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县政协十五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提案的答复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范学斌委员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您提出的关于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行政村拆并过程中应该保留县域边界村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的建议收悉。现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复如下：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做好涉边行政村保护工作，对于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全面提升我县边界管理水平，维护边界地区稳定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意义重大，我局将在今后的区划地名管理工作中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重点关注并加以保护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一、在区划调整中的相关政策要求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在近年来的区划调整工作中，我局就十分重视涉边村的保护工作，并明确相关政策要求。比如，在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2017年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《关于在全县开展村组撤并工作的指导意见》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阳办发〔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明确要求“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撤并村组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遵循便于管理的原则，考虑历史沿革、河流、交通等因素,原则上不鼓励跨乡镇合并,尽量采取相邻村之间合并,对于涉省界、市界、县界的行政村,一般不予撤并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”；在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2019年《关于加强行政村合并工作的实施意见》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阳办发〔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提出“要充分考虑各行政村的地理位置、产业布局、发展水平、人口规模等因素”。在具体问题处理指导意见中也明确指出“涉省界的行政村不撤，涉市界、县界的行政村、历史文化名村及传统古村落酌情合并”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二、边界管护工作情况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近年来，我局认真贯彻落实《行政区域界线管理条例》《行政区域界线界桩管理办法》，切实做好界线界桩管理工作，开展平安边界创建活动，实现了边界地区的和谐稳定。针对界线长、界桩管护不到位的问题，出台了《关于加强我县市级以上行政区域界线管理的实施意见》（阳政办发〔2015〕23号），县级财政每年配套边界管控经费11万元，用于解决边界巡查员的待遇、界桩的维护、界线标志物的建设以及平安边界建设等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我局结合实际，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推行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界线界桩委托管理制，确定了25名边界管护巡查专员，出台了巡视、界桩管护制度，明确了工作职责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，落实了管护工资，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对界线界桩和方位物等状况进行实地逐段、逐点详细核对，对发现的情况及时上报、及时处理，确保界桩管护到位。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三、下一步工作打算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我县涉边界的行政村大多地处大山深处，自然条件恶劣，加之随着经济社会的发展，人口逐步向县城中心区域迁移，偏远乡镇、农村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人口流失严重，村内居住人员以留守老人为主，确实也存在边界管护工作不及时、不到位的问题，为此，我局将立足职责，做好以下几项工作。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在今后区划调整工作中，继续加强对涉边界行政村的保护，原则上不予以撤并，或者将其他行政村并入涉边村，巩固和维护边界地区基本稳定。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加强边界管护工作，加大资金投入，指导涉边界的乡镇在容易引发边界纠纷的省界、市界处新建标志性界桩、界碑等，明确主权。同时，督促边界管护巡查专员落实职责，逐步提高工作待遇，加大日常巡查维护工作，守好边界、守住边界、守牢边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做好界线联检工作，定期与涉边省、市、县民政部门对界线现状、边界线走向、界桩维护等情况进行联合检查，有效巩固勘界成果，实现依法治界，推进平安边界建设。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最后，感谢您对民政工作的关心和支持，欢迎今后提出更多宝贵意见。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分管副县长：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单位负责人：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承办人员：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阳城县民政局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right"/>
        <w:textAlignment w:val="auto"/>
        <w:outlineLvl w:val="9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2022年</w:t>
      </w:r>
      <w:r>
        <w:rPr>
          <w:rFonts w:hint="eastAsia" w:ascii="仿宋_GB2312" w:hAnsi="仿宋_GB2312" w:cs="仿宋_GB2312"/>
          <w:color w:val="auto"/>
          <w:lang w:val="en-US" w:eastAsia="zh-CN"/>
        </w:rPr>
        <w:t xml:space="preserve"> 8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月</w:t>
      </w:r>
      <w:r>
        <w:rPr>
          <w:rFonts w:hint="eastAsia" w:ascii="仿宋_GB2312" w:hAnsi="仿宋_GB2312" w:cs="仿宋_GB2312"/>
          <w:color w:val="auto"/>
          <w:lang w:val="en-US" w:eastAsia="zh-CN"/>
        </w:rPr>
        <w:t xml:space="preserve"> 8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日 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仿宋_GB2312" w:cs="仿宋_GB2312"/>
        <w:kern w:val="2"/>
        <w:sz w:val="18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YjFjNjJlMDIxMGZmM2NiOGZkMGI5MzQ3NDM1ZDIifQ=="/>
  </w:docVars>
  <w:rsids>
    <w:rsidRoot w:val="05F15A2C"/>
    <w:rsid w:val="00B07FEE"/>
    <w:rsid w:val="05F15A2C"/>
    <w:rsid w:val="076238C9"/>
    <w:rsid w:val="08801FB3"/>
    <w:rsid w:val="0A5B3040"/>
    <w:rsid w:val="0D3552A8"/>
    <w:rsid w:val="15C4232F"/>
    <w:rsid w:val="16017631"/>
    <w:rsid w:val="16D526ED"/>
    <w:rsid w:val="21B942C7"/>
    <w:rsid w:val="23267DBA"/>
    <w:rsid w:val="27BA3C3D"/>
    <w:rsid w:val="2A7445E5"/>
    <w:rsid w:val="31645899"/>
    <w:rsid w:val="33390CA0"/>
    <w:rsid w:val="43D42451"/>
    <w:rsid w:val="50225B15"/>
    <w:rsid w:val="5F3D03D6"/>
    <w:rsid w:val="5FCE32B8"/>
    <w:rsid w:val="62423116"/>
    <w:rsid w:val="636166CE"/>
    <w:rsid w:val="705A7F4C"/>
    <w:rsid w:val="746874BE"/>
    <w:rsid w:val="789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rFonts w:cs="Times New Roman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1197</Words>
  <Characters>1220</Characters>
  <Lines>0</Lines>
  <Paragraphs>0</Paragraphs>
  <TotalTime>3</TotalTime>
  <ScaleCrop>false</ScaleCrop>
  <LinksUpToDate>false</LinksUpToDate>
  <CharactersWithSpaces>1332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2022-07-29T03:34:00Z</dcterms:created>
  <dc:creator>Administrator</dc:creator>
  <cp:lastModifiedBy>Administrator</cp:lastModifiedBy>
  <cp:lastPrinted>2022-08-16T02:19:49Z</cp:lastPrinted>
  <dcterms:modified xsi:type="dcterms:W3CDTF">2022-08-16T02:20:06Z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E4EFC60157134D029558BE9868FD1AFD</vt:lpwstr>
  </property>
</Properties>
</file>