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color w:val="auto"/>
          <w:u w:val="single"/>
          <w:lang w:val="en-US" w:eastAsia="zh-CN"/>
        </w:rPr>
      </w:pPr>
      <w:r>
        <w:rPr>
          <w:rFonts w:hint="eastAsia"/>
          <w:color w:val="auto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single"/>
          <w:lang w:val="en-US" w:eastAsia="zh-CN"/>
        </w:rPr>
        <w:t xml:space="preserve">阳城县民政局 </w:t>
      </w:r>
      <w:r>
        <w:rPr>
          <w:rFonts w:hint="eastAsia" w:ascii="宋体" w:hAnsi="宋体" w:eastAsia="宋体" w:cs="宋体"/>
          <w:color w:val="auto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 xml:space="preserve">                                    A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县人大十七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160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建议的答复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马小龙代表：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您提出的关于合并空心村的建议收悉。现回复如下：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行政村合并是加快推进城乡一体化进程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，增强农村发展活力而采取的一种模式，对农村的长远发展具有重要的战略意义。近年来，随着我县经济社会的快速发展，空心村现象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日益增多，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针对部分行政村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和自然庄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规模小、布局分散、资源浪费等问题，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县委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县政府带领组织、民政、农业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等部门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多次深入乡村调研，面对面听取基层干部和党员群众的意见建议，召开不同层级会议认真研讨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精心组织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多措并举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，分别于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开展了村组撤并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2017年，我县出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台了《关于在全县开展村组撤并工作的指导意见》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确定了“党委领导、政府引导、群众自愿、稳妥慎重、因地制宜、利于稳定、利于工作”的村组撤并原则；明确不搞“一刀切”，因地制宜采取“一体式合并”“联建式合并”“帮带式合并”等多种方式；要求“户籍人口200人以下的行政村原则上撤并，200至300人的行政村鼓励撤并”；要求增强统筹性、前瞻性，围绕全县全域旅游、美丽乡村规划布局，打破“撤小村并大村”的惯性思维，鼓励被撤村组向成熟经济区、成熟景点、磨董旅游沿线、太行一号国家风景道的周边村合并，以实现优势互补、资源共享，拓宽乡村发展空间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2017年村组撤并工作中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全县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撤销行政村46个，新设立行政村5个，更名1个，净减少行政村41个，撤并后全县村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（社区）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总数为426个，撤并比例近10%。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2019年，我县出台了《关于加强行政村合并工作的实施意见》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提出将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集体积极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不强、村级组织软弱涣散、“空心村”、村级基本公共服务活动场所配备不全的行政村重点合并。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2020年行政村合并工作中，全县净减少行政村97个，新设置社区4个，更名1个，合并后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县村（社区）总数为335个，其中行政村324个，社区11个。从运行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看，绝大多数合并村成效明显，整合了农村资源，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节约了建设资金和建设用地，而且减少了乡镇管理成本。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的村组撤并工作虽然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取得了一些成绩，但还有一些不足需要完善。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在今后工作中，我局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持续关注基层组织运行情况，根据上级政策要求，加强调查研究，按照便于管理、便于服务、便于自治的原则，稳妥有序地开展村组撤并工作，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巩固基层政权，提高治理水平，推进农村经济社会全面、协调和可持续发展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最后，感谢您对我局工作的关心和支持，欢迎今后提出更多宝贵意见。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分管副县长：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单位负责人：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承办人员：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阳城县民政局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2022年</w:t>
      </w:r>
      <w:r>
        <w:rPr>
          <w:rFonts w:hint="eastAsia" w:ascii="仿宋_GB2312" w:hAnsi="仿宋_GB2312" w:cs="仿宋_GB2312"/>
          <w:color w:va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月</w:t>
      </w:r>
      <w:r>
        <w:rPr>
          <w:rFonts w:hint="eastAsia" w:ascii="仿宋_GB2312" w:hAnsi="仿宋_GB2312" w:cs="仿宋_GB2312"/>
          <w:color w:va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日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仿宋_GB2312" w:cs="仿宋_GB2312"/>
        <w:kern w:val="2"/>
        <w:sz w:val="18"/>
        <w:szCs w:val="32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U3YjFjNjJlMDIxMGZmM2NiOGZkMGI5MzQ3NDM1ZDIifQ=="/>
  </w:docVars>
  <w:rsids>
    <w:rsidRoot w:val="00000000"/>
    <w:rsid w:val="03BC3918"/>
    <w:rsid w:val="03CB170C"/>
    <w:rsid w:val="06F43617"/>
    <w:rsid w:val="070D7645"/>
    <w:rsid w:val="07C75BAC"/>
    <w:rsid w:val="098547DB"/>
    <w:rsid w:val="13571355"/>
    <w:rsid w:val="15A35C1F"/>
    <w:rsid w:val="1DE0463D"/>
    <w:rsid w:val="26514F70"/>
    <w:rsid w:val="271A45EB"/>
    <w:rsid w:val="27FA3972"/>
    <w:rsid w:val="28352183"/>
    <w:rsid w:val="34173A67"/>
    <w:rsid w:val="397C5AEB"/>
    <w:rsid w:val="3BD001A3"/>
    <w:rsid w:val="408F36C7"/>
    <w:rsid w:val="45330C38"/>
    <w:rsid w:val="45D3735F"/>
    <w:rsid w:val="490A2882"/>
    <w:rsid w:val="4ED76F61"/>
    <w:rsid w:val="59797CF6"/>
    <w:rsid w:val="5AEF3E07"/>
    <w:rsid w:val="5B5A5D02"/>
    <w:rsid w:val="5B6F490F"/>
    <w:rsid w:val="5BAC0570"/>
    <w:rsid w:val="5E312260"/>
    <w:rsid w:val="5EEE57BE"/>
    <w:rsid w:val="61EC71AB"/>
    <w:rsid w:val="621F21D0"/>
    <w:rsid w:val="65DD6C9B"/>
    <w:rsid w:val="66694C9E"/>
    <w:rsid w:val="66962D42"/>
    <w:rsid w:val="66D62819"/>
    <w:rsid w:val="673A620A"/>
    <w:rsid w:val="67591C50"/>
    <w:rsid w:val="68FD5333"/>
    <w:rsid w:val="696977AB"/>
    <w:rsid w:val="6B0045E8"/>
    <w:rsid w:val="70D4572A"/>
    <w:rsid w:val="73345FE9"/>
    <w:rsid w:val="779B0B1E"/>
    <w:rsid w:val="78236B03"/>
    <w:rsid w:val="7870237F"/>
    <w:rsid w:val="7A4439C5"/>
    <w:rsid w:val="7B9552E4"/>
    <w:rsid w:val="7C287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rFonts w:cs="Times New Roman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1009</Words>
  <Characters>1058</Characters>
  <Lines>0</Lines>
  <Paragraphs>0</Paragraphs>
  <TotalTime>28</TotalTime>
  <ScaleCrop>false</ScaleCrop>
  <LinksUpToDate>false</LinksUpToDate>
  <CharactersWithSpaces>1228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2020-09-02T00:37:00Z</dcterms:created>
  <dc:creator>峯兄ING</dc:creator>
  <cp:lastModifiedBy>Administrator</cp:lastModifiedBy>
  <cp:lastPrinted>2022-08-16T02:10:13Z</cp:lastPrinted>
  <dcterms:modified xsi:type="dcterms:W3CDTF">2022-08-16T02:19:06Z</dcterms:modified>
  <dc:title>                 阳城县民政局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34DD2B4280554744A1FB344F45D3A8DC</vt:lpwstr>
  </property>
  <property fmtid="{D5CDD505-2E9C-101B-9397-08002B2CF9AE}" pid="4" name="commondata">
    <vt:lpwstr>eyJoZGlkIjoiN2U3YjFjNjJlMDIxMGZmM2NiOGZkMGI5MzQ3NDM1ZDIifQ==</vt:lpwstr>
  </property>
</Properties>
</file>