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z w:val="44"/>
          <w:szCs w:val="44"/>
          <w:shd w:val="clear" w:color="auto" w:fill="FFFFFF"/>
        </w:rPr>
        <w:t>年度考核合格的律师事务所和律师名单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名称：山西获泽律师事务所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统一社会信用代码：31140000406701253N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地址：阳城县新阳西街卫体局西侧院内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联系电话：0356-3291326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负责人：杨峰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律师（姓名、执业证号）：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5514975" cy="2790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名称：山西语智律师事务所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统一社会信用代码：31140000561322923G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地址：阳城县凤城镇水村上石圪节66号（阳城县美韵花园大酒店绿道入口100米）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联系电话：13008055623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负责人：张晋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律师（姓名、执业证号）：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5448300" cy="20002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名称：山西析成律师事务所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统一社会信用代码：31140000736323910W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地址：阳城县析城大道美韵家园1100号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联系电话：0356-4226758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负责人：陈继亮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律师（姓名、执业证号）：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5438775" cy="7905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名称：山西给力律师事务所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统一社会信用代码：31140000MD01644403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地址：阳城县美韵家园二号楼一单元502室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联系电话：0356-2366360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负责人：尹利民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律师（姓名、执业证号）：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5400675" cy="15525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名称：山西君宜（阳城）律师事务所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统一社会信用代码：31140000MD0211761F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地址：阳城县美韵家园1-2号楼115号二层商铺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联系电话：13313564899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负责人：马林利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color="auto" w:fill="FFFFFF"/>
        </w:rPr>
        <w:t>律师（姓名、执业证号）：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5381625" cy="152400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35ED"/>
    <w:rsid w:val="6D6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2023-10-25T03:13:00Z</dcterms:created>
  <dc:creator>Administrator</dc:creator>
  <cp:lastModifiedBy>Administrator</cp:lastModifiedBy>
  <dcterms:modified xsi:type="dcterms:W3CDTF">2023-10-25T03:13:50Z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2EAC4F2910B9439880FD698903BAFC14</vt:lpwstr>
  </property>
</Properties>
</file>