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line="555" w:lineRule="atLeast"/>
        <w:jc w:val="center"/>
        <w:rPr>
          <w:rFonts w:hint="eastAsia" w:ascii="宋体" w:hAnsi="宋体" w:cs="Arial"/>
          <w:b/>
          <w:bCs/>
          <w:color w:val="333333"/>
          <w:kern w:val="0"/>
          <w:sz w:val="36"/>
          <w:szCs w:val="36"/>
        </w:rPr>
      </w:pPr>
      <w:r>
        <w:rPr>
          <w:rFonts w:hint="eastAsia" w:ascii="宋体" w:hAnsi="宋体" w:cs="Arial"/>
          <w:b/>
          <w:bCs/>
          <w:color w:val="333333"/>
          <w:kern w:val="36"/>
          <w:sz w:val="36"/>
          <w:szCs w:val="36"/>
          <w:lang w:val="en-US" w:eastAsia="zh-CN"/>
        </w:rPr>
        <w:t>山西省阳城县公证处2021</w:t>
      </w:r>
      <w:r>
        <w:rPr>
          <w:rFonts w:hint="eastAsia" w:ascii="宋体" w:hAnsi="宋体" w:cs="Arial"/>
          <w:b/>
          <w:bCs/>
          <w:color w:val="333333"/>
          <w:kern w:val="36"/>
          <w:sz w:val="36"/>
          <w:szCs w:val="36"/>
        </w:rPr>
        <w:t>年</w:t>
      </w:r>
      <w:r>
        <w:rPr>
          <w:rFonts w:hint="eastAsia" w:ascii="宋体" w:hAnsi="宋体" w:cs="Arial"/>
          <w:b/>
          <w:bCs/>
          <w:color w:val="333333"/>
          <w:kern w:val="36"/>
          <w:sz w:val="36"/>
          <w:szCs w:val="36"/>
          <w:lang w:val="en-US" w:eastAsia="zh-CN"/>
        </w:rPr>
        <w:t>度</w:t>
      </w:r>
      <w:r>
        <w:rPr>
          <w:rFonts w:hint="eastAsia" w:ascii="宋体" w:hAnsi="宋体" w:cs="Arial"/>
          <w:b/>
          <w:bCs/>
          <w:color w:val="333333"/>
          <w:kern w:val="36"/>
          <w:sz w:val="36"/>
          <w:szCs w:val="36"/>
        </w:rPr>
        <w:t>部门决算</w:t>
      </w:r>
    </w:p>
    <w:p>
      <w:pPr>
        <w:spacing w:before="0" w:beforeLines="0" w:after="0" w:afterLines="0" w:line="240" w:lineRule="auto"/>
        <w:ind w:left="0" w:leftChars="0" w:right="0" w:rightChars="0" w:firstLine="0" w:firstLineChars="0"/>
        <w:jc w:val="center"/>
        <w:rPr>
          <w:b/>
          <w:bCs/>
          <w:sz w:val="36"/>
          <w:szCs w:val="36"/>
        </w:rPr>
      </w:pPr>
      <w:bookmarkStart w:id="0" w:name="_Toc17146"/>
      <w:r>
        <w:rPr>
          <w:rFonts w:ascii="宋体" w:hAnsi="宋体" w:eastAsia="宋体"/>
          <w:b/>
          <w:bCs/>
          <w:sz w:val="36"/>
          <w:szCs w:val="36"/>
        </w:rPr>
        <w:t>目录</w:t>
      </w:r>
    </w:p>
    <w:p>
      <w:pPr>
        <w:pStyle w:val="7"/>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b/>
          <w:bCs/>
          <w:sz w:val="24"/>
          <w:szCs w:val="24"/>
        </w:rPr>
      </w:pPr>
      <w:r>
        <w:fldChar w:fldCharType="begin"/>
      </w:r>
      <w:r>
        <w:instrText xml:space="preserve">TOC \o "1-3" \h \u </w:instrText>
      </w:r>
      <w: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_Toc25521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 xml:space="preserve">第一部分 </w:t>
      </w:r>
      <w:r>
        <w:rPr>
          <w:rFonts w:hint="eastAsia" w:ascii="宋体" w:hAnsi="宋体" w:eastAsia="宋体" w:cs="宋体"/>
          <w:b/>
          <w:bCs/>
          <w:sz w:val="24"/>
          <w:szCs w:val="24"/>
        </w:rPr>
        <w:t>概况</w:t>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_Toc1927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一、</w:t>
      </w:r>
      <w:r>
        <w:rPr>
          <w:rFonts w:hint="eastAsia" w:ascii="宋体" w:hAnsi="宋体" w:eastAsia="宋体" w:cs="宋体"/>
          <w:sz w:val="22"/>
          <w:szCs w:val="22"/>
        </w:rPr>
        <w:t>主要职</w:t>
      </w:r>
      <w:r>
        <w:rPr>
          <w:rFonts w:hint="eastAsia" w:ascii="宋体" w:hAnsi="宋体" w:eastAsia="宋体" w:cs="宋体"/>
          <w:sz w:val="22"/>
          <w:szCs w:val="22"/>
          <w:lang w:val="en-US" w:eastAsia="zh-CN"/>
        </w:rPr>
        <w:t>能</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_Toc7891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二、</w:t>
      </w:r>
      <w:r>
        <w:rPr>
          <w:rFonts w:hint="eastAsia" w:ascii="宋体" w:hAnsi="宋体" w:eastAsia="宋体" w:cs="宋体"/>
          <w:b w:val="0"/>
          <w:bCs w:val="0"/>
          <w:color w:val="000000"/>
          <w:sz w:val="22"/>
          <w:szCs w:val="22"/>
          <w:lang w:val="en-US" w:eastAsia="zh-CN"/>
        </w:rPr>
        <w:t>机构设置情况</w:t>
      </w:r>
      <w:r>
        <w:rPr>
          <w:rFonts w:hint="eastAsia" w:ascii="宋体" w:hAnsi="宋体" w:eastAsia="宋体" w:cs="宋体"/>
          <w:sz w:val="22"/>
          <w:szCs w:val="22"/>
        </w:rPr>
        <w:fldChar w:fldCharType="end"/>
      </w:r>
    </w:p>
    <w:p>
      <w:pPr>
        <w:rPr>
          <w:rFonts w:hint="eastAsia" w:ascii="宋体" w:hAnsi="宋体" w:eastAsia="宋体" w:cs="宋体"/>
          <w:b/>
          <w:bCs/>
          <w:kern w:val="2"/>
          <w:sz w:val="24"/>
          <w:szCs w:val="24"/>
          <w:lang w:val="en-US" w:eastAsia="zh-CN" w:bidi="ar-SA"/>
        </w:rPr>
      </w:pPr>
    </w:p>
    <w:p>
      <w:pPr>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第二部分  2021年度部门决算报表</w:t>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一、</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_Toc2346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年收入支出决算总表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二、</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_Toc7853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年收入决算表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三、</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_Toc26097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年支出决算表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四、</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_Toc23851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年财政拨款收入支出</w:t>
      </w:r>
      <w:r>
        <w:rPr>
          <w:rFonts w:hint="eastAsia" w:ascii="宋体" w:hAnsi="宋体" w:eastAsia="宋体" w:cs="宋体"/>
          <w:sz w:val="22"/>
          <w:szCs w:val="22"/>
          <w:lang w:val="en-US" w:eastAsia="zh-CN"/>
        </w:rPr>
        <w:t>决算</w:t>
      </w:r>
      <w:r>
        <w:rPr>
          <w:rFonts w:hint="eastAsia" w:ascii="宋体" w:hAnsi="宋体" w:eastAsia="宋体" w:cs="宋体"/>
          <w:sz w:val="22"/>
          <w:szCs w:val="22"/>
        </w:rPr>
        <w:t>总表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五、</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_Toc8991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年一般公共预算财政拨款支出决算表（一）</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六、</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_Toc22094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年一般公共预算财政拨款支出决算表（二）</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七、</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_Toc21964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年一般公共预算财政拨款“三公”经费支出决算表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八、</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_Toc21410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w:t>
      </w:r>
      <w:r>
        <w:rPr>
          <w:rFonts w:hint="eastAsia" w:ascii="宋体" w:hAnsi="宋体" w:eastAsia="宋体" w:cs="宋体"/>
          <w:sz w:val="22"/>
          <w:szCs w:val="22"/>
        </w:rPr>
        <w:t>年政府性基金预算财政拨款收入支出决算表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九、</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_Toc21410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2021年国有资本经营预算财政拨款支出决算表</w:t>
      </w:r>
      <w:r>
        <w:rPr>
          <w:rFonts w:hint="eastAsia" w:ascii="宋体" w:hAnsi="宋体" w:eastAsia="宋体" w:cs="宋体"/>
          <w:sz w:val="22"/>
          <w:szCs w:val="22"/>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十、</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_Toc20196 </w:instrText>
      </w:r>
      <w:r>
        <w:rPr>
          <w:rFonts w:hint="eastAsia" w:ascii="宋体" w:hAnsi="宋体" w:eastAsia="宋体" w:cs="宋体"/>
          <w:sz w:val="22"/>
          <w:szCs w:val="22"/>
        </w:rPr>
        <w:fldChar w:fldCharType="separate"/>
      </w:r>
      <w:r>
        <w:rPr>
          <w:rFonts w:hint="eastAsia" w:ascii="宋体" w:hAnsi="宋体" w:eastAsia="宋体" w:cs="宋体"/>
          <w:sz w:val="22"/>
          <w:szCs w:val="22"/>
          <w:lang w:val="en-US" w:eastAsia="zh-CN"/>
        </w:rPr>
        <w:t>2021年部门决算公开相关信息表</w:t>
      </w:r>
      <w:r>
        <w:rPr>
          <w:rFonts w:hint="eastAsia" w:ascii="宋体" w:hAnsi="宋体" w:eastAsia="宋体" w:cs="宋体"/>
          <w:sz w:val="22"/>
          <w:szCs w:val="22"/>
        </w:rPr>
        <w:fldChar w:fldCharType="end"/>
      </w:r>
    </w:p>
    <w:p>
      <w:pPr>
        <w:rPr>
          <w:rFonts w:hint="eastAsia" w:ascii="宋体" w:hAnsi="宋体" w:eastAsia="宋体" w:cs="宋体"/>
          <w:b/>
          <w:bCs/>
          <w:kern w:val="2"/>
          <w:sz w:val="24"/>
          <w:szCs w:val="24"/>
          <w:lang w:val="en-US" w:eastAsia="zh-CN" w:bidi="ar-SA"/>
        </w:rPr>
      </w:pPr>
    </w:p>
    <w:p>
      <w:pP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_Toc450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2"/>
          <w:sz w:val="24"/>
          <w:szCs w:val="24"/>
          <w:lang w:val="en-US" w:eastAsia="zh-CN" w:bidi="ar-SA"/>
        </w:rPr>
        <w:t>第三部分 2021年部门决算情况说明</w:t>
      </w:r>
      <w:r>
        <w:rPr>
          <w:rFonts w:hint="eastAsia" w:ascii="宋体" w:hAnsi="宋体" w:eastAsia="宋体" w:cs="宋体"/>
          <w:b/>
          <w:bCs/>
          <w:kern w:val="2"/>
          <w:sz w:val="24"/>
          <w:szCs w:val="24"/>
          <w:lang w:val="en-US" w:eastAsia="zh-CN" w:bidi="ar-SA"/>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_Toc12907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一、2021年度部门决算收支增减变动情况及原因说明</w:t>
      </w:r>
      <w:r>
        <w:rPr>
          <w:rFonts w:hint="eastAsia" w:ascii="宋体" w:hAnsi="宋体" w:eastAsia="宋体" w:cs="宋体"/>
          <w:sz w:val="22"/>
          <w:szCs w:val="22"/>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_Toc24341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二、2021年机关运行经费安排情况说明</w:t>
      </w:r>
      <w:r>
        <w:rPr>
          <w:rFonts w:hint="eastAsia" w:ascii="宋体" w:hAnsi="宋体" w:eastAsia="宋体" w:cs="宋体"/>
          <w:sz w:val="22"/>
          <w:szCs w:val="22"/>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_Toc9895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三、政府采购情况说明</w:t>
      </w:r>
      <w:r>
        <w:rPr>
          <w:rFonts w:hint="eastAsia" w:ascii="宋体" w:hAnsi="宋体" w:eastAsia="宋体" w:cs="宋体"/>
          <w:sz w:val="22"/>
          <w:szCs w:val="22"/>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_Toc21275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四、2021年“三公”经费支出及增减变化情况说明</w:t>
      </w:r>
      <w:r>
        <w:rPr>
          <w:rFonts w:hint="eastAsia" w:ascii="宋体" w:hAnsi="宋体" w:eastAsia="宋体" w:cs="宋体"/>
          <w:sz w:val="22"/>
          <w:szCs w:val="22"/>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_Toc30229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五、2021年国有资产占用情况说明</w:t>
      </w:r>
      <w:r>
        <w:rPr>
          <w:rFonts w:hint="eastAsia" w:ascii="宋体" w:hAnsi="宋体" w:eastAsia="宋体" w:cs="宋体"/>
          <w:sz w:val="22"/>
          <w:szCs w:val="22"/>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\l _Toc10265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六、2021年预算绩效情况</w:t>
      </w:r>
      <w:r>
        <w:rPr>
          <w:rFonts w:hint="eastAsia" w:ascii="宋体" w:hAnsi="宋体" w:eastAsia="宋体" w:cs="宋体"/>
          <w:sz w:val="22"/>
          <w:szCs w:val="22"/>
          <w:lang w:val="en-US" w:eastAsia="zh-CN"/>
        </w:rPr>
        <w:fldChar w:fldCharType="end"/>
      </w:r>
      <w:r>
        <w:rPr>
          <w:rFonts w:hint="eastAsia" w:ascii="宋体" w:hAnsi="宋体" w:eastAsia="宋体" w:cs="宋体"/>
          <w:sz w:val="22"/>
          <w:szCs w:val="22"/>
          <w:lang w:val="en-US" w:eastAsia="zh-CN"/>
        </w:rPr>
        <w:t>说明</w:t>
      </w:r>
    </w:p>
    <w:p>
      <w:pPr>
        <w:rPr>
          <w:rFonts w:hint="eastAsia" w:ascii="宋体" w:hAnsi="宋体" w:eastAsia="宋体" w:cs="宋体"/>
          <w:b/>
          <w:bCs/>
          <w:kern w:val="2"/>
          <w:sz w:val="24"/>
          <w:szCs w:val="24"/>
          <w:lang w:val="en-US" w:eastAsia="zh-CN" w:bidi="ar-SA"/>
        </w:rPr>
      </w:pPr>
    </w:p>
    <w:p>
      <w:pP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_Toc17765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2"/>
          <w:sz w:val="24"/>
          <w:szCs w:val="24"/>
          <w:lang w:val="en-US" w:eastAsia="zh-CN" w:bidi="ar-SA"/>
        </w:rPr>
        <w:t>第四部分  名词解释</w:t>
      </w:r>
      <w:r>
        <w:rPr>
          <w:rFonts w:hint="eastAsia" w:ascii="宋体" w:hAnsi="宋体" w:eastAsia="宋体" w:cs="宋体"/>
          <w:b/>
          <w:bCs/>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440" w:lineRule="atLeast"/>
        <w:ind w:right="420" w:rightChars="200"/>
        <w:textAlignment w:val="auto"/>
        <w:rPr>
          <w:rStyle w:val="13"/>
          <w:rFonts w:hint="eastAsia"/>
        </w:rPr>
      </w:pPr>
      <w:r>
        <w:fldChar w:fldCharType="end"/>
      </w:r>
      <w:bookmarkStart w:id="1" w:name="_Toc25521"/>
    </w:p>
    <w:bookmarkEnd w:id="1"/>
    <w:p>
      <w:pPr>
        <w:keepNext w:val="0"/>
        <w:keepLines w:val="0"/>
        <w:pageBreakBefore w:val="0"/>
        <w:widowControl w:val="0"/>
        <w:kinsoku/>
        <w:wordWrap/>
        <w:overflowPunct/>
        <w:topLinePunct w:val="0"/>
        <w:autoSpaceDE/>
        <w:autoSpaceDN/>
        <w:bidi w:val="0"/>
        <w:adjustRightInd/>
        <w:snapToGrid/>
        <w:spacing w:line="440" w:lineRule="atLeast"/>
        <w:ind w:right="420" w:rightChars="200"/>
        <w:textAlignment w:val="auto"/>
      </w:pPr>
    </w:p>
    <w:p>
      <w:pPr>
        <w:keepNext w:val="0"/>
        <w:keepLines w:val="0"/>
        <w:pageBreakBefore w:val="0"/>
        <w:widowControl w:val="0"/>
        <w:kinsoku/>
        <w:wordWrap/>
        <w:overflowPunct/>
        <w:topLinePunct w:val="0"/>
        <w:autoSpaceDE/>
        <w:autoSpaceDN/>
        <w:bidi w:val="0"/>
        <w:adjustRightInd/>
        <w:snapToGrid/>
        <w:spacing w:line="440" w:lineRule="atLeast"/>
        <w:ind w:right="420" w:rightChars="200"/>
        <w:textAlignment w:val="auto"/>
      </w:pPr>
    </w:p>
    <w:bookmarkEnd w:id="0"/>
    <w:p>
      <w:pPr>
        <w:jc w:val="center"/>
        <w:rPr>
          <w:rFonts w:hint="eastAsia" w:ascii="宋体" w:hAnsi="宋体" w:eastAsia="宋体" w:cs="宋体"/>
          <w:b/>
          <w:bCs/>
          <w:kern w:val="2"/>
          <w:sz w:val="28"/>
          <w:szCs w:val="28"/>
          <w:lang w:val="en-US" w:eastAsia="zh-CN" w:bidi="ar-SA"/>
        </w:rPr>
      </w:pPr>
    </w:p>
    <w:p>
      <w:pPr>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_Toc25521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kern w:val="2"/>
          <w:sz w:val="28"/>
          <w:szCs w:val="28"/>
          <w:lang w:val="en-US" w:eastAsia="zh-CN" w:bidi="ar-SA"/>
        </w:rPr>
        <w:t>第一部分 概况</w:t>
      </w:r>
      <w:r>
        <w:rPr>
          <w:rFonts w:hint="eastAsia" w:ascii="宋体" w:hAnsi="宋体" w:eastAsia="宋体" w:cs="宋体"/>
          <w:b/>
          <w:bCs/>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一、主要职能</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Arial"/>
          <w:color w:val="auto"/>
          <w:kern w:val="0"/>
          <w:sz w:val="24"/>
        </w:rPr>
        <w:t>我单位为</w:t>
      </w:r>
      <w:r>
        <w:rPr>
          <w:rFonts w:hint="eastAsia" w:ascii="宋体" w:hAnsi="宋体" w:cs="Arial"/>
          <w:color w:val="auto"/>
          <w:kern w:val="0"/>
          <w:sz w:val="24"/>
          <w:lang w:eastAsia="zh-CN"/>
        </w:rPr>
        <w:t>公益二类差额事业单位</w:t>
      </w:r>
      <w:r>
        <w:rPr>
          <w:rFonts w:hint="eastAsia" w:ascii="宋体" w:hAnsi="宋体" w:cs="Arial"/>
          <w:color w:val="auto"/>
          <w:kern w:val="0"/>
          <w:sz w:val="24"/>
        </w:rPr>
        <w:t>。主要职能为</w:t>
      </w:r>
      <w:r>
        <w:rPr>
          <w:rFonts w:hint="eastAsia" w:ascii="宋体" w:hAnsi="宋体" w:cs="Arial"/>
          <w:color w:val="auto"/>
          <w:kern w:val="0"/>
          <w:sz w:val="24"/>
          <w:lang w:eastAsia="zh-CN"/>
        </w:rPr>
        <w:t>为阳城县人民及其他组织提供各类公证服务及办理公证业务。</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 xml:space="preserve">  二、机构设置情况</w:t>
      </w:r>
    </w:p>
    <w:p>
      <w:pPr>
        <w:pageBreakBefore w:val="0"/>
        <w:widowControl/>
        <w:shd w:val="clear" w:color="auto" w:fill="FFFFFF"/>
        <w:kinsoku/>
        <w:wordWrap/>
        <w:overflowPunct/>
        <w:topLinePunct w:val="0"/>
        <w:autoSpaceDE/>
        <w:autoSpaceDN/>
        <w:bidi w:val="0"/>
        <w:adjustRightInd/>
        <w:snapToGrid/>
        <w:spacing w:before="313" w:beforeLines="100" w:beforeAutospacing="0" w:after="157" w:afterLines="50" w:line="555" w:lineRule="atLeast"/>
        <w:ind w:firstLine="645"/>
        <w:jc w:val="left"/>
        <w:textAlignment w:val="auto"/>
        <w:rPr>
          <w:rFonts w:ascii="宋体" w:hAnsi="宋体" w:cs="Arial"/>
          <w:color w:val="auto"/>
          <w:kern w:val="0"/>
          <w:sz w:val="24"/>
        </w:rPr>
      </w:pPr>
      <w:r>
        <w:rPr>
          <w:rFonts w:ascii="宋体" w:hAnsi="宋体" w:cs="Arial"/>
          <w:color w:val="auto"/>
          <w:kern w:val="0"/>
          <w:sz w:val="24"/>
        </w:rPr>
        <w:t>从部门决算构成看，</w:t>
      </w:r>
      <w:r>
        <w:rPr>
          <w:rFonts w:hint="eastAsia" w:ascii="宋体" w:hAnsi="宋体" w:cs="Arial"/>
          <w:color w:val="auto"/>
          <w:kern w:val="0"/>
          <w:sz w:val="24"/>
          <w:lang w:eastAsia="zh-CN"/>
        </w:rPr>
        <w:t>山西省阳城县公证处</w:t>
      </w:r>
      <w:r>
        <w:rPr>
          <w:rFonts w:ascii="宋体" w:hAnsi="宋体" w:cs="Arial"/>
          <w:color w:val="auto"/>
          <w:kern w:val="0"/>
          <w:sz w:val="24"/>
        </w:rPr>
        <w:t>决算主要包括</w:t>
      </w:r>
      <w:r>
        <w:rPr>
          <w:rFonts w:hint="eastAsia" w:ascii="宋体" w:hAnsi="宋体" w:cs="Arial"/>
          <w:color w:val="auto"/>
          <w:kern w:val="0"/>
          <w:sz w:val="24"/>
          <w:lang w:eastAsia="zh-CN"/>
        </w:rPr>
        <w:t>山西省阳城县公证处</w:t>
      </w:r>
      <w:r>
        <w:rPr>
          <w:rFonts w:ascii="宋体" w:hAnsi="宋体" w:cs="Arial"/>
          <w:color w:val="auto"/>
          <w:kern w:val="0"/>
          <w:sz w:val="24"/>
        </w:rPr>
        <w:t>决算。</w:t>
      </w:r>
    </w:p>
    <w:p>
      <w:pPr>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第二部分  2021年度部门决算报表</w:t>
      </w:r>
    </w:p>
    <w:tbl>
      <w:tblPr>
        <w:tblStyle w:val="11"/>
        <w:tblpPr w:leftFromText="180" w:rightFromText="180" w:vertAnchor="text" w:tblpX="11731"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72" w:type="dxa"/>
            <w:noWrap w:val="0"/>
            <w:vAlign w:val="top"/>
          </w:tcPr>
          <w:p>
            <w:pPr>
              <w:numPr>
                <w:ilvl w:val="0"/>
                <w:numId w:val="1"/>
              </w:numPr>
              <w:autoSpaceDE w:val="0"/>
              <w:spacing w:before="100" w:beforeAutospacing="1" w:after="100" w:afterAutospacing="1" w:line="520" w:lineRule="exact"/>
              <w:ind w:left="278" w:leftChars="0" w:firstLineChars="0"/>
              <w:rPr>
                <w:rFonts w:hint="eastAsia"/>
                <w:sz w:val="24"/>
                <w:vertAlign w:val="baseline"/>
              </w:rPr>
            </w:pP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一、2021年收入支出决算总表</w:t>
      </w:r>
    </w:p>
    <w:tbl>
      <w:tblPr>
        <w:tblStyle w:val="10"/>
        <w:tblW w:w="4941" w:type="pct"/>
        <w:tblInd w:w="0" w:type="dxa"/>
        <w:tblLayout w:type="fixed"/>
        <w:tblCellMar>
          <w:top w:w="0" w:type="dxa"/>
          <w:left w:w="108" w:type="dxa"/>
          <w:bottom w:w="0" w:type="dxa"/>
          <w:right w:w="108" w:type="dxa"/>
        </w:tblCellMar>
      </w:tblPr>
      <w:tblGrid>
        <w:gridCol w:w="2854"/>
        <w:gridCol w:w="602"/>
        <w:gridCol w:w="2310"/>
        <w:gridCol w:w="2734"/>
        <w:gridCol w:w="660"/>
        <w:gridCol w:w="2260"/>
      </w:tblGrid>
      <w:tr>
        <w:tblPrEx>
          <w:tblCellMar>
            <w:top w:w="0" w:type="dxa"/>
            <w:left w:w="108" w:type="dxa"/>
            <w:bottom w:w="0" w:type="dxa"/>
            <w:right w:w="108" w:type="dxa"/>
          </w:tblCellMar>
        </w:tblPrEx>
        <w:trPr>
          <w:trHeight w:val="610" w:hRule="atLeast"/>
        </w:trPr>
        <w:tc>
          <w:tcPr>
            <w:tcW w:w="5000" w:type="pct"/>
            <w:gridSpan w:val="6"/>
            <w:tcBorders>
              <w:top w:val="nil"/>
              <w:left w:val="nil"/>
              <w:bottom w:val="nil"/>
              <w:right w:val="nil"/>
            </w:tcBorders>
            <w:noWrap/>
            <w:vAlign w:val="top"/>
          </w:tcPr>
          <w:p>
            <w:pPr>
              <w:jc w:val="center"/>
              <w:rPr>
                <w:rFonts w:hint="default" w:ascii="Arial" w:hAnsi="Arial" w:cs="Arial"/>
                <w:b/>
                <w:bCs/>
                <w:i w:val="0"/>
                <w:iCs w:val="0"/>
                <w:color w:val="000000"/>
                <w:sz w:val="21"/>
                <w:szCs w:val="21"/>
                <w:u w:val="none"/>
              </w:rPr>
            </w:pPr>
            <w:r>
              <w:rPr>
                <w:rFonts w:hint="eastAsia" w:ascii="宋体" w:hAnsi="宋体" w:cs="宋体"/>
                <w:b/>
                <w:bCs/>
                <w:i w:val="0"/>
                <w:iCs w:val="0"/>
                <w:color w:val="000000"/>
                <w:kern w:val="0"/>
                <w:sz w:val="32"/>
                <w:szCs w:val="32"/>
                <w:u w:val="none"/>
                <w:lang w:val="en-US" w:eastAsia="zh-CN" w:bidi="ar"/>
              </w:rPr>
              <w:t>2021年</w:t>
            </w:r>
            <w:r>
              <w:rPr>
                <w:rFonts w:hint="eastAsia" w:ascii="宋体" w:hAnsi="宋体" w:eastAsia="宋体" w:cs="宋体"/>
                <w:b/>
                <w:bCs/>
                <w:i w:val="0"/>
                <w:iCs w:val="0"/>
                <w:color w:val="000000"/>
                <w:kern w:val="0"/>
                <w:sz w:val="32"/>
                <w:szCs w:val="32"/>
                <w:u w:val="none"/>
                <w:lang w:val="en-US" w:eastAsia="zh-CN" w:bidi="ar"/>
              </w:rPr>
              <w:t>收入支出决算总表</w:t>
            </w:r>
          </w:p>
        </w:tc>
      </w:tr>
      <w:tr>
        <w:tblPrEx>
          <w:tblCellMar>
            <w:top w:w="0" w:type="dxa"/>
            <w:left w:w="108" w:type="dxa"/>
            <w:bottom w:w="0" w:type="dxa"/>
            <w:right w:w="108" w:type="dxa"/>
          </w:tblCellMar>
        </w:tblPrEx>
        <w:trPr>
          <w:trHeight w:val="305" w:hRule="atLeast"/>
        </w:trPr>
        <w:tc>
          <w:tcPr>
            <w:tcW w:w="1249"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263"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1011"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1197"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288"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989" w:type="pct"/>
            <w:tcBorders>
              <w:top w:val="nil"/>
              <w:left w:val="nil"/>
              <w:bottom w:val="nil"/>
              <w:right w:val="nil"/>
            </w:tcBorders>
            <w:noWrap/>
            <w:vAlign w:val="top"/>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610" w:hRule="atLeast"/>
        </w:trPr>
        <w:tc>
          <w:tcPr>
            <w:tcW w:w="2524" w:type="pct"/>
            <w:gridSpan w:val="3"/>
            <w:tcBorders>
              <w:top w:val="nil"/>
              <w:left w:val="nil"/>
              <w:bottom w:val="nil"/>
              <w:right w:val="nil"/>
            </w:tcBorders>
            <w:noWrap/>
            <w:vAlign w:val="top"/>
          </w:tcPr>
          <w:p>
            <w:pPr>
              <w:keepNext w:val="0"/>
              <w:keepLines w:val="0"/>
              <w:widowControl/>
              <w:suppressLineNumbers w:val="0"/>
              <w:jc w:val="both"/>
              <w:textAlignment w:val="bottom"/>
              <w:rPr>
                <w:rFonts w:hint="eastAsia" w:ascii="宋体" w:hAnsi="宋体" w:eastAsia="宋体" w:cs="宋体"/>
                <w:i w:val="0"/>
                <w:iCs w:val="0"/>
                <w:color w:val="000000"/>
                <w:kern w:val="0"/>
                <w:sz w:val="20"/>
                <w:szCs w:val="20"/>
                <w:u w:val="none"/>
                <w:lang w:val="en-US" w:eastAsia="zh-CN" w:bidi="ar"/>
              </w:rPr>
            </w:pPr>
          </w:p>
          <w:p>
            <w:pPr>
              <w:jc w:val="both"/>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山西省阳城县公证处</w:t>
            </w:r>
          </w:p>
        </w:tc>
        <w:tc>
          <w:tcPr>
            <w:tcW w:w="1197"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288" w:type="pct"/>
            <w:tcBorders>
              <w:top w:val="nil"/>
              <w:left w:val="nil"/>
              <w:bottom w:val="nil"/>
              <w:right w:val="nil"/>
            </w:tcBorders>
            <w:noWrap/>
            <w:vAlign w:val="top"/>
          </w:tcPr>
          <w:p>
            <w:pPr>
              <w:jc w:val="both"/>
              <w:rPr>
                <w:rFonts w:hint="default" w:ascii="Arial" w:hAnsi="Arial" w:cs="Arial"/>
                <w:i w:val="0"/>
                <w:iCs w:val="0"/>
                <w:color w:val="000000"/>
                <w:sz w:val="20"/>
                <w:szCs w:val="20"/>
                <w:u w:val="none"/>
              </w:rPr>
            </w:pPr>
          </w:p>
        </w:tc>
        <w:tc>
          <w:tcPr>
            <w:tcW w:w="989" w:type="pct"/>
            <w:tcBorders>
              <w:top w:val="nil"/>
              <w:left w:val="nil"/>
              <w:bottom w:val="nil"/>
              <w:right w:val="nil"/>
            </w:tcBorders>
            <w:noWrap/>
            <w:vAlign w:val="top"/>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19" w:hRule="atLeast"/>
        </w:trPr>
        <w:tc>
          <w:tcPr>
            <w:tcW w:w="252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75" w:type="pct"/>
            <w:gridSpan w:val="3"/>
            <w:tcBorders>
              <w:top w:val="single" w:color="000000" w:sz="4" w:space="0"/>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11"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89"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319"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3" w:type="pct"/>
            <w:tcBorders>
              <w:top w:val="nil"/>
              <w:left w:val="nil"/>
              <w:bottom w:val="single" w:color="000000" w:sz="4" w:space="0"/>
              <w:right w:val="single" w:color="000000" w:sz="4" w:space="0"/>
            </w:tcBorders>
            <w:shd w:val="clear" w:color="FFFFFF" w:fill="C0C0C0"/>
            <w:noWrap/>
            <w:vAlign w:val="center"/>
          </w:tcPr>
          <w:p>
            <w:pPr>
              <w:jc w:val="both"/>
              <w:rPr>
                <w:rFonts w:hint="eastAsia" w:ascii="宋体" w:hAnsi="宋体" w:eastAsia="宋体" w:cs="宋体"/>
                <w:i w:val="0"/>
                <w:iCs w:val="0"/>
                <w:color w:val="000000"/>
                <w:sz w:val="22"/>
                <w:szCs w:val="22"/>
                <w:u w:val="none"/>
              </w:rPr>
            </w:pPr>
          </w:p>
        </w:tc>
        <w:tc>
          <w:tcPr>
            <w:tcW w:w="1011"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88" w:type="pct"/>
            <w:tcBorders>
              <w:top w:val="nil"/>
              <w:left w:val="nil"/>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989"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177,092.57</w:t>
            </w:r>
          </w:p>
        </w:tc>
      </w:tr>
      <w:tr>
        <w:tblPrEx>
          <w:tblCellMar>
            <w:top w:w="0" w:type="dxa"/>
            <w:left w:w="108" w:type="dxa"/>
            <w:bottom w:w="0" w:type="dxa"/>
            <w:right w:w="108" w:type="dxa"/>
          </w:tblCellMar>
        </w:tblPrEx>
        <w:trPr>
          <w:trHeight w:val="925"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25"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46"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184,123.88</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十六、金融支出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b/>
                <w:bCs/>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184,123.88</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本年支出合计</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177,092.57</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结余分配</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年末结转和结余</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031.31</w:t>
            </w: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jc w:val="both"/>
              <w:rPr>
                <w:rFonts w:hint="eastAsia" w:ascii="宋体" w:hAnsi="宋体" w:eastAsia="宋体" w:cs="宋体"/>
                <w:i w:val="0"/>
                <w:iCs w:val="0"/>
                <w:color w:val="000000"/>
                <w:sz w:val="22"/>
                <w:szCs w:val="22"/>
                <w:u w:val="none"/>
              </w:rPr>
            </w:pPr>
          </w:p>
        </w:tc>
        <w:tc>
          <w:tcPr>
            <w:tcW w:w="2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1249" w:type="pct"/>
            <w:tcBorders>
              <w:top w:val="nil"/>
              <w:left w:val="single" w:color="000000" w:sz="4" w:space="0"/>
              <w:bottom w:val="single" w:color="000000" w:sz="4" w:space="0"/>
              <w:right w:val="single" w:color="000000" w:sz="4" w:space="0"/>
            </w:tcBorders>
            <w:shd w:val="clear" w:color="FFFFFF" w:fill="C0C0C0"/>
            <w:noWrap/>
            <w:vAlign w:val="top"/>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63"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011" w:type="pct"/>
            <w:tcBorders>
              <w:top w:val="nil"/>
              <w:left w:val="nil"/>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184,123.88</w:t>
            </w:r>
          </w:p>
        </w:tc>
        <w:tc>
          <w:tcPr>
            <w:tcW w:w="1197"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总计</w:t>
            </w:r>
          </w:p>
        </w:tc>
        <w:tc>
          <w:tcPr>
            <w:tcW w:w="288" w:type="pct"/>
            <w:tcBorders>
              <w:top w:val="nil"/>
              <w:left w:val="nil"/>
              <w:bottom w:val="single" w:color="000000" w:sz="4" w:space="0"/>
              <w:right w:val="single" w:color="000000" w:sz="4" w:space="0"/>
            </w:tcBorders>
            <w:shd w:val="clear" w:color="FFFFFF" w:fill="C0C0C0"/>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989" w:type="pct"/>
            <w:tcBorders>
              <w:top w:val="nil"/>
              <w:left w:val="nil"/>
              <w:bottom w:val="single" w:color="000000" w:sz="4" w:space="0"/>
              <w:right w:val="single" w:color="000000" w:sz="4" w:space="0"/>
            </w:tcBorders>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184,123.88</w:t>
            </w:r>
          </w:p>
        </w:tc>
      </w:tr>
      <w:tr>
        <w:tblPrEx>
          <w:tblCellMar>
            <w:top w:w="0" w:type="dxa"/>
            <w:left w:w="108" w:type="dxa"/>
            <w:bottom w:w="0" w:type="dxa"/>
            <w:right w:w="108" w:type="dxa"/>
          </w:tblCellMar>
        </w:tblPrEx>
        <w:trPr>
          <w:trHeight w:val="339" w:hRule="atLeast"/>
        </w:trPr>
        <w:tc>
          <w:tcPr>
            <w:tcW w:w="5000" w:type="pct"/>
            <w:gridSpan w:val="6"/>
            <w:tcBorders>
              <w:top w:val="nil"/>
              <w:left w:val="nil"/>
              <w:bottom w:val="nil"/>
              <w:right w:val="nil"/>
            </w:tcBorders>
            <w:noWrap/>
            <w:vAlign w:val="top"/>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二、2021年收入决算表</w:t>
      </w:r>
    </w:p>
    <w:p>
      <w:pPr>
        <w:ind w:left="0" w:leftChars="0" w:firstLine="0" w:firstLineChars="0"/>
        <w:jc w:val="left"/>
        <w:rPr>
          <w:rFonts w:hint="eastAsia" w:ascii="Times New Roman" w:hAnsi="Times New Roman" w:eastAsia="宋体" w:cs="Times New Roman"/>
          <w:b w:val="0"/>
          <w:bCs/>
          <w:kern w:val="2"/>
          <w:sz w:val="28"/>
          <w:szCs w:val="24"/>
          <w:lang w:val="en-US" w:eastAsia="zh-CN" w:bidi="ar-SA"/>
        </w:rPr>
      </w:pPr>
      <w:r>
        <w:rPr>
          <w:rFonts w:hint="eastAsia" w:ascii="宋体" w:hAnsi="宋体" w:cs="宋体"/>
          <w:sz w:val="24"/>
        </w:rPr>
        <w:object>
          <v:shape id="_x0000_i1025" o:spt="75" type="#_x0000_t75" style="height:174.9pt;width:566.4pt;" o:ole="t" filled="f" o:preferrelative="t" stroked="f" coordsize="21600,21600">
            <v:path/>
            <v:fill on="f" focussize="0,0"/>
            <v:stroke on="f"/>
            <v:imagedata r:id="rId8" o:title=""/>
            <o:lock v:ext="edit" aspectratio="f"/>
            <w10:wrap type="none"/>
            <w10:anchorlock/>
          </v:shape>
          <o:OLEObject Type="Embed" ProgID="Excel.Sheet.8" ShapeID="_x0000_i1025" DrawAspect="Content" ObjectID="_1468075725" r:id="rId7">
            <o:LockedField>false</o:LockedField>
          </o:OLEObject>
        </w:object>
      </w: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三、2021年支出决算表</w:t>
      </w:r>
    </w:p>
    <w:p>
      <w:pPr>
        <w:ind w:left="0" w:leftChars="0" w:firstLine="0" w:firstLineChars="0"/>
        <w:jc w:val="left"/>
        <w:rPr>
          <w:rFonts w:hint="eastAsia" w:ascii="Times New Roman" w:hAnsi="Times New Roman" w:eastAsia="宋体" w:cs="Times New Roman"/>
          <w:b w:val="0"/>
          <w:bCs/>
          <w:kern w:val="2"/>
          <w:sz w:val="28"/>
          <w:szCs w:val="24"/>
          <w:lang w:val="en-US" w:eastAsia="zh-CN" w:bidi="ar-SA"/>
        </w:rPr>
      </w:pPr>
      <w:r>
        <w:rPr>
          <w:rFonts w:hint="eastAsia" w:ascii="宋体" w:hAnsi="宋体" w:cs="宋体"/>
          <w:sz w:val="24"/>
        </w:rPr>
        <w:object>
          <v:shape id="_x0000_i1026" o:spt="75" type="#_x0000_t75" style="height:194.95pt;width:566.45pt;" o:ole="t" filled="f" o:preferrelative="t" stroked="f" coordsize="21600,21600">
            <v:path/>
            <v:fill on="f" focussize="0,0"/>
            <v:stroke on="f"/>
            <v:imagedata r:id="rId10" o:title=""/>
            <o:lock v:ext="edit" aspectratio="f"/>
            <w10:wrap type="none"/>
            <w10:anchorlock/>
          </v:shape>
          <o:OLEObject Type="Embed" ProgID="Excel.Sheet.8" ShapeID="_x0000_i1026" DrawAspect="Content" ObjectID="_1468075726" r:id="rId9">
            <o:LockedField>false</o:LockedField>
          </o:OLEObject>
        </w:object>
      </w:r>
      <w:r>
        <w:rPr>
          <w:rFonts w:hint="eastAsia" w:ascii="宋体" w:hAnsi="宋体" w:cs="宋体"/>
          <w:sz w:val="24"/>
          <w:lang w:val="en-US" w:eastAsia="zh-CN"/>
        </w:rPr>
        <w:t xml:space="preserve"> </w:t>
      </w:r>
      <w:r>
        <w:rPr>
          <w:rFonts w:hint="eastAsia" w:ascii="宋体" w:hAnsi="宋体" w:cs="宋体"/>
          <w:b w:val="0"/>
          <w:bCs w:val="0"/>
          <w:sz w:val="24"/>
          <w:szCs w:val="24"/>
          <w:lang w:val="en-US" w:eastAsia="zh-CN"/>
        </w:rPr>
        <w:t xml:space="preserve"> 四、2021年财政拨款收入支出决算总表</w:t>
      </w:r>
    </w:p>
    <w:p>
      <w:pPr>
        <w:ind w:left="0" w:leftChars="0" w:firstLine="0" w:firstLineChars="0"/>
        <w:jc w:val="left"/>
        <w:rPr>
          <w:rFonts w:hint="eastAsia" w:ascii="Times New Roman" w:hAnsi="Times New Roman" w:eastAsia="宋体" w:cs="Times New Roman"/>
          <w:b w:val="0"/>
          <w:bCs/>
          <w:kern w:val="2"/>
          <w:sz w:val="28"/>
          <w:szCs w:val="24"/>
          <w:lang w:val="en-US" w:eastAsia="zh-CN" w:bidi="ar-SA"/>
        </w:rPr>
      </w:pPr>
    </w:p>
    <w:p>
      <w:pPr>
        <w:pStyle w:val="4"/>
        <w:keepNext/>
        <w:keepLines/>
        <w:pageBreakBefore w:val="0"/>
        <w:widowControl w:val="0"/>
        <w:numPr>
          <w:ilvl w:val="0"/>
          <w:numId w:val="0"/>
        </w:numPr>
        <w:kinsoku/>
        <w:wordWrap/>
        <w:overflowPunct/>
        <w:topLinePunct w:val="0"/>
        <w:autoSpaceDE/>
        <w:autoSpaceDN/>
        <w:bidi w:val="0"/>
        <w:adjustRightInd/>
        <w:snapToGrid/>
        <w:spacing w:before="313" w:beforeLines="100" w:beforeAutospacing="0" w:after="313" w:afterLines="100" w:line="413" w:lineRule="auto"/>
        <w:ind w:right="420" w:rightChars="200" w:firstLine="482" w:firstLineChars="200"/>
        <w:textAlignment w:val="auto"/>
        <w:rPr>
          <w:rFonts w:hint="eastAsia"/>
          <w:b w:val="0"/>
          <w:bCs/>
          <w:lang w:val="en-US" w:eastAsia="zh-CN"/>
        </w:rPr>
      </w:pPr>
      <w:r>
        <w:rPr>
          <w:rFonts w:hint="eastAsia" w:ascii="宋体" w:hAnsi="宋体" w:cs="宋体"/>
          <w:sz w:val="24"/>
        </w:rPr>
        <w:object>
          <v:shape id="_x0000_i1027" o:spt="75" type="#_x0000_t75" style="height:397.5pt;width:542.8pt;" o:ole="t" filled="f" o:preferrelative="t" stroked="f" coordsize="21600,21600">
            <v:path/>
            <v:fill on="f" focussize="0,0"/>
            <v:stroke on="f"/>
            <v:imagedata r:id="rId12" o:title=""/>
            <o:lock v:ext="edit" aspectratio="f"/>
            <w10:wrap type="none"/>
            <w10:anchorlock/>
          </v:shape>
          <o:OLEObject Type="Embed" ProgID="Excel.Sheet.8" ShapeID="_x0000_i1027" DrawAspect="Content" ObjectID="_1468075727" r:id="rId11">
            <o:LockedField>false</o:LockedField>
          </o:OLEObject>
        </w:object>
      </w:r>
      <w:r>
        <w:rPr>
          <w:rFonts w:hint="eastAsia" w:ascii="宋体" w:hAnsi="宋体" w:cs="宋体"/>
          <w:sz w:val="24"/>
          <w:lang w:val="en-US" w:eastAsia="zh-CN"/>
        </w:rPr>
        <w:t xml:space="preserve">   </w:t>
      </w:r>
      <w:r>
        <w:rPr>
          <w:rFonts w:hint="eastAsia" w:ascii="宋体" w:hAnsi="宋体" w:eastAsia="宋体" w:cs="宋体"/>
          <w:b w:val="0"/>
          <w:bCs w:val="0"/>
          <w:kern w:val="2"/>
          <w:sz w:val="24"/>
          <w:szCs w:val="24"/>
          <w:lang w:val="en-US" w:eastAsia="zh-CN" w:bidi="ar-SA"/>
        </w:rPr>
        <w:t>五、2021年一般公共预算财政拨款支出决算表（一）</w:t>
      </w:r>
    </w:p>
    <w:p>
      <w:pPr>
        <w:ind w:left="0" w:leftChars="0" w:firstLine="0" w:firstLineChars="0"/>
        <w:jc w:val="center"/>
        <w:rPr>
          <w:rFonts w:hint="eastAsia" w:ascii="宋体" w:hAnsi="宋体" w:cs="宋体"/>
          <w:sz w:val="24"/>
        </w:rPr>
      </w:pPr>
      <w:r>
        <w:rPr>
          <w:rFonts w:hint="eastAsia" w:ascii="宋体" w:hAnsi="宋体" w:cs="宋体"/>
          <w:sz w:val="24"/>
        </w:rPr>
        <w:object>
          <v:shape id="_x0000_i1028" o:spt="75" type="#_x0000_t75" style="height:162.9pt;width:507.7pt;" o:ole="t" filled="f" o:preferrelative="t" stroked="f" coordsize="21600,21600">
            <v:path/>
            <v:fill on="f" focussize="0,0"/>
            <v:stroke on="f"/>
            <v:imagedata r:id="rId14" o:title=""/>
            <o:lock v:ext="edit" aspectratio="f"/>
            <w10:wrap type="none"/>
            <w10:anchorlock/>
          </v:shape>
          <o:OLEObject Type="Embed" ProgID="Excel.Sheet.8" ShapeID="_x0000_i1028" DrawAspect="Content" ObjectID="_1468075728" r:id="rId13">
            <o:LockedField>false</o:LockedField>
          </o:OLEObject>
        </w:object>
      </w:r>
    </w:p>
    <w:p>
      <w:pPr>
        <w:jc w:val="center"/>
        <w:rPr>
          <w:rFonts w:hint="eastAsia" w:ascii="宋体" w:hAnsi="宋体" w:cs="宋体"/>
          <w:sz w:val="24"/>
        </w:rPr>
      </w:pPr>
    </w:p>
    <w:p>
      <w:pPr>
        <w:jc w:val="center"/>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六、2021年一般公共预算财政拨款支出决算表（二）</w:t>
      </w:r>
    </w:p>
    <w:p>
      <w:pPr>
        <w:ind w:left="0" w:leftChars="0" w:firstLine="0" w:firstLineChars="0"/>
        <w:jc w:val="center"/>
        <w:rPr>
          <w:rFonts w:hint="eastAsia" w:ascii="宋体" w:hAnsi="宋体" w:cs="宋体"/>
          <w:sz w:val="24"/>
        </w:rPr>
      </w:pPr>
      <w:r>
        <w:rPr>
          <w:rFonts w:hint="eastAsia" w:ascii="宋体" w:hAnsi="宋体" w:cs="宋体"/>
          <w:sz w:val="24"/>
        </w:rPr>
        <w:object>
          <v:shape id="_x0000_i1029" o:spt="75" type="#_x0000_t75" style="height:181.9pt;width:565.95pt;" o:ole="t" filled="f" o:preferrelative="t" stroked="f" coordsize="21600,21600">
            <v:path/>
            <v:fill on="f" focussize="0,0"/>
            <v:stroke on="f"/>
            <v:imagedata r:id="rId16" o:title=""/>
            <o:lock v:ext="edit" aspectratio="f"/>
            <w10:wrap type="none"/>
            <w10:anchorlock/>
          </v:shape>
          <o:OLEObject Type="Embed" ProgID="Excel.Sheet.8" ShapeID="_x0000_i1029" DrawAspect="Content" ObjectID="_1468075729" r:id="rId15">
            <o:LockedField>false</o:LockedField>
          </o:OLEObject>
        </w:objec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七、2021年一般公共预算财政拨款“三公”经费支出决算表</w:t>
      </w:r>
    </w:p>
    <w:p>
      <w:pPr>
        <w:ind w:left="0" w:leftChars="0" w:firstLine="0" w:firstLineChars="0"/>
        <w:jc w:val="center"/>
        <w:rPr>
          <w:rFonts w:hint="eastAsia" w:ascii="宋体" w:hAnsi="宋体" w:cs="宋体"/>
          <w:sz w:val="24"/>
        </w:rPr>
      </w:pPr>
      <w:r>
        <w:rPr>
          <w:rFonts w:hint="eastAsia" w:ascii="宋体" w:hAnsi="宋体" w:cs="宋体"/>
          <w:sz w:val="24"/>
        </w:rPr>
        <w:object>
          <v:shape id="_x0000_i1030" o:spt="75" type="#_x0000_t75" style="height:116.9pt;width:566.5pt;" o:ole="t" filled="f" o:preferrelative="t" stroked="f" coordsize="21600,21600">
            <v:path/>
            <v:fill on="f" focussize="0,0"/>
            <v:stroke on="f"/>
            <v:imagedata r:id="rId18" o:title=""/>
            <o:lock v:ext="edit" aspectratio="f"/>
            <w10:wrap type="none"/>
            <w10:anchorlock/>
          </v:shape>
          <o:OLEObject Type="Embed" ProgID="Excel.Sheet.8" ShapeID="_x0000_i1030" DrawAspect="Content" ObjectID="_1468075730" r:id="rId17">
            <o:LockedField>false</o:LockedField>
          </o:OLEObject>
        </w:objec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八、2021年政府性基金预算财政拨款收入支出决算表</w:t>
      </w:r>
    </w:p>
    <w:p>
      <w:pPr>
        <w:ind w:left="0" w:leftChars="0" w:firstLine="0" w:firstLineChars="0"/>
        <w:jc w:val="center"/>
        <w:rPr>
          <w:rFonts w:hint="eastAsia" w:ascii="宋体" w:hAnsi="宋体" w:eastAsia="宋体" w:cs="宋体"/>
          <w:b/>
          <w:bCs/>
          <w:i w:val="0"/>
          <w:iCs w:val="0"/>
          <w:color w:val="000000"/>
          <w:kern w:val="0"/>
          <w:sz w:val="30"/>
          <w:szCs w:val="30"/>
          <w:u w:val="none"/>
          <w:lang w:val="en-US" w:eastAsia="zh-CN" w:bidi="ar"/>
        </w:rPr>
      </w:pPr>
      <w:r>
        <w:rPr>
          <w:rFonts w:hint="eastAsia" w:ascii="宋体" w:hAnsi="宋体" w:cs="宋体"/>
          <w:sz w:val="24"/>
        </w:rPr>
        <w:object>
          <v:shape id="_x0000_i1031" o:spt="75" type="#_x0000_t75" style="height:182.35pt;width:566.8pt;" o:ole="t" filled="f" o:preferrelative="t" stroked="f" coordsize="21600,21600">
            <v:path/>
            <v:fill on="f" focussize="0,0"/>
            <v:stroke on="f"/>
            <v:imagedata r:id="rId20" o:title=""/>
            <o:lock v:ext="edit" aspectratio="f"/>
            <w10:wrap type="none"/>
            <w10:anchorlock/>
          </v:shape>
          <o:OLEObject Type="Embed" ProgID="Excel.Sheet.8" ShapeID="_x0000_i1031" DrawAspect="Content" ObjectID="_1468075731" r:id="rId19">
            <o:LockedField>false</o:LockedField>
          </o:OLEObject>
        </w:objec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九、2021年国有资本经营预算财政拨款支出决算表</w:t>
      </w:r>
    </w:p>
    <w:p>
      <w:pPr>
        <w:ind w:left="0" w:leftChars="0" w:firstLine="0" w:firstLineChars="0"/>
        <w:jc w:val="center"/>
        <w:rPr>
          <w:rFonts w:hint="eastAsia" w:ascii="宋体" w:hAnsi="宋体" w:cs="宋体"/>
          <w:sz w:val="24"/>
        </w:rPr>
      </w:pPr>
      <w:r>
        <w:rPr>
          <w:rFonts w:hint="eastAsia" w:ascii="宋体" w:hAnsi="宋体" w:cs="宋体"/>
          <w:sz w:val="24"/>
        </w:rPr>
        <w:object>
          <v:shape id="_x0000_i1032" o:spt="75" type="#_x0000_t75" style="height:219.5pt;width:476.75pt;" o:ole="t" filled="f" o:preferrelative="t" stroked="f" coordsize="21600,21600">
            <v:path/>
            <v:fill on="f" focussize="0,0"/>
            <v:stroke on="f"/>
            <v:imagedata r:id="rId22" o:title=""/>
            <o:lock v:ext="edit" aspectratio="f"/>
            <w10:wrap type="none"/>
            <w10:anchorlock/>
          </v:shape>
          <o:OLEObject Type="Embed" ProgID="Excel.Sheet.8" ShapeID="_x0000_i1032" DrawAspect="Content" ObjectID="_1468075732" r:id="rId21">
            <o:LockedField>false</o:LockedField>
          </o:OLEObject>
        </w:objec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十、2021年部门决算公开相关信息统计表</w:t>
      </w:r>
    </w:p>
    <w:p>
      <w:pPr>
        <w:ind w:left="0" w:leftChars="0" w:firstLine="0" w:firstLineChars="0"/>
        <w:jc w:val="center"/>
        <w:rPr>
          <w:rFonts w:hint="eastAsia" w:ascii="宋体" w:hAnsi="宋体" w:cs="宋体"/>
          <w:sz w:val="24"/>
        </w:rPr>
      </w:pPr>
      <w:r>
        <w:rPr>
          <w:rFonts w:hint="eastAsia"/>
          <w:b/>
          <w:bCs/>
          <w:sz w:val="32"/>
          <w:szCs w:val="40"/>
          <w:lang w:val="en-US" w:eastAsia="zh-CN"/>
        </w:rPr>
        <w:object>
          <v:shape id="_x0000_i1033" o:spt="75" type="#_x0000_t75" style="height:370.85pt;width:449.5pt;" o:ole="t" filled="f" o:preferrelative="t" stroked="f" coordsize="21600,21600">
            <v:path/>
            <v:fill on="f" focussize="0,0"/>
            <v:stroke on="f"/>
            <v:imagedata r:id="rId24" o:title=""/>
            <o:lock v:ext="edit" aspectratio="f"/>
            <w10:wrap type="none"/>
            <w10:anchorlock/>
          </v:shape>
          <o:OLEObject Type="Embed" ProgID="Excel.Sheet.8" ShapeID="_x0000_i1033" DrawAspect="Content" ObjectID="_1468075733" r:id="rId23">
            <o:LockedField>false</o:LockedField>
          </o:OLEObject>
        </w:object>
      </w:r>
    </w:p>
    <w:p>
      <w:pPr>
        <w:jc w:val="center"/>
        <w:rPr>
          <w:rFonts w:hint="eastAsia" w:ascii="宋体" w:hAnsi="宋体" w:eastAsia="宋体" w:cs="宋体"/>
          <w:b/>
          <w:bCs/>
          <w:kern w:val="2"/>
          <w:sz w:val="28"/>
          <w:szCs w:val="28"/>
          <w:lang w:val="en-US" w:eastAsia="zh-CN" w:bidi="ar-SA"/>
        </w:rPr>
      </w:pPr>
      <w:bookmarkStart w:id="2" w:name="_Toc3029"/>
      <w:bookmarkStart w:id="3" w:name="_Toc23971"/>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_Toc450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kern w:val="2"/>
          <w:sz w:val="28"/>
          <w:szCs w:val="28"/>
          <w:lang w:val="en-US" w:eastAsia="zh-CN" w:bidi="ar-SA"/>
        </w:rPr>
        <w:t>第三部分 2021年部门决算情况说明</w:t>
      </w:r>
      <w:r>
        <w:rPr>
          <w:rFonts w:hint="eastAsia" w:ascii="宋体" w:hAnsi="宋体" w:eastAsia="宋体" w:cs="宋体"/>
          <w:b/>
          <w:bCs/>
          <w:kern w:val="2"/>
          <w:sz w:val="28"/>
          <w:szCs w:val="28"/>
          <w:lang w:val="en-US" w:eastAsia="zh-CN" w:bidi="ar-SA"/>
        </w:rPr>
        <w:fldChar w:fldCharType="end"/>
      </w:r>
    </w:p>
    <w:bookmarkEnd w:id="2"/>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fldChar w:fldCharType="begin"/>
      </w:r>
      <w:r>
        <w:rPr>
          <w:rFonts w:hint="eastAsia" w:ascii="宋体" w:hAnsi="宋体" w:cs="宋体"/>
          <w:b w:val="0"/>
          <w:bCs w:val="0"/>
          <w:sz w:val="24"/>
          <w:szCs w:val="24"/>
          <w:lang w:val="en-US" w:eastAsia="zh-CN"/>
        </w:rPr>
        <w:instrText xml:space="preserve"> HYPERLINK \l _Toc12907 </w:instrText>
      </w:r>
      <w:r>
        <w:rPr>
          <w:rFonts w:hint="eastAsia" w:ascii="宋体" w:hAnsi="宋体" w:cs="宋体"/>
          <w:b w:val="0"/>
          <w:bCs w:val="0"/>
          <w:sz w:val="24"/>
          <w:szCs w:val="24"/>
          <w:lang w:val="en-US" w:eastAsia="zh-CN"/>
        </w:rPr>
        <w:fldChar w:fldCharType="separate"/>
      </w:r>
      <w:r>
        <w:rPr>
          <w:rFonts w:hint="eastAsia" w:ascii="宋体" w:hAnsi="宋体" w:cs="宋体"/>
          <w:b w:val="0"/>
          <w:bCs w:val="0"/>
          <w:sz w:val="24"/>
          <w:szCs w:val="24"/>
          <w:lang w:val="en-US" w:eastAsia="zh-CN"/>
        </w:rPr>
        <w:t>一、2021年度部门决算收支增减变动情况及原因说明</w:t>
      </w:r>
      <w:r>
        <w:rPr>
          <w:rFonts w:hint="eastAsia" w:ascii="宋体" w:hAnsi="宋体" w:cs="宋体"/>
          <w:b w:val="0"/>
          <w:bCs w:val="0"/>
          <w:sz w:val="24"/>
          <w:szCs w:val="24"/>
          <w:lang w:val="en-US" w:eastAsia="zh-CN"/>
        </w:rPr>
        <w:fldChar w:fldCharType="end"/>
      </w:r>
    </w:p>
    <w:p>
      <w:pPr>
        <w:pageBreakBefore w:val="0"/>
        <w:widowControl/>
        <w:shd w:val="clear" w:color="auto" w:fill="FFFFFF"/>
        <w:kinsoku/>
        <w:wordWrap/>
        <w:overflowPunct/>
        <w:topLinePunct w:val="0"/>
        <w:autoSpaceDE/>
        <w:autoSpaceDN/>
        <w:bidi w:val="0"/>
        <w:adjustRightInd/>
        <w:snapToGrid/>
        <w:spacing w:before="313" w:beforeLines="100" w:beforeAutospacing="0" w:after="157" w:afterLines="50" w:line="555" w:lineRule="atLeast"/>
        <w:ind w:firstLine="645"/>
        <w:jc w:val="left"/>
        <w:textAlignment w:val="auto"/>
        <w:rPr>
          <w:rFonts w:hint="eastAsia"/>
          <w:lang w:val="en-US" w:eastAsia="zh-CN"/>
        </w:rPr>
      </w:pPr>
      <w:r>
        <w:rPr>
          <w:rFonts w:hint="eastAsia" w:ascii="宋体" w:hAnsi="宋体" w:cs="Arial"/>
          <w:color w:val="auto"/>
          <w:kern w:val="0"/>
          <w:sz w:val="24"/>
        </w:rPr>
        <w:t>本年度决算收到</w:t>
      </w:r>
      <w:r>
        <w:rPr>
          <w:rFonts w:hint="eastAsia" w:ascii="宋体" w:hAnsi="宋体" w:cs="Arial"/>
          <w:color w:val="auto"/>
          <w:kern w:val="0"/>
          <w:sz w:val="24"/>
          <w:lang w:eastAsia="zh-CN"/>
        </w:rPr>
        <w:t>事业收入</w:t>
      </w:r>
      <w:r>
        <w:rPr>
          <w:rFonts w:hint="eastAsia" w:ascii="宋体" w:hAnsi="宋体" w:cs="Arial"/>
          <w:color w:val="auto"/>
          <w:kern w:val="0"/>
          <w:sz w:val="24"/>
        </w:rPr>
        <w:t>184123.88元，</w:t>
      </w:r>
      <w:r>
        <w:rPr>
          <w:rFonts w:hint="eastAsia" w:ascii="宋体" w:hAnsi="宋体" w:cs="Arial"/>
          <w:color w:val="auto"/>
          <w:kern w:val="0"/>
          <w:sz w:val="24"/>
          <w:lang w:eastAsia="zh-CN"/>
        </w:rPr>
        <w:t>其主要收入为公证费收入</w:t>
      </w:r>
      <w:r>
        <w:rPr>
          <w:rFonts w:hint="eastAsia" w:ascii="宋体" w:hAnsi="宋体" w:cs="Arial"/>
          <w:color w:val="auto"/>
          <w:kern w:val="0"/>
          <w:sz w:val="24"/>
          <w:lang w:val="en-US" w:eastAsia="zh-CN"/>
        </w:rPr>
        <w:t>。</w:t>
      </w:r>
      <w:r>
        <w:rPr>
          <w:rFonts w:hint="eastAsia" w:ascii="宋体" w:hAnsi="宋体" w:cs="Arial"/>
          <w:color w:val="auto"/>
          <w:kern w:val="0"/>
          <w:sz w:val="24"/>
        </w:rPr>
        <w:t>与财政部门对账</w:t>
      </w:r>
      <w:r>
        <w:rPr>
          <w:rFonts w:hint="eastAsia" w:ascii="宋体" w:hAnsi="宋体" w:cs="Arial"/>
          <w:color w:val="auto"/>
          <w:kern w:val="0"/>
          <w:sz w:val="24"/>
          <w:lang w:val="en-US" w:eastAsia="zh-CN"/>
        </w:rPr>
        <w:t>184123.88</w:t>
      </w:r>
      <w:r>
        <w:rPr>
          <w:rFonts w:hint="eastAsia" w:ascii="宋体" w:hAnsi="宋体" w:cs="Arial"/>
          <w:color w:val="auto"/>
          <w:kern w:val="0"/>
          <w:sz w:val="24"/>
        </w:rPr>
        <w:t>元，核对无差异</w:t>
      </w:r>
      <w:r>
        <w:rPr>
          <w:rFonts w:hint="eastAsia" w:ascii="宋体" w:hAnsi="宋体" w:cs="Arial"/>
          <w:color w:val="auto"/>
          <w:kern w:val="0"/>
          <w:sz w:val="24"/>
          <w:lang w:eastAsia="zh-CN"/>
        </w:rPr>
        <w:t>。</w:t>
      </w:r>
      <w:r>
        <w:rPr>
          <w:rFonts w:hint="eastAsia" w:ascii="宋体" w:hAnsi="宋体" w:cs="Arial"/>
          <w:color w:val="auto"/>
          <w:kern w:val="0"/>
          <w:sz w:val="24"/>
        </w:rPr>
        <w:t>本年度决算支出总计177092.57元，基本支出177092.57元</w:t>
      </w:r>
      <w:r>
        <w:rPr>
          <w:rFonts w:hint="eastAsia" w:ascii="宋体" w:hAnsi="宋体" w:cs="Arial"/>
          <w:color w:val="auto"/>
          <w:kern w:val="0"/>
          <w:sz w:val="24"/>
          <w:lang w:eastAsia="zh-CN"/>
        </w:rPr>
        <w:t>，占总支出的</w:t>
      </w:r>
      <w:r>
        <w:rPr>
          <w:rFonts w:hint="eastAsia" w:ascii="宋体" w:hAnsi="宋体" w:cs="Arial"/>
          <w:color w:val="auto"/>
          <w:kern w:val="0"/>
          <w:sz w:val="24"/>
          <w:lang w:val="en-US" w:eastAsia="zh-CN"/>
        </w:rPr>
        <w:t>100%</w:t>
      </w:r>
      <w:r>
        <w:rPr>
          <w:rFonts w:hint="eastAsia" w:ascii="宋体" w:hAnsi="宋体" w:cs="Arial"/>
          <w:color w:val="auto"/>
          <w:kern w:val="0"/>
          <w:sz w:val="24"/>
        </w:rPr>
        <w:t>（其中：工资福利支出</w:t>
      </w:r>
      <w:r>
        <w:rPr>
          <w:rFonts w:hint="eastAsia" w:ascii="宋体" w:hAnsi="宋体" w:cs="Arial"/>
          <w:color w:val="auto"/>
          <w:kern w:val="0"/>
          <w:sz w:val="24"/>
          <w:lang w:val="en-US" w:eastAsia="zh-CN"/>
        </w:rPr>
        <w:t>144847.44</w:t>
      </w:r>
      <w:r>
        <w:rPr>
          <w:rFonts w:hint="eastAsia" w:ascii="宋体" w:hAnsi="宋体" w:cs="Arial"/>
          <w:color w:val="auto"/>
          <w:kern w:val="0"/>
          <w:sz w:val="24"/>
        </w:rPr>
        <w:t>元、商品服务支出</w:t>
      </w:r>
      <w:r>
        <w:rPr>
          <w:rFonts w:hint="eastAsia" w:ascii="宋体" w:hAnsi="宋体" w:cs="Arial"/>
          <w:color w:val="auto"/>
          <w:kern w:val="0"/>
          <w:sz w:val="24"/>
          <w:lang w:val="en-US" w:eastAsia="zh-CN"/>
        </w:rPr>
        <w:t>32245.13</w:t>
      </w:r>
      <w:r>
        <w:rPr>
          <w:rFonts w:hint="eastAsia" w:ascii="宋体" w:hAnsi="宋体" w:cs="Arial"/>
          <w:color w:val="auto"/>
          <w:kern w:val="0"/>
          <w:sz w:val="24"/>
        </w:rPr>
        <w:t>元</w:t>
      </w:r>
      <w:r>
        <w:rPr>
          <w:rFonts w:hint="eastAsia" w:ascii="宋体" w:hAnsi="宋体" w:cs="Arial"/>
          <w:color w:val="auto"/>
          <w:kern w:val="0"/>
          <w:sz w:val="24"/>
          <w:lang w:eastAsia="zh-CN"/>
        </w:rPr>
        <w:t>）</w:t>
      </w:r>
      <w:r>
        <w:rPr>
          <w:rFonts w:hint="eastAsia" w:ascii="宋体" w:hAnsi="宋体" w:cs="Arial"/>
          <w:color w:val="auto"/>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fldChar w:fldCharType="begin"/>
      </w:r>
      <w:r>
        <w:rPr>
          <w:rFonts w:hint="eastAsia" w:ascii="宋体" w:hAnsi="宋体" w:cs="宋体"/>
          <w:b w:val="0"/>
          <w:bCs w:val="0"/>
          <w:sz w:val="24"/>
          <w:szCs w:val="24"/>
          <w:lang w:val="en-US" w:eastAsia="zh-CN"/>
        </w:rPr>
        <w:instrText xml:space="preserve"> HYPERLINK \l _Toc24341 </w:instrText>
      </w:r>
      <w:r>
        <w:rPr>
          <w:rFonts w:hint="eastAsia" w:ascii="宋体" w:hAnsi="宋体" w:cs="宋体"/>
          <w:b w:val="0"/>
          <w:bCs w:val="0"/>
          <w:sz w:val="24"/>
          <w:szCs w:val="24"/>
          <w:lang w:val="en-US" w:eastAsia="zh-CN"/>
        </w:rPr>
        <w:fldChar w:fldCharType="separate"/>
      </w:r>
      <w:r>
        <w:rPr>
          <w:rFonts w:hint="eastAsia" w:ascii="宋体" w:hAnsi="宋体" w:cs="宋体"/>
          <w:b w:val="0"/>
          <w:bCs w:val="0"/>
          <w:sz w:val="24"/>
          <w:szCs w:val="24"/>
          <w:lang w:val="en-US" w:eastAsia="zh-CN"/>
        </w:rPr>
        <w:t>二、2021年机关运行经费安排情况说明</w:t>
      </w:r>
      <w:r>
        <w:rPr>
          <w:rFonts w:hint="eastAsia" w:ascii="宋体" w:hAnsi="宋体" w:cs="宋体"/>
          <w:b w:val="0"/>
          <w:bCs w:val="0"/>
          <w:sz w:val="24"/>
          <w:szCs w:val="24"/>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default" w:ascii="宋体" w:hAnsi="宋体" w:cs="宋体"/>
          <w:sz w:val="22"/>
          <w:szCs w:val="22"/>
          <w:lang w:val="en-US" w:eastAsia="zh-CN"/>
        </w:rPr>
      </w:pPr>
      <w:r>
        <w:rPr>
          <w:rFonts w:hint="eastAsia" w:ascii="宋体" w:hAnsi="宋体" w:eastAsia="宋体" w:cs="Arial"/>
          <w:color w:val="auto"/>
          <w:kern w:val="0"/>
          <w:sz w:val="24"/>
          <w:szCs w:val="24"/>
          <w:lang w:val="en-US" w:eastAsia="zh-CN" w:bidi="ar-SA"/>
        </w:rPr>
        <w:t>本单位公用经费预算为177092.57元，无项目支出预算。2021年机关运行经费安排177092.57元，支出177092.57元，其中，公用经费支出总额177092.57元，用于机关运行日常办公、报刊杂志、邮电费、公用差旅费、正式人员工资及保险、</w:t>
      </w:r>
      <w:r>
        <w:rPr>
          <w:rFonts w:hint="eastAsia" w:ascii="宋体" w:hAnsi="宋体" w:cs="Arial"/>
          <w:color w:val="auto"/>
          <w:kern w:val="0"/>
          <w:sz w:val="24"/>
          <w:szCs w:val="24"/>
          <w:lang w:val="en-US" w:eastAsia="zh-CN" w:bidi="ar-SA"/>
        </w:rPr>
        <w:t>取暖补助</w:t>
      </w:r>
      <w:bookmarkStart w:id="4" w:name="_GoBack"/>
      <w:bookmarkEnd w:id="4"/>
      <w:r>
        <w:rPr>
          <w:rFonts w:hint="eastAsia" w:ascii="宋体" w:hAnsi="宋体" w:eastAsia="宋体" w:cs="Arial"/>
          <w:color w:val="auto"/>
          <w:kern w:val="0"/>
          <w:sz w:val="24"/>
          <w:szCs w:val="24"/>
          <w:lang w:val="en-US" w:eastAsia="zh-CN" w:bidi="ar-SA"/>
        </w:rPr>
        <w:t>等支出；无项目支出。</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fldChar w:fldCharType="begin"/>
      </w:r>
      <w:r>
        <w:rPr>
          <w:rFonts w:hint="eastAsia" w:ascii="宋体" w:hAnsi="宋体" w:cs="宋体"/>
          <w:b w:val="0"/>
          <w:bCs w:val="0"/>
          <w:sz w:val="24"/>
          <w:szCs w:val="24"/>
          <w:lang w:val="en-US" w:eastAsia="zh-CN"/>
        </w:rPr>
        <w:instrText xml:space="preserve"> HYPERLINK \l _Toc9895 </w:instrText>
      </w:r>
      <w:r>
        <w:rPr>
          <w:rFonts w:hint="eastAsia" w:ascii="宋体" w:hAnsi="宋体" w:cs="宋体"/>
          <w:b w:val="0"/>
          <w:bCs w:val="0"/>
          <w:sz w:val="24"/>
          <w:szCs w:val="24"/>
          <w:lang w:val="en-US" w:eastAsia="zh-CN"/>
        </w:rPr>
        <w:fldChar w:fldCharType="separate"/>
      </w:r>
      <w:r>
        <w:rPr>
          <w:rFonts w:hint="eastAsia" w:ascii="宋体" w:hAnsi="宋体" w:cs="宋体"/>
          <w:b w:val="0"/>
          <w:bCs w:val="0"/>
          <w:sz w:val="24"/>
          <w:szCs w:val="24"/>
          <w:lang w:val="en-US" w:eastAsia="zh-CN"/>
        </w:rPr>
        <w:t>三、政府采购情况说明</w:t>
      </w:r>
      <w:r>
        <w:rPr>
          <w:rFonts w:hint="eastAsia" w:ascii="宋体" w:hAnsi="宋体" w:cs="宋体"/>
          <w:b w:val="0"/>
          <w:bCs w:val="0"/>
          <w:sz w:val="24"/>
          <w:szCs w:val="24"/>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default" w:ascii="宋体" w:hAnsi="宋体" w:eastAsia="宋体" w:cs="Arial"/>
          <w:color w:val="auto"/>
          <w:kern w:val="0"/>
          <w:sz w:val="24"/>
          <w:szCs w:val="24"/>
          <w:lang w:val="en-US" w:eastAsia="zh-CN" w:bidi="ar-SA"/>
        </w:rPr>
      </w:pPr>
      <w:r>
        <w:rPr>
          <w:rFonts w:hint="eastAsia" w:ascii="宋体" w:hAnsi="宋体" w:eastAsia="宋体" w:cs="Arial"/>
          <w:color w:val="auto"/>
          <w:kern w:val="0"/>
          <w:sz w:val="24"/>
          <w:szCs w:val="24"/>
          <w:lang w:val="en-US" w:eastAsia="zh-CN" w:bidi="ar-SA"/>
        </w:rPr>
        <w:t>本年度，本单位无采购。</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fldChar w:fldCharType="begin"/>
      </w:r>
      <w:r>
        <w:rPr>
          <w:rFonts w:hint="eastAsia" w:ascii="宋体" w:hAnsi="宋体" w:cs="宋体"/>
          <w:b w:val="0"/>
          <w:bCs w:val="0"/>
          <w:sz w:val="24"/>
          <w:szCs w:val="24"/>
          <w:lang w:val="en-US" w:eastAsia="zh-CN"/>
        </w:rPr>
        <w:instrText xml:space="preserve"> HYPERLINK \l _Toc21275 </w:instrText>
      </w:r>
      <w:r>
        <w:rPr>
          <w:rFonts w:hint="eastAsia" w:ascii="宋体" w:hAnsi="宋体" w:cs="宋体"/>
          <w:b w:val="0"/>
          <w:bCs w:val="0"/>
          <w:sz w:val="24"/>
          <w:szCs w:val="24"/>
          <w:lang w:val="en-US" w:eastAsia="zh-CN"/>
        </w:rPr>
        <w:fldChar w:fldCharType="separate"/>
      </w:r>
      <w:r>
        <w:rPr>
          <w:rFonts w:hint="eastAsia" w:ascii="宋体" w:hAnsi="宋体" w:cs="宋体"/>
          <w:b w:val="0"/>
          <w:bCs w:val="0"/>
          <w:sz w:val="24"/>
          <w:szCs w:val="24"/>
          <w:lang w:val="en-US" w:eastAsia="zh-CN"/>
        </w:rPr>
        <w:t>四、2021年“三公”经费支出及增减变化情况说明</w:t>
      </w:r>
      <w:r>
        <w:rPr>
          <w:rFonts w:hint="eastAsia" w:ascii="宋体" w:hAnsi="宋体" w:cs="宋体"/>
          <w:b w:val="0"/>
          <w:bCs w:val="0"/>
          <w:sz w:val="24"/>
          <w:szCs w:val="24"/>
          <w:lang w:val="en-US" w:eastAsia="zh-CN"/>
        </w:rPr>
        <w:fldChar w:fldCharType="end"/>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cs="Arial"/>
          <w:color w:val="auto"/>
          <w:kern w:val="0"/>
          <w:sz w:val="24"/>
          <w:lang w:val="en-US" w:eastAsia="zh-CN"/>
        </w:rPr>
      </w:pPr>
      <w:r>
        <w:rPr>
          <w:rFonts w:hint="eastAsia" w:ascii="宋体" w:hAnsi="宋体" w:cs="Arial"/>
          <w:color w:val="auto"/>
          <w:kern w:val="0"/>
          <w:sz w:val="24"/>
          <w:lang w:val="en-US" w:eastAsia="zh-CN"/>
        </w:rPr>
        <w:t>本年度，本单位无“三公”经费支出</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fldChar w:fldCharType="begin"/>
      </w:r>
      <w:r>
        <w:rPr>
          <w:rFonts w:hint="eastAsia" w:ascii="宋体" w:hAnsi="宋体" w:cs="宋体"/>
          <w:b w:val="0"/>
          <w:bCs w:val="0"/>
          <w:sz w:val="24"/>
          <w:szCs w:val="24"/>
          <w:highlight w:val="none"/>
          <w:lang w:val="en-US" w:eastAsia="zh-CN"/>
        </w:rPr>
        <w:instrText xml:space="preserve"> HYPERLINK \l _Toc30229 </w:instrText>
      </w:r>
      <w:r>
        <w:rPr>
          <w:rFonts w:hint="eastAsia" w:ascii="宋体" w:hAnsi="宋体" w:cs="宋体"/>
          <w:b w:val="0"/>
          <w:bCs w:val="0"/>
          <w:sz w:val="24"/>
          <w:szCs w:val="24"/>
          <w:highlight w:val="none"/>
          <w:lang w:val="en-US" w:eastAsia="zh-CN"/>
        </w:rPr>
        <w:fldChar w:fldCharType="separate"/>
      </w:r>
      <w:r>
        <w:rPr>
          <w:rFonts w:hint="eastAsia" w:ascii="宋体" w:hAnsi="宋体" w:cs="宋体"/>
          <w:b w:val="0"/>
          <w:bCs w:val="0"/>
          <w:sz w:val="24"/>
          <w:szCs w:val="24"/>
          <w:highlight w:val="none"/>
          <w:lang w:val="en-US" w:eastAsia="zh-CN"/>
        </w:rPr>
        <w:t>五、2021年国有资产占用情况说明</w:t>
      </w:r>
      <w:r>
        <w:rPr>
          <w:rFonts w:hint="eastAsia" w:ascii="宋体" w:hAnsi="宋体" w:cs="宋体"/>
          <w:b w:val="0"/>
          <w:bCs w:val="0"/>
          <w:sz w:val="24"/>
          <w:szCs w:val="24"/>
          <w:highlight w:val="none"/>
          <w:lang w:val="en-US" w:eastAsia="zh-CN"/>
        </w:rPr>
        <w:fldChar w:fldCharType="end"/>
      </w:r>
    </w:p>
    <w:p>
      <w:pPr>
        <w:rPr>
          <w:rFonts w:hint="eastAsia" w:ascii="宋体" w:hAnsi="宋体" w:eastAsia="宋体" w:cs="Arial"/>
          <w:color w:val="auto"/>
          <w:kern w:val="0"/>
          <w:sz w:val="24"/>
          <w:szCs w:val="24"/>
          <w:lang w:val="en-US" w:eastAsia="zh-CN" w:bidi="ar-SA"/>
        </w:rPr>
      </w:pPr>
      <w:r>
        <w:rPr>
          <w:rFonts w:hint="eastAsia" w:ascii="宋体" w:hAnsi="宋体" w:eastAsia="宋体" w:cs="Arial"/>
          <w:color w:val="auto"/>
          <w:kern w:val="0"/>
          <w:sz w:val="24"/>
          <w:szCs w:val="24"/>
          <w:lang w:val="en-US" w:eastAsia="zh-CN" w:bidi="ar-SA"/>
        </w:rPr>
        <w:t xml:space="preserve">截止2021年12月31日，阳城县公证处事业单位国有资产 15.32万元，占 100.00%，包括流动资产 13.59万元，占资产总额88.72%%；固定资产0.69万元，占资产总额4.48 % ，其中，通用设备 0.03 万元，占4.25 % ；家具、用具、装具及动植物 0.66万元，占 95.75 % 。 </w:t>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Times New Roman" w:hAnsi="Times New Roman" w:eastAsia="宋体" w:cs="Times New Roman"/>
          <w:b w:val="0"/>
          <w:bCs/>
          <w:kern w:val="2"/>
          <w:sz w:val="28"/>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_Toc10265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六、2021年预算绩效情况</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t>说明</w:t>
      </w:r>
    </w:p>
    <w:p>
      <w:pPr>
        <w:pStyle w:val="8"/>
        <w:keepNext w:val="0"/>
        <w:keepLines w:val="0"/>
        <w:pageBreakBefore w:val="0"/>
        <w:widowControl w:val="0"/>
        <w:tabs>
          <w:tab w:val="right" w:leader="dot" w:pos="11340"/>
        </w:tabs>
        <w:kinsoku/>
        <w:wordWrap/>
        <w:overflowPunct/>
        <w:topLinePunct w:val="0"/>
        <w:autoSpaceDE/>
        <w:autoSpaceDN/>
        <w:bidi w:val="0"/>
        <w:adjustRightInd/>
        <w:snapToGrid/>
        <w:spacing w:line="440" w:lineRule="atLeast"/>
        <w:textAlignment w:val="auto"/>
        <w:rPr>
          <w:rFonts w:hint="eastAsia" w:ascii="宋体" w:hAnsi="宋体" w:cs="Arial"/>
          <w:color w:val="auto"/>
          <w:kern w:val="0"/>
          <w:sz w:val="28"/>
          <w:szCs w:val="28"/>
        </w:rPr>
      </w:pPr>
      <w:r>
        <w:rPr>
          <w:rFonts w:hint="eastAsia" w:ascii="宋体" w:hAnsi="宋体" w:cs="Arial"/>
          <w:color w:val="auto"/>
          <w:kern w:val="0"/>
          <w:sz w:val="24"/>
          <w:lang w:val="en-US" w:eastAsia="zh-CN"/>
        </w:rPr>
        <w:t>本单位无效绩评估。</w:t>
      </w:r>
    </w:p>
    <w:bookmarkEnd w:id="3"/>
    <w:p>
      <w:pPr>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_Toc17765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kern w:val="2"/>
          <w:sz w:val="28"/>
          <w:szCs w:val="28"/>
          <w:lang w:val="en-US" w:eastAsia="zh-CN" w:bidi="ar-SA"/>
        </w:rPr>
        <w:t>第四部分  名词解释</w:t>
      </w:r>
      <w:r>
        <w:rPr>
          <w:rFonts w:hint="eastAsia" w:ascii="宋体" w:hAnsi="宋体" w:eastAsia="宋体" w:cs="宋体"/>
          <w:b/>
          <w:bCs/>
          <w:kern w:val="2"/>
          <w:sz w:val="28"/>
          <w:szCs w:val="28"/>
          <w:lang w:val="en-US" w:eastAsia="zh-CN" w:bidi="ar-SA"/>
        </w:rPr>
        <w:fldChar w:fldCharType="end"/>
      </w:r>
    </w:p>
    <w:p>
      <w:pPr>
        <w:rPr>
          <w:rFonts w:hint="eastAsia" w:ascii="宋体" w:hAnsi="宋体" w:eastAsia="宋体" w:cs="Arial"/>
          <w:color w:val="auto"/>
          <w:kern w:val="0"/>
          <w:sz w:val="24"/>
          <w:szCs w:val="24"/>
          <w:lang w:val="en-US" w:eastAsia="zh-CN" w:bidi="ar-SA"/>
        </w:rPr>
      </w:pPr>
      <w:r>
        <w:rPr>
          <w:rFonts w:hint="eastAsia" w:ascii="宋体" w:hAnsi="宋体" w:eastAsia="宋体" w:cs="Arial"/>
          <w:color w:val="auto"/>
          <w:kern w:val="0"/>
          <w:sz w:val="24"/>
          <w:szCs w:val="24"/>
          <w:lang w:val="en-US" w:eastAsia="zh-CN" w:bidi="ar-SA"/>
        </w:rPr>
        <w:t>（一）基本支出：指为保障机构正常运转，完成日常工作任务而发生的人员支出和公用支出。</w:t>
      </w:r>
    </w:p>
    <w:p>
      <w:pPr>
        <w:rPr>
          <w:rFonts w:hint="eastAsia" w:ascii="宋体" w:hAnsi="宋体" w:eastAsia="宋体" w:cs="Arial"/>
          <w:color w:val="auto"/>
          <w:kern w:val="0"/>
          <w:sz w:val="24"/>
          <w:szCs w:val="24"/>
          <w:lang w:val="en-US" w:eastAsia="zh-CN" w:bidi="ar-SA"/>
        </w:rPr>
      </w:pPr>
      <w:r>
        <w:rPr>
          <w:rFonts w:hint="eastAsia" w:ascii="宋体" w:hAnsi="宋体" w:eastAsia="宋体" w:cs="Arial"/>
          <w:color w:val="auto"/>
          <w:kern w:val="0"/>
          <w:sz w:val="24"/>
          <w:szCs w:val="24"/>
          <w:lang w:val="en-US" w:eastAsia="zh-CN" w:bidi="ar-SA"/>
        </w:rPr>
        <w:t>（二）项目支出：指在基本支出之外为完成特定行政任务和事业发展目标所发生的支出。</w:t>
      </w:r>
    </w:p>
    <w:p>
      <w:pPr>
        <w:rPr>
          <w:rFonts w:hint="eastAsia" w:ascii="宋体" w:hAnsi="宋体" w:eastAsia="宋体" w:cs="Arial"/>
          <w:color w:val="auto"/>
          <w:kern w:val="0"/>
          <w:sz w:val="24"/>
          <w:szCs w:val="24"/>
          <w:lang w:val="en-US" w:eastAsia="zh-CN" w:bidi="ar-SA"/>
        </w:rPr>
      </w:pPr>
      <w:r>
        <w:rPr>
          <w:rFonts w:hint="eastAsia" w:ascii="宋体" w:hAnsi="宋体" w:eastAsia="宋体" w:cs="Arial"/>
          <w:color w:val="auto"/>
          <w:kern w:val="0"/>
          <w:sz w:val="24"/>
          <w:szCs w:val="24"/>
          <w:lang w:val="en-US" w:eastAsia="zh-CN" w:bidi="ar-SA"/>
        </w:rPr>
        <w:t>（三）公证费：本单位办理公证业务服务过程中所收取的费用。</w:t>
      </w:r>
    </w:p>
    <w:p>
      <w:pPr>
        <w:keepNext w:val="0"/>
        <w:keepLines w:val="0"/>
        <w:pageBreakBefore w:val="0"/>
        <w:widowControl w:val="0"/>
        <w:kinsoku/>
        <w:wordWrap/>
        <w:overflowPunct/>
        <w:topLinePunct w:val="0"/>
        <w:autoSpaceDE/>
        <w:autoSpaceDN/>
        <w:bidi w:val="0"/>
        <w:adjustRightInd/>
        <w:snapToGrid/>
        <w:spacing w:before="313" w:beforeLines="100" w:after="157" w:afterLines="50"/>
        <w:ind w:right="315" w:rightChars="150"/>
        <w:textAlignment w:val="auto"/>
        <w:rPr>
          <w:rFonts w:hint="eastAsia" w:ascii="Times New Roman" w:hAnsi="Times New Roman" w:eastAsia="宋体" w:cs="Times New Roman"/>
          <w:b w:val="0"/>
          <w:bCs/>
          <w:kern w:val="2"/>
          <w:sz w:val="28"/>
          <w:szCs w:val="24"/>
          <w:lang w:val="en-US" w:eastAsia="zh-CN" w:bidi="ar-SA"/>
        </w:rPr>
      </w:pPr>
    </w:p>
    <w:p>
      <w:pPr>
        <w:rPr>
          <w:rFonts w:hint="eastAsia" w:ascii="宋体" w:hAnsi="宋体" w:cs="宋体"/>
          <w:sz w:val="24"/>
        </w:rPr>
      </w:pPr>
    </w:p>
    <w:p/>
    <w:sectPr>
      <w:footerReference r:id="rId5" w:type="default"/>
      <w:pgSz w:w="11906" w:h="16838"/>
      <w:pgMar w:top="1440" w:right="283" w:bottom="1440" w:left="28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420" w:right="420" w:firstLine="420"/>
      </w:pPr>
      <w:r>
        <w:separator/>
      </w:r>
    </w:p>
  </w:endnote>
  <w:endnote w:type="continuationSeparator" w:id="1">
    <w:p>
      <w:pPr>
        <w:ind w:left="420" w:right="42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420" w:right="420" w:firstLine="420"/>
      </w:pPr>
      <w:r>
        <w:separator/>
      </w:r>
    </w:p>
  </w:footnote>
  <w:footnote w:type="continuationSeparator" w:id="1">
    <w:p>
      <w:pPr>
        <w:ind w:left="420" w:right="420"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0F325"/>
    <w:multiLevelType w:val="singleLevel"/>
    <w:tmpl w:val="59B0F325"/>
    <w:lvl w:ilvl="0" w:tentative="0">
      <w:start w:val="1"/>
      <w:numFmt w:val="decimal"/>
      <w:suff w:val="nothing"/>
      <w:lvlText w:val="%1、"/>
      <w:lvlJc w:val="left"/>
      <w:pPr>
        <w:ind w:left="-14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zI0ZTNjNWQyZDNlNjAyMjY3MzU5YTRkNGE0MDUifQ=="/>
  </w:docVars>
  <w:rsids>
    <w:rsidRoot w:val="445919A8"/>
    <w:rsid w:val="102D0F44"/>
    <w:rsid w:val="13307FAC"/>
    <w:rsid w:val="20BF0237"/>
    <w:rsid w:val="2B215AF1"/>
    <w:rsid w:val="3EB616F2"/>
    <w:rsid w:val="445919A8"/>
    <w:rsid w:val="44EF54BD"/>
    <w:rsid w:val="4DE35714"/>
    <w:rsid w:val="501C1C95"/>
    <w:rsid w:val="5176689F"/>
    <w:rsid w:val="55C61074"/>
    <w:rsid w:val="59E7371E"/>
    <w:rsid w:val="64942F6F"/>
    <w:rsid w:val="64A04FA2"/>
    <w:rsid w:val="6B576DD1"/>
    <w:rsid w:val="6CD429A0"/>
    <w:rsid w:val="70673B2B"/>
    <w:rsid w:val="7BDA0C29"/>
    <w:rsid w:val="7F735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420" w:leftChars="200" w:right="420" w:rightChars="200" w:firstLine="723" w:firstLineChars="200"/>
      <w:jc w:val="left"/>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ind w:left="0" w:leftChars="0" w:right="0" w:rightChars="0" w:firstLine="0" w:firstLineChars="0"/>
      <w:outlineLvl w:val="0"/>
    </w:pPr>
    <w:rPr>
      <w:b/>
      <w:kern w:val="44"/>
      <w:sz w:val="32"/>
    </w:rPr>
  </w:style>
  <w:style w:type="paragraph" w:styleId="3">
    <w:name w:val="heading 2"/>
    <w:basedOn w:val="1"/>
    <w:next w:val="1"/>
    <w:link w:val="14"/>
    <w:unhideWhenUsed/>
    <w:qFormat/>
    <w:uiPriority w:val="0"/>
    <w:pPr>
      <w:keepNext/>
      <w:keepLines/>
      <w:spacing w:beforeLines="0" w:beforeAutospacing="0" w:afterLines="0" w:afterAutospacing="0" w:line="240" w:lineRule="auto"/>
      <w:ind w:left="0" w:leftChars="0" w:right="0" w:rightChars="0" w:firstLine="0" w:firstLineChars="0"/>
      <w:outlineLvl w:val="1"/>
    </w:pPr>
    <w:rPr>
      <w:rFonts w:ascii="Arial" w:hAnsi="Arial" w:eastAsia="黑体"/>
      <w:b/>
      <w:sz w:val="30"/>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ind w:firstLine="562" w:firstLineChars="200"/>
      <w:outlineLvl w:val="2"/>
    </w:pPr>
    <w:rPr>
      <w:rFonts w:ascii="Times New Roman" w:hAnsi="Times New Roman" w:eastAsia="宋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Char"/>
    <w:link w:val="2"/>
    <w:qFormat/>
    <w:uiPriority w:val="0"/>
    <w:rPr>
      <w:b/>
      <w:kern w:val="44"/>
      <w:sz w:val="32"/>
    </w:rPr>
  </w:style>
  <w:style w:type="character" w:customStyle="1" w:styleId="14">
    <w:name w:val="标题 2 Char"/>
    <w:link w:val="3"/>
    <w:qFormat/>
    <w:uiPriority w:val="0"/>
    <w:rPr>
      <w:rFonts w:ascii="Arial" w:hAnsi="Arial" w:eastAsia="黑体"/>
      <w:b/>
      <w:sz w:val="30"/>
    </w:rPr>
  </w:style>
  <w:style w:type="character" w:customStyle="1" w:styleId="15">
    <w:name w:val="标题 3 Char"/>
    <w:link w:val="4"/>
    <w:qFormat/>
    <w:uiPriority w:val="0"/>
    <w:rPr>
      <w:rFonts w:ascii="Times New Roman" w:hAnsi="Times New Roman"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emf"/><Relationship Id="rId23" Type="http://schemas.openxmlformats.org/officeDocument/2006/relationships/oleObject" Target="embeddings/oleObject9.bin"/><Relationship Id="rId22" Type="http://schemas.openxmlformats.org/officeDocument/2006/relationships/image" Target="media/image8.emf"/><Relationship Id="rId21" Type="http://schemas.openxmlformats.org/officeDocument/2006/relationships/oleObject" Target="embeddings/oleObject8.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1786</Words>
  <Characters>2243</Characters>
  <Lines>0</Lines>
  <Paragraphs>0</Paragraphs>
  <TotalTime>4</TotalTime>
  <ScaleCrop>false</ScaleCrop>
  <LinksUpToDate>false</LinksUpToDate>
  <CharactersWithSpaces>2278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2022-08-24T07:27:00Z</dcterms:created>
  <dc:creator>Administrator</dc:creator>
  <cp:lastModifiedBy>我叫多赖米</cp:lastModifiedBy>
  <dcterms:modified xsi:type="dcterms:W3CDTF">2022-08-25T08:19:17Z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CF52C23C542841C98F1ED026F708665D</vt:lpwstr>
  </property>
</Properties>
</file>