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黑体" w:eastAsia="黑体"/>
          <w:sz w:val="36"/>
          <w:szCs w:val="36"/>
        </w:rPr>
      </w:pPr>
    </w:p>
    <w:p>
      <w:pPr>
        <w:spacing w:line="600" w:lineRule="exact"/>
        <w:jc w:val="center"/>
        <w:rPr>
          <w:rFonts w:ascii="黑体" w:eastAsia="黑体"/>
          <w:sz w:val="36"/>
          <w:szCs w:val="36"/>
        </w:rPr>
      </w:pPr>
      <w:r>
        <w:rPr>
          <w:rFonts w:hint="eastAsia" w:ascii="黑体" w:eastAsia="黑体"/>
          <w:sz w:val="36"/>
          <w:szCs w:val="36"/>
        </w:rPr>
        <w:t>阳城县慢性非传染性疾病</w:t>
      </w:r>
      <w:r>
        <w:rPr>
          <w:rFonts w:hint="eastAsia" w:ascii="黑体" w:eastAsia="黑体"/>
          <w:sz w:val="36"/>
          <w:szCs w:val="36"/>
          <w:lang w:val="en-US" w:eastAsia="zh-CN"/>
        </w:rPr>
        <w:t>及</w:t>
      </w:r>
      <w:r>
        <w:rPr>
          <w:rFonts w:hint="eastAsia" w:ascii="黑体" w:eastAsia="黑体"/>
          <w:sz w:val="36"/>
          <w:szCs w:val="36"/>
        </w:rPr>
        <w:t>社会影响因素</w:t>
      </w:r>
      <w:r>
        <w:rPr>
          <w:rFonts w:hint="eastAsia" w:ascii="黑体" w:eastAsia="黑体"/>
          <w:sz w:val="36"/>
          <w:szCs w:val="36"/>
          <w:lang w:val="en-US" w:eastAsia="zh-CN"/>
        </w:rPr>
        <w:t>状况</w:t>
      </w:r>
      <w:bookmarkStart w:id="25" w:name="_GoBack"/>
      <w:bookmarkEnd w:id="25"/>
      <w:r>
        <w:rPr>
          <w:rFonts w:hint="eastAsia" w:ascii="黑体" w:eastAsia="黑体"/>
          <w:sz w:val="36"/>
          <w:szCs w:val="36"/>
        </w:rPr>
        <w:t>报告</w:t>
      </w:r>
    </w:p>
    <w:p>
      <w:pPr>
        <w:pStyle w:val="7"/>
        <w:spacing w:before="0" w:beforeAutospacing="0" w:after="0" w:afterAutospacing="0" w:line="600" w:lineRule="exact"/>
        <w:jc w:val="center"/>
        <w:rPr>
          <w:rFonts w:ascii="黑体" w:eastAsia="黑体"/>
          <w:color w:val="000000"/>
          <w:sz w:val="30"/>
          <w:szCs w:val="30"/>
        </w:rPr>
      </w:pPr>
    </w:p>
    <w:p>
      <w:pPr>
        <w:pStyle w:val="2"/>
        <w:spacing w:line="600" w:lineRule="exact"/>
        <w:jc w:val="center"/>
        <w:rPr>
          <w:rFonts w:ascii="黑体" w:hAnsi="黑体" w:eastAsia="黑体"/>
          <w:b w:val="0"/>
          <w:sz w:val="30"/>
          <w:szCs w:val="30"/>
        </w:rPr>
      </w:pPr>
      <w:bookmarkStart w:id="0" w:name="_Toc42800535"/>
      <w:bookmarkStart w:id="1" w:name="_Toc42801662"/>
      <w:r>
        <w:rPr>
          <w:rFonts w:hint="eastAsia" w:ascii="黑体" w:hAnsi="黑体" w:eastAsia="黑体"/>
          <w:b w:val="0"/>
          <w:sz w:val="30"/>
          <w:szCs w:val="30"/>
        </w:rPr>
        <w:t>一、前言</w:t>
      </w:r>
      <w:bookmarkEnd w:id="0"/>
      <w:bookmarkEnd w:id="1"/>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古称濩泽，地处太行、太岳、中条三山交汇，域内交通便利、资源丰富、气候宜人、风光独特，自古文风长盛，名人辈出，有“名列三城，风高五属”的美誉，是黄河文明的发祥地之一。特别是近年来，县委、县政府聚焦市委“六大战略定位”，深化阳城县“三四五”发展布局，扎实做好“六稳”工作，全面落实“六保”任务，着力推进经济发展和产业转型，较好地保证了社会经济的持续健康平稳发展，城乡居民生活质量水平普遍提高显著，先后获得国家卫生县城、山西省文明县城、全国县域旅游综合潜力百强县、国家新型城镇化示范县、全省乡村振兴先行示范县、国家生态文明建设示范区等荣誉称号。</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但伴随社会经济的快速发展，阳城县城乡居民生存条件和生活方式也发生着剧烈的变化，以心脑血管疾病、恶性肿瘤、慢性呼吸系统疾病、糖尿病等为代表的慢性非传染性疾病（以下简称慢病）患病率快速上升，现已日益成为威胁阳城城乡居民生命健康最为突出的公共卫生问题。特别是面对县委、县政府“田园城市、美丽乡村、产城融合、城乡一体”的阳城发展定位，集中力量落实“</w:t>
      </w:r>
      <w:r>
        <w:rPr>
          <w:rFonts w:hint="eastAsia" w:ascii="仿宋" w:hAnsi="仿宋" w:eastAsia="仿宋" w:cs="宋体"/>
          <w:color w:val="000000"/>
          <w:kern w:val="0"/>
          <w:sz w:val="32"/>
          <w:szCs w:val="32"/>
          <w:lang w:val="en-US" w:eastAsia="zh-CN"/>
        </w:rPr>
        <w:t>国家</w:t>
      </w:r>
      <w:r>
        <w:rPr>
          <w:rFonts w:hint="eastAsia" w:ascii="仿宋" w:hAnsi="仿宋" w:eastAsia="仿宋" w:cs="宋体"/>
          <w:color w:val="000000"/>
          <w:kern w:val="0"/>
          <w:sz w:val="32"/>
          <w:szCs w:val="32"/>
        </w:rPr>
        <w:t>慢性非传染性疾病综合防控示范区”创建工作，进一步提升阳城县城乡居民的健康水平和生活质量，为加快富民强县进程、提升人民群众幸福感作出重要贡献。为此，阳城县</w:t>
      </w:r>
      <w:bookmarkStart w:id="2" w:name="OLE_LINK1"/>
      <w:r>
        <w:rPr>
          <w:rFonts w:hint="eastAsia" w:ascii="仿宋" w:hAnsi="仿宋" w:eastAsia="仿宋" w:cs="宋体"/>
          <w:color w:val="000000"/>
          <w:kern w:val="0"/>
          <w:sz w:val="32"/>
          <w:szCs w:val="32"/>
        </w:rPr>
        <w:t>创建慢性非传染性疾病综合防控示范县领导组办公室</w:t>
      </w:r>
      <w:bookmarkEnd w:id="2"/>
      <w:r>
        <w:rPr>
          <w:rFonts w:hint="eastAsia" w:ascii="仿宋" w:hAnsi="仿宋" w:eastAsia="仿宋" w:cs="宋体"/>
          <w:color w:val="000000"/>
          <w:kern w:val="0"/>
          <w:sz w:val="32"/>
          <w:szCs w:val="32"/>
        </w:rPr>
        <w:t>安排专人，综合运用社会学、人类学和流行病学研究方法开展慢病社会因素调查工作，在对比2016年慢病流行状况及社会影响因素基期调研前提下，意在通过摸清当前阳城县慢病流行分布现状，了解当前慢病综合防治的重点人群及危险影响因素，明确过去一段时间所采取慢病综合防治措施效果的基础上，探索分析主要慢病与其危险因素之间的内在联系和变化规律，为针对性制定未来一个时期阳城县慢病卫生政策和干预措施提供基础依据。</w:t>
      </w:r>
    </w:p>
    <w:p>
      <w:pPr>
        <w:spacing w:line="600" w:lineRule="exact"/>
        <w:ind w:firstLine="640" w:firstLineChars="200"/>
        <w:rPr>
          <w:rFonts w:ascii="仿宋" w:hAnsi="仿宋" w:eastAsia="仿宋" w:cs="宋体"/>
          <w:color w:val="000000"/>
          <w:kern w:val="0"/>
          <w:sz w:val="32"/>
          <w:szCs w:val="32"/>
        </w:rPr>
      </w:pPr>
    </w:p>
    <w:p>
      <w:pPr>
        <w:pStyle w:val="2"/>
        <w:spacing w:line="600" w:lineRule="exact"/>
        <w:jc w:val="center"/>
        <w:rPr>
          <w:rFonts w:ascii="黑体" w:hAnsi="黑体" w:eastAsia="黑体"/>
          <w:b w:val="0"/>
          <w:sz w:val="30"/>
          <w:szCs w:val="30"/>
        </w:rPr>
      </w:pPr>
      <w:bookmarkStart w:id="3" w:name="_Toc42800536"/>
      <w:bookmarkStart w:id="4" w:name="_Toc42801663"/>
      <w:r>
        <w:rPr>
          <w:rFonts w:hint="eastAsia" w:ascii="黑体" w:hAnsi="黑体" w:eastAsia="黑体"/>
          <w:b w:val="0"/>
          <w:sz w:val="30"/>
          <w:szCs w:val="30"/>
        </w:rPr>
        <w:t>二、资料来源</w:t>
      </w:r>
      <w:bookmarkEnd w:id="3"/>
      <w:bookmarkEnd w:id="4"/>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采用普查与抽样调查相结合、横断面研究与回顾性调查相结合、有关服务机构提供填答与居民入户调查相结合的方式，进行相应数据采集。调查主要包括社区机构系统调查和家庭健康相关问题询问调查两种。</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（一）社区机构系统调查</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调查对象以阳城县域内所有公立医院、乡镇卫生院为单位组织普查。组织专人至卫生、统计、环保、公安等机构，搜集社区自然理化生态环境、社会经济和人口发展现状、人群一般健康水平、医疗卫生服务资源等相关资料。充分利用统计年报资料等各种已有调查资料，对已有的数据不作重复调查，以提高调查质量及效率。</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（二）家庭健康相关问题询问调查</w:t>
      </w:r>
    </w:p>
    <w:p>
      <w:pPr>
        <w:spacing w:line="600" w:lineRule="exact"/>
        <w:ind w:firstLine="640" w:firstLineChars="200"/>
        <w:rPr>
          <w:rFonts w:ascii="仿宋_GB2312" w:hAnsi="宋体" w:eastAsia="仿宋_GB2312" w:cs="宋体"/>
          <w:kern w:val="0"/>
          <w:sz w:val="32"/>
          <w:szCs w:val="32"/>
        </w:rPr>
      </w:pPr>
      <w:r>
        <w:rPr>
          <w:rFonts w:hint="eastAsia" w:ascii="仿宋" w:hAnsi="仿宋" w:eastAsia="仿宋" w:cs="宋体"/>
          <w:color w:val="000000"/>
          <w:kern w:val="0"/>
          <w:sz w:val="32"/>
          <w:szCs w:val="32"/>
        </w:rPr>
        <w:t>根据阳城县创建慢性非传染性疾病综合防控示范区的具体实施方案，结合慢病及其危险因素监测要求，分别设计《慢性病及危险因素个人调查问卷（以下简称调查问卷）》、《体格测量检查表（以下简称检查表）》和《抽血检验化验单（以下简称化验单）》，并经小范围预调研进行修订后，进一步完善修正调查内容方法，完成问卷和表单印制以确保调查工作质量</w:t>
      </w:r>
      <w:r>
        <w:rPr>
          <w:rFonts w:hint="eastAsia" w:ascii="仿宋_GB2312" w:hAnsi="宋体" w:eastAsia="仿宋_GB2312" w:cs="宋体"/>
          <w:kern w:val="0"/>
          <w:sz w:val="32"/>
          <w:szCs w:val="32"/>
        </w:rPr>
        <w:t>（调查表见附录）</w:t>
      </w:r>
      <w:r>
        <w:rPr>
          <w:rFonts w:hint="eastAsia" w:ascii="仿宋" w:hAnsi="仿宋" w:eastAsia="仿宋" w:cs="宋体"/>
          <w:color w:val="000000"/>
          <w:kern w:val="0"/>
          <w:sz w:val="32"/>
          <w:szCs w:val="32"/>
        </w:rPr>
        <w:t>。</w:t>
      </w:r>
    </w:p>
    <w:p>
      <w:pPr>
        <w:spacing w:line="600" w:lineRule="exact"/>
        <w:ind w:firstLine="640" w:firstLineChars="200"/>
        <w:rPr>
          <w:rFonts w:ascii="仿宋_GB2312" w:hAnsi="宋体" w:eastAsia="仿宋_GB2312" w:cs="宋体"/>
          <w:kern w:val="0"/>
          <w:sz w:val="32"/>
          <w:szCs w:val="32"/>
        </w:rPr>
      </w:pPr>
      <w:r>
        <w:rPr>
          <w:rFonts w:hint="eastAsia" w:ascii="仿宋" w:hAnsi="仿宋" w:eastAsia="仿宋" w:cs="宋体"/>
          <w:color w:val="000000"/>
          <w:kern w:val="0"/>
          <w:sz w:val="32"/>
          <w:szCs w:val="32"/>
        </w:rPr>
        <w:t>调查问卷主要包括家庭/个人基本信息、健康状况、生活方式行为、卫生服务利用及健康知识知晓情况等部分；《检查表》主要包括身高、体重、腰围、血压、心率的体检测量结果；《化验单》主要包括空腹血糖、血脂的抽血化验结果。</w:t>
      </w:r>
      <w:r>
        <w:rPr>
          <w:rFonts w:hint="eastAsia" w:ascii="仿宋_GB2312" w:hAnsi="宋体" w:eastAsia="仿宋_GB2312" w:cs="宋体"/>
          <w:kern w:val="0"/>
          <w:sz w:val="32"/>
          <w:szCs w:val="32"/>
        </w:rPr>
        <w:t>调查对象为阳城县所抽中样本住户（凡居住并生活在一起的家庭成员和其他人，或单身居住生活的，均作为一个住户）中每一位实际常住成年人口。</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（三）调查质量控制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1、组织控制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采取多种形式开展慢病防控工作的宣传动员，取得各医院、各乡镇有关领导及相关部门的理解支持，争取城乡居民群众配合参与，确保入户调查顺利进行；在县疾病预防控制中心、相关机构中，按照责任心强、工作认真、耐心细致、能吃苦耐劳、具有一定慢性病防治知识和社会交往表达能力的人员标准，选择有调查经验的医师或公共卫生人员承担调查任务；组织所有参与调查人员集中专项培训，明确调查目的意义，掌握调查访问方法，明确调查过程中可能出现的问题和现场调查工作纪律，并特别就调查表的正确填写，身体测量和采血方法，统一指标标准和填写要求。</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2、制度控制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成立监测调查指导小组、选派调查小组质控员进行调查质控，专门负责将质控措施贯穿于调查的全过程；明确调查员/体检员、调查质控员、调查指导小组调查质量控制职责，严格按照方案要求执行调查程序。其中，调查指导小组负责确定调查对象名单人员审核确定，以及体检仪器用具检查调校；调查质控员负责调查现场督导检查，以及调查对象二次抽查；调查员、调查质控员两级审核把关调查过程，确保严格执行调查流程和质量规范。 </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3、指标控制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严格调查质量指标控制，确保调查应答率95%以上，并尽可能降低非应答率。问卷数据录入借助EpiData3.1软件，按照“双录入”要求完成数据库建立；数据处理借助SPSS26.0软件，进行相关资料处理分析。</w:t>
      </w:r>
    </w:p>
    <w:p>
      <w:pPr>
        <w:spacing w:line="600" w:lineRule="exact"/>
        <w:ind w:firstLine="640" w:firstLineChars="200"/>
        <w:rPr>
          <w:rFonts w:ascii="仿宋" w:hAnsi="仿宋" w:eastAsia="仿宋" w:cs="宋体"/>
          <w:color w:val="000000"/>
          <w:kern w:val="0"/>
          <w:sz w:val="32"/>
          <w:szCs w:val="32"/>
        </w:rPr>
      </w:pPr>
    </w:p>
    <w:p>
      <w:pPr>
        <w:pStyle w:val="2"/>
        <w:spacing w:line="600" w:lineRule="exact"/>
        <w:jc w:val="center"/>
        <w:rPr>
          <w:rFonts w:ascii="黑体" w:hAnsi="黑体" w:eastAsia="黑体"/>
          <w:b w:val="0"/>
          <w:sz w:val="30"/>
          <w:szCs w:val="30"/>
        </w:rPr>
      </w:pPr>
      <w:bookmarkStart w:id="5" w:name="_Toc42800537"/>
      <w:bookmarkStart w:id="6" w:name="_Toc42801664"/>
      <w:r>
        <w:rPr>
          <w:rFonts w:hint="eastAsia" w:ascii="黑体" w:hAnsi="黑体" w:eastAsia="黑体"/>
          <w:b w:val="0"/>
          <w:sz w:val="30"/>
          <w:szCs w:val="30"/>
        </w:rPr>
        <w:t>三、基本情况</w:t>
      </w:r>
      <w:bookmarkEnd w:id="5"/>
      <w:bookmarkEnd w:id="6"/>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（一）社会学调查</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1、自然理化生态环境</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阳城位于山西省东南端，地处太岳山脉东支，中条山东北，太行山以西，沁河中游西岸。全县境内山峦起伏，奇峰叠嶂，沟壑纵横，河流交织，全县地下水、地表水总储量3.804亿立方米，</w:t>
      </w:r>
      <w:r>
        <w:rPr>
          <w:rFonts w:ascii="仿宋" w:hAnsi="仿宋" w:eastAsia="仿宋" w:cs="宋体"/>
          <w:color w:val="000000"/>
          <w:kern w:val="0"/>
          <w:sz w:val="32"/>
          <w:szCs w:val="32"/>
        </w:rPr>
        <w:t>水资源可利用储量15.8亿方</w:t>
      </w:r>
      <w:r>
        <w:rPr>
          <w:rFonts w:hint="eastAsia" w:ascii="仿宋" w:hAnsi="仿宋" w:eastAsia="仿宋" w:cs="宋体"/>
          <w:color w:val="000000"/>
          <w:kern w:val="0"/>
          <w:sz w:val="32"/>
          <w:szCs w:val="32"/>
        </w:rPr>
        <w:t>，在我省属于相对富水县；整个地势由西南向东北倾斜，中、东部较平坦，构成了高中山区、中山区、低山区、丘陵区和河谷盆地区五大地貌单元，南部海拔1951米的</w:t>
      </w:r>
      <w:r>
        <w:fldChar w:fldCharType="begin"/>
      </w:r>
      <w:r>
        <w:instrText xml:space="preserve"> HYPERLINK "http://baike.so.com/doc/5381955.html" \t "_blank" </w:instrText>
      </w:r>
      <w:r>
        <w:fldChar w:fldCharType="separate"/>
      </w:r>
      <w:r>
        <w:rPr>
          <w:rStyle w:val="13"/>
          <w:rFonts w:hint="eastAsia" w:ascii="仿宋" w:hAnsi="仿宋" w:eastAsia="仿宋" w:cs="宋体"/>
          <w:color w:val="000000"/>
          <w:kern w:val="0"/>
          <w:sz w:val="32"/>
          <w:szCs w:val="32"/>
          <w:u w:val="none"/>
        </w:rPr>
        <w:t>云梦山</w:t>
      </w:r>
      <w:r>
        <w:rPr>
          <w:rStyle w:val="13"/>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为阳城最高峰。截止2021年底，全县国土总面积1968平方公里，</w:t>
      </w:r>
      <w:r>
        <w:rPr>
          <w:rFonts w:ascii="仿宋" w:hAnsi="仿宋" w:eastAsia="仿宋" w:cs="宋体"/>
          <w:color w:val="000000"/>
          <w:kern w:val="0"/>
          <w:sz w:val="32"/>
          <w:szCs w:val="32"/>
        </w:rPr>
        <w:t>下辖12镇、3乡，324个行政村,11个社区，常住人口36万</w:t>
      </w:r>
      <w:r>
        <w:rPr>
          <w:rFonts w:hint="eastAsia" w:ascii="仿宋" w:hAnsi="仿宋" w:eastAsia="仿宋" w:cs="宋体"/>
          <w:color w:val="000000"/>
          <w:kern w:val="0"/>
          <w:sz w:val="32"/>
          <w:szCs w:val="32"/>
        </w:rPr>
        <w:t>，人口密度182.93人/平方公里，民族以汉族为主。</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阳城全县属暖温带半</w:t>
      </w:r>
      <w:r>
        <w:fldChar w:fldCharType="begin"/>
      </w:r>
      <w:r>
        <w:instrText xml:space="preserve"> HYPERLINK "http://baike.so.com/doc/560817.html" \t "_blank" </w:instrText>
      </w:r>
      <w:r>
        <w:fldChar w:fldCharType="separate"/>
      </w:r>
      <w:r>
        <w:rPr>
          <w:rStyle w:val="13"/>
          <w:rFonts w:hint="eastAsia" w:ascii="仿宋" w:hAnsi="仿宋" w:eastAsia="仿宋" w:cs="宋体"/>
          <w:color w:val="000000"/>
          <w:kern w:val="0"/>
          <w:sz w:val="32"/>
          <w:szCs w:val="32"/>
          <w:u w:val="none"/>
        </w:rPr>
        <w:t>湿润大陆性气候</w:t>
      </w:r>
      <w:r>
        <w:rPr>
          <w:rStyle w:val="13"/>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，四季分明，年平均气温11.7℃，</w:t>
      </w:r>
      <w:r>
        <w:fldChar w:fldCharType="begin"/>
      </w:r>
      <w:r>
        <w:instrText xml:space="preserve"> HYPERLINK "http://baike.so.com/doc/5332035.html" \t "_blank" </w:instrText>
      </w:r>
      <w:r>
        <w:fldChar w:fldCharType="separate"/>
      </w:r>
      <w:r>
        <w:rPr>
          <w:rStyle w:val="13"/>
          <w:rFonts w:hint="eastAsia" w:ascii="仿宋" w:hAnsi="仿宋" w:eastAsia="仿宋" w:cs="宋体"/>
          <w:color w:val="000000"/>
          <w:kern w:val="0"/>
          <w:sz w:val="32"/>
          <w:szCs w:val="32"/>
          <w:u w:val="none"/>
        </w:rPr>
        <w:t>年降水量</w:t>
      </w:r>
      <w:r>
        <w:rPr>
          <w:rStyle w:val="13"/>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平均659毫米，</w:t>
      </w:r>
      <w:r>
        <w:fldChar w:fldCharType="begin"/>
      </w:r>
      <w:r>
        <w:instrText xml:space="preserve"> HYPERLINK "http://baike.so.com/doc/6297836.html" \t "_blank" </w:instrText>
      </w:r>
      <w:r>
        <w:fldChar w:fldCharType="separate"/>
      </w:r>
      <w:r>
        <w:rPr>
          <w:rStyle w:val="13"/>
          <w:rFonts w:hint="eastAsia" w:ascii="仿宋" w:hAnsi="仿宋" w:eastAsia="仿宋" w:cs="宋体"/>
          <w:color w:val="000000"/>
          <w:kern w:val="0"/>
          <w:sz w:val="32"/>
          <w:szCs w:val="32"/>
          <w:u w:val="none"/>
        </w:rPr>
        <w:t>无霜期</w:t>
      </w:r>
      <w:r>
        <w:rPr>
          <w:rStyle w:val="13"/>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为170～180天，农作物的主要耕作制为二年三熟制和一年一熟制。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阳城全县森林覆盖率达到51.1%，林木绿化覆盖率达到56.7%，人均公共绿地面积达到12.6平方米；</w:t>
      </w:r>
      <w:r>
        <w:rPr>
          <w:rFonts w:ascii="仿宋" w:hAnsi="仿宋" w:eastAsia="仿宋" w:cs="宋体"/>
          <w:color w:val="000000"/>
          <w:kern w:val="0"/>
          <w:sz w:val="32"/>
          <w:szCs w:val="32"/>
        </w:rPr>
        <w:t>2021年阳城县空气质量二级以上优良天数287天</w:t>
      </w:r>
      <w:r>
        <w:rPr>
          <w:rFonts w:hint="eastAsia" w:ascii="仿宋" w:hAnsi="仿宋" w:eastAsia="仿宋" w:cs="宋体"/>
          <w:color w:val="000000"/>
          <w:kern w:val="0"/>
          <w:sz w:val="32"/>
          <w:szCs w:val="32"/>
        </w:rPr>
        <w:t>。</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2、人口学特征</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截止2021年末，公安部门户籍登记阳城县常住总户数164379户，总人口380649人，户均人口2.32人，低于全国第七次人口普查山西省户均人口的2.52人。其中，从性别情况来看，男性为189950人，女性为190699人，性别比为 99.61，低于人口七普时山西省的104.06；从年龄结构来看（人口七普数据），14岁以下人口39056人，占人口总数11.14%，65岁及以上人口55059人，占人口总数15.71%，社会总抚养比36.7%（其中，少儿抚养比15.2%，老年抚养比21.5%）。同时，考虑到2021年阳城县人口出生率</w:t>
      </w:r>
      <w:r>
        <w:rPr>
          <w:rFonts w:hint="eastAsia" w:ascii="仿宋" w:hAnsi="仿宋" w:eastAsia="仿宋" w:cs="宋体"/>
          <w:kern w:val="0"/>
          <w:sz w:val="32"/>
          <w:szCs w:val="32"/>
        </w:rPr>
        <w:t>5.86‰和粗死亡率6.81‰,与全省的7.1‰和7.3‰相比，-0.95</w:t>
      </w:r>
      <w:r>
        <w:rPr>
          <w:rFonts w:hint="eastAsia" w:ascii="仿宋" w:hAnsi="仿宋" w:eastAsia="仿宋" w:cs="宋体"/>
          <w:color w:val="000000"/>
          <w:kern w:val="0"/>
          <w:sz w:val="32"/>
          <w:szCs w:val="32"/>
        </w:rPr>
        <w:t>‰的人口自然增长率显著</w:t>
      </w:r>
      <w:r>
        <w:rPr>
          <w:rFonts w:hint="eastAsia" w:ascii="仿宋" w:hAnsi="仿宋" w:eastAsia="仿宋" w:cs="宋体"/>
          <w:kern w:val="0"/>
          <w:sz w:val="32"/>
          <w:szCs w:val="32"/>
        </w:rPr>
        <w:t>低</w:t>
      </w:r>
      <w:r>
        <w:rPr>
          <w:rFonts w:hint="eastAsia" w:ascii="仿宋" w:hAnsi="仿宋" w:eastAsia="仿宋" w:cs="宋体"/>
          <w:color w:val="000000"/>
          <w:kern w:val="0"/>
          <w:sz w:val="32"/>
          <w:szCs w:val="32"/>
        </w:rPr>
        <w:t>于全省水平。尤其是按照联合国关于人口老龄化和少子化的统计标准（65岁以上老年人口达到总人口数的7%，14岁以下人口占总人口比例20%以下），阳城县已同时跨进老龄化和少子化时代。结合世界范围内慢病发生规律，显示未来阳城县慢病防控工作将面对较大压力。</w:t>
      </w:r>
    </w:p>
    <w:p>
      <w:pPr>
        <w:spacing w:line="600" w:lineRule="exact"/>
        <w:ind w:firstLine="560" w:firstLineChars="200"/>
        <w:rPr>
          <w:rFonts w:ascii="仿宋" w:hAnsi="仿宋" w:eastAsia="仿宋" w:cs="宋体"/>
          <w:color w:val="000000"/>
          <w:kern w:val="0"/>
          <w:sz w:val="32"/>
          <w:szCs w:val="32"/>
        </w:rPr>
      </w:pPr>
      <w:r>
        <w:rPr>
          <w:rFonts w:hint="eastAsia" w:ascii="仿宋_GB2312" w:eastAsia="仿宋_GB2312"/>
          <w:color w:val="000000"/>
          <w:sz w:val="28"/>
          <w:szCs w:val="28"/>
        </w:rPr>
        <w:t>3</w:t>
      </w:r>
      <w:r>
        <w:rPr>
          <w:rFonts w:hint="eastAsia" w:ascii="仿宋" w:hAnsi="仿宋" w:eastAsia="仿宋" w:cs="宋体"/>
          <w:color w:val="000000"/>
          <w:kern w:val="0"/>
          <w:sz w:val="32"/>
          <w:szCs w:val="32"/>
        </w:rPr>
        <w:t>、经济状况</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2021年阳城县</w:t>
      </w:r>
      <w:r>
        <w:rPr>
          <w:rFonts w:ascii="仿宋" w:hAnsi="仿宋" w:eastAsia="仿宋" w:cs="宋体"/>
          <w:color w:val="000000"/>
          <w:kern w:val="0"/>
          <w:sz w:val="32"/>
          <w:szCs w:val="32"/>
        </w:rPr>
        <w:t>居民人均可支配收入25574元，按常住地分，城镇居民人均可支配收入36608元；农村居民人均可支配收入17367元。城市供水普及率100％，供气普及率100％，集中供热普及率64％。乡镇气化率达100％。收运处置体系覆盖行政村的比例为98％。</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4、医疗卫生服务资源</w:t>
      </w:r>
    </w:p>
    <w:p>
      <w:pPr>
        <w:spacing w:line="600" w:lineRule="exact"/>
        <w:ind w:firstLine="640" w:firstLineChars="200"/>
        <w:rPr>
          <w:rFonts w:ascii="仿宋" w:hAnsi="仿宋" w:eastAsia="仿宋" w:cs="宋体"/>
          <w:kern w:val="0"/>
          <w:sz w:val="32"/>
          <w:szCs w:val="32"/>
          <w:highlight w:val="darkGray"/>
        </w:rPr>
      </w:pPr>
      <w:r>
        <w:rPr>
          <w:rFonts w:hint="eastAsia" w:ascii="仿宋" w:hAnsi="仿宋" w:eastAsia="仿宋" w:cs="宋体"/>
          <w:color w:val="000000"/>
          <w:kern w:val="0"/>
          <w:sz w:val="32"/>
          <w:szCs w:val="32"/>
        </w:rPr>
        <w:t>阳城县辖区内医疗卫生服务资源相对充足，共有各级医疗卫生机构582个，其中社区卫生服务站/村卫生室/门诊部461个。全县共有卫生技术人员2923名，</w:t>
      </w:r>
      <w:r>
        <w:rPr>
          <w:rFonts w:ascii="仿宋" w:hAnsi="仿宋" w:eastAsia="仿宋" w:cs="宋体"/>
          <w:color w:val="000000"/>
          <w:kern w:val="0"/>
          <w:sz w:val="32"/>
          <w:szCs w:val="32"/>
        </w:rPr>
        <w:t>其中乡村医生620人，医师770人，助理医师196人</w:t>
      </w:r>
      <w:r>
        <w:rPr>
          <w:rFonts w:hint="eastAsia" w:ascii="仿宋" w:hAnsi="仿宋" w:eastAsia="仿宋" w:cs="宋体"/>
          <w:color w:val="000000"/>
          <w:kern w:val="0"/>
          <w:sz w:val="32"/>
          <w:szCs w:val="32"/>
        </w:rPr>
        <w:t>，护士788人</w:t>
      </w:r>
      <w:r>
        <w:rPr>
          <w:rFonts w:ascii="仿宋" w:hAnsi="仿宋" w:eastAsia="仿宋" w:cs="宋体"/>
          <w:color w:val="000000"/>
          <w:kern w:val="0"/>
          <w:sz w:val="32"/>
          <w:szCs w:val="32"/>
        </w:rPr>
        <w:t>，床位1692张。村级卫生所达标率100％。</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但具体到人均医疗资源拥有情况则相对较为匮乏，主要医疗资源配置指标均显著低于全国或全省水平。其中，每千人病床</w:t>
      </w:r>
      <w:r>
        <w:rPr>
          <w:rFonts w:ascii="仿宋" w:hAnsi="仿宋" w:eastAsia="仿宋" w:cs="宋体"/>
          <w:color w:val="000000"/>
          <w:kern w:val="0"/>
          <w:sz w:val="32"/>
          <w:szCs w:val="32"/>
        </w:rPr>
        <w:t>4.44</w:t>
      </w:r>
      <w:r>
        <w:rPr>
          <w:rFonts w:hint="eastAsia" w:ascii="仿宋" w:hAnsi="仿宋" w:eastAsia="仿宋" w:cs="宋体"/>
          <w:color w:val="000000"/>
          <w:kern w:val="0"/>
          <w:sz w:val="32"/>
          <w:szCs w:val="32"/>
        </w:rPr>
        <w:t>张（低于我国平均的6</w:t>
      </w:r>
      <w:r>
        <w:rPr>
          <w:rFonts w:ascii="仿宋" w:hAnsi="仿宋" w:eastAsia="仿宋" w:cs="宋体"/>
          <w:color w:val="000000"/>
          <w:kern w:val="0"/>
          <w:sz w:val="32"/>
          <w:szCs w:val="32"/>
        </w:rPr>
        <w:t>.70</w:t>
      </w:r>
      <w:r>
        <w:rPr>
          <w:rFonts w:hint="eastAsia" w:ascii="仿宋" w:hAnsi="仿宋" w:eastAsia="仿宋" w:cs="宋体"/>
          <w:color w:val="000000"/>
          <w:kern w:val="0"/>
          <w:sz w:val="32"/>
          <w:szCs w:val="32"/>
        </w:rPr>
        <w:t>张），每千人医生</w:t>
      </w:r>
      <w:r>
        <w:rPr>
          <w:rFonts w:ascii="仿宋" w:hAnsi="仿宋" w:eastAsia="仿宋" w:cs="宋体"/>
          <w:color w:val="000000"/>
          <w:kern w:val="0"/>
          <w:sz w:val="32"/>
          <w:szCs w:val="32"/>
        </w:rPr>
        <w:t>2.54</w:t>
      </w:r>
      <w:r>
        <w:rPr>
          <w:rFonts w:hint="eastAsia" w:ascii="仿宋" w:hAnsi="仿宋" w:eastAsia="仿宋" w:cs="宋体"/>
          <w:color w:val="000000"/>
          <w:kern w:val="0"/>
          <w:sz w:val="32"/>
          <w:szCs w:val="32"/>
        </w:rPr>
        <w:t>人（低于全国平均的</w:t>
      </w:r>
      <w:r>
        <w:rPr>
          <w:rFonts w:ascii="仿宋" w:hAnsi="仿宋" w:eastAsia="仿宋" w:cs="宋体"/>
          <w:color w:val="000000"/>
          <w:kern w:val="0"/>
          <w:sz w:val="32"/>
          <w:szCs w:val="32"/>
        </w:rPr>
        <w:t>3.04</w:t>
      </w:r>
      <w:r>
        <w:rPr>
          <w:rFonts w:hint="eastAsia" w:ascii="仿宋" w:hAnsi="仿宋" w:eastAsia="仿宋" w:cs="宋体"/>
          <w:color w:val="000000"/>
          <w:kern w:val="0"/>
          <w:sz w:val="32"/>
          <w:szCs w:val="32"/>
        </w:rPr>
        <w:t>人），每千人注册护士</w:t>
      </w:r>
      <w:r>
        <w:rPr>
          <w:rFonts w:ascii="仿宋" w:hAnsi="仿宋" w:eastAsia="仿宋" w:cs="宋体"/>
          <w:color w:val="000000"/>
          <w:kern w:val="0"/>
          <w:sz w:val="32"/>
          <w:szCs w:val="32"/>
        </w:rPr>
        <w:t>2.07</w:t>
      </w:r>
      <w:r>
        <w:rPr>
          <w:rFonts w:hint="eastAsia" w:ascii="仿宋" w:hAnsi="仿宋" w:eastAsia="仿宋" w:cs="宋体"/>
          <w:color w:val="000000"/>
          <w:kern w:val="0"/>
          <w:sz w:val="32"/>
          <w:szCs w:val="32"/>
        </w:rPr>
        <w:t>人（低于全国的3</w:t>
      </w:r>
      <w:r>
        <w:rPr>
          <w:rFonts w:ascii="仿宋" w:hAnsi="仿宋" w:eastAsia="仿宋" w:cs="宋体"/>
          <w:color w:val="000000"/>
          <w:kern w:val="0"/>
          <w:sz w:val="32"/>
          <w:szCs w:val="32"/>
        </w:rPr>
        <w:t>.56</w:t>
      </w:r>
      <w:r>
        <w:rPr>
          <w:rFonts w:hint="eastAsia" w:ascii="仿宋" w:hAnsi="仿宋" w:eastAsia="仿宋" w:cs="宋体"/>
          <w:color w:val="000000"/>
          <w:kern w:val="0"/>
          <w:sz w:val="32"/>
          <w:szCs w:val="32"/>
        </w:rPr>
        <w:t>人）。</w:t>
      </w:r>
    </w:p>
    <w:p>
      <w:pPr>
        <w:spacing w:line="600" w:lineRule="exact"/>
        <w:ind w:firstLine="643" w:firstLineChars="200"/>
        <w:rPr>
          <w:rFonts w:ascii="仿宋" w:hAnsi="仿宋" w:eastAsia="仿宋" w:cs="宋体"/>
          <w:b/>
          <w:color w:val="000000"/>
          <w:kern w:val="0"/>
          <w:sz w:val="32"/>
          <w:szCs w:val="32"/>
        </w:rPr>
      </w:pPr>
      <w:r>
        <w:rPr>
          <w:rFonts w:hint="eastAsia" w:ascii="仿宋" w:hAnsi="仿宋" w:eastAsia="仿宋" w:cs="宋体"/>
          <w:b/>
          <w:color w:val="000000"/>
          <w:kern w:val="0"/>
          <w:sz w:val="32"/>
          <w:szCs w:val="32"/>
        </w:rPr>
        <w:t>（二）家庭健康调查</w:t>
      </w:r>
    </w:p>
    <w:p>
      <w:pPr>
        <w:spacing w:line="600" w:lineRule="exact"/>
        <w:ind w:firstLine="640" w:firstLineChars="200"/>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、样本量确定</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根据山西省《疾病预防控制工作绩效评估标准》中“常住总人口的1%抽取样本(或至少抽取样本3000人以上)”要求，按照多阶段（等概率）随机抽样方法。</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仿宋_GB2312"/>
          <w:kern w:val="0"/>
          <w:sz w:val="32"/>
          <w:szCs w:val="32"/>
        </w:rPr>
        <w:t>具体</w:t>
      </w:r>
      <w:r>
        <w:rPr>
          <w:rFonts w:hint="eastAsia" w:ascii="仿宋_GB2312" w:hAnsi="宋体" w:eastAsia="仿宋_GB2312" w:cs="宋体"/>
          <w:kern w:val="0"/>
          <w:sz w:val="32"/>
          <w:szCs w:val="32"/>
        </w:rPr>
        <w:t>样本量的确定上，根据以下条件：即根据以下条件：①患病率按中国卫生统计年鉴相关数据（截止2018年底），调查地区居民慢病患病率34.29%（按照患病人数计算，城市为33.49%、农村为35.21%）；②调查要求精确性按照允许±0.015误差；③调查结果在95%的置信区间以内。结合阳城县39.45万（城市19.18万人，乡村20.27万人）具体城乡人口，首先参照简单随机抽样样本容量确定最少需要调查人数为3810人，具体计算公式为：</w:t>
      </w:r>
    </w:p>
    <w:p>
      <w:pPr>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w:t>
      </w:r>
      <w:r>
        <w:rPr>
          <w:rFonts w:hint="eastAsia" w:ascii="仿宋_GB2312" w:hAnsi="宋体" w:eastAsia="仿宋_GB2312" w:cs="宋体"/>
          <w:kern w:val="0"/>
          <w:position w:val="-28"/>
          <w:sz w:val="32"/>
          <w:szCs w:val="32"/>
        </w:rPr>
        <w:object>
          <v:shape id="_x0000_i1025" o:spt="75" type="#_x0000_t75" style="height:33pt;width:123pt;" o:ole="t" filled="f" o:preferrelative="t" stroked="f" coordsize="21600,21600">
            <v:path/>
            <v:fill on="f" focussize="0,0"/>
            <v:stroke on="f" joinstyle="miter"/>
            <v:imagedata r:id="rId9" o:title=""/>
            <o:lock v:ext="edit" aspectratio="f"/>
            <w10:wrap type="none"/>
            <w10:anchorlock/>
          </v:shape>
          <o:OLEObject Type="Embed" ProgID="Equation.DSMT4" ShapeID="_x0000_i1025" DrawAspect="Content" ObjectID="_1468075725" r:id="rId8">
            <o:LockedField>false</o:LockedField>
          </o:OLEObject>
        </w:object>
      </w:r>
      <w:r>
        <w:rPr>
          <w:rFonts w:hint="eastAsia" w:ascii="仿宋_GB2312" w:hAnsi="宋体" w:eastAsia="仿宋_GB2312" w:cs="宋体"/>
          <w:kern w:val="0"/>
          <w:sz w:val="32"/>
          <w:szCs w:val="32"/>
        </w:rPr>
        <w:t xml:space="preserve"> </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针对城乡慢病患病率存在差异的现状，利用分层抽样分别确定城乡样本容量，结果为城市1840人、农村1970人，具体计算公式为：</w:t>
      </w:r>
    </w:p>
    <w:p>
      <w:pPr>
        <w:ind w:firstLine="630" w:firstLineChars="300"/>
      </w:pPr>
      <w:r>
        <w:rPr>
          <w:rFonts w:hint="eastAsia"/>
        </w:rPr>
        <w:drawing>
          <wp:anchor distT="0" distB="0" distL="114300" distR="114300" simplePos="0" relativeHeight="251659264" behindDoc="0" locked="0" layoutInCell="1" allowOverlap="1">
            <wp:simplePos x="0" y="0"/>
            <wp:positionH relativeFrom="column">
              <wp:posOffset>1016000</wp:posOffset>
            </wp:positionH>
            <wp:positionV relativeFrom="paragraph">
              <wp:posOffset>15240</wp:posOffset>
            </wp:positionV>
            <wp:extent cx="1544955" cy="5594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44955" cy="559435"/>
                    </a:xfrm>
                    <a:prstGeom prst="rect">
                      <a:avLst/>
                    </a:prstGeom>
                    <a:noFill/>
                  </pic:spPr>
                </pic:pic>
              </a:graphicData>
            </a:graphic>
          </wp:anchor>
        </w:drawing>
      </w:r>
    </w:p>
    <w:p>
      <w:pPr>
        <w:ind w:firstLine="630" w:firstLineChars="300"/>
      </w:pPr>
    </w:p>
    <w:p>
      <w:pPr>
        <w:ind w:firstLine="630" w:firstLineChars="300"/>
      </w:pP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抽样方法上，以两阶段简单随机抽样的方式，先在15个乡（镇）中随机抽取1个城区乡镇和5个农村乡镇分别作为城乡样本地区，其次分别按照各乡镇占全县人口比例，确定出各乡镇调查人数。再次，按照每村60户、每城市社区90户左右的工作量，计算乡镇的样本村（社区）数，并从各乡镇的（社区、村）列表中随机抽取出样本村和社区。最后，在样本村、社区中，以户为单位采取简单随机抽样的方法确定调查家庭，被抽中家庭的全部18岁以上家庭成员皆纳入调查。另外，为解决抽中样本的拒访、失访问题，在以上样本量之外，另按照10%的比例抽取一定数量的家庭作为候补调查单位，最终保证完成的调查数尽量接近原来的要求。</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最终实际完成调查3796人，符合全人群抽样调查相关要求。</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2、阳城县调查人群基本情况</w:t>
      </w:r>
    </w:p>
    <w:p>
      <w:pPr>
        <w:spacing w:line="600" w:lineRule="exact"/>
        <w:ind w:firstLine="640" w:firstLineChars="200"/>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参与本次调查的</w:t>
      </w:r>
      <w:r>
        <w:rPr>
          <w:rFonts w:hint="eastAsia" w:ascii="仿宋_GB2312" w:hAnsi="宋体" w:eastAsia="仿宋_GB2312" w:cs="宋体"/>
          <w:kern w:val="0"/>
          <w:sz w:val="32"/>
          <w:szCs w:val="32"/>
        </w:rPr>
        <w:t>3796</w:t>
      </w:r>
      <w:r>
        <w:rPr>
          <w:rFonts w:hint="eastAsia" w:ascii="仿宋_GB2312" w:hAnsi="宋体" w:eastAsia="仿宋_GB2312" w:cs="宋体"/>
          <w:kern w:val="0"/>
          <w:sz w:val="32"/>
          <w:szCs w:val="32"/>
          <w:lang w:val="zh-CN"/>
        </w:rPr>
        <w:t>人，按照性别、就业情况、民族、居住地、婚姻状况、年龄、文化程度、家庭每人平均可支配收入情况和参加医疗保险类型分别做人群基本情况的统计，具体结果见表1。</w:t>
      </w:r>
    </w:p>
    <w:p>
      <w:pPr>
        <w:jc w:val="center"/>
        <w:rPr>
          <w:rFonts w:ascii="黑体" w:hAnsi="$F$" w:eastAsia="黑体" w:cs="$F$"/>
          <w:bCs/>
          <w:color w:val="000000" w:themeColor="text1"/>
          <w:kern w:val="0"/>
          <w:sz w:val="24"/>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1</w:t>
      </w:r>
      <w:r>
        <w:rPr>
          <w:rFonts w:hint="eastAsia" w:ascii="黑体" w:hAnsi="$F$" w:eastAsia="黑体" w:cs="$F$"/>
          <w:bCs/>
          <w:color w:val="000000" w:themeColor="text1"/>
          <w:kern w:val="0"/>
          <w:sz w:val="24"/>
          <w14:textFill>
            <w14:solidFill>
              <w14:schemeClr w14:val="tx1"/>
            </w14:solidFill>
          </w14:textFill>
        </w:rPr>
        <w:t xml:space="preserve"> 调查人群基本情况（n, % ）</w:t>
      </w:r>
    </w:p>
    <w:tbl>
      <w:tblPr>
        <w:tblStyle w:val="9"/>
        <w:tblW w:w="9322" w:type="dxa"/>
        <w:jc w:val="center"/>
        <w:tblLayout w:type="fixed"/>
        <w:tblCellMar>
          <w:top w:w="0" w:type="dxa"/>
          <w:left w:w="108" w:type="dxa"/>
          <w:bottom w:w="0" w:type="dxa"/>
          <w:right w:w="108" w:type="dxa"/>
        </w:tblCellMar>
      </w:tblPr>
      <w:tblGrid>
        <w:gridCol w:w="853"/>
        <w:gridCol w:w="1257"/>
        <w:gridCol w:w="851"/>
        <w:gridCol w:w="1134"/>
        <w:gridCol w:w="1417"/>
        <w:gridCol w:w="1985"/>
        <w:gridCol w:w="709"/>
        <w:gridCol w:w="1116"/>
      </w:tblGrid>
      <w:tr>
        <w:tblPrEx>
          <w:tblCellMar>
            <w:top w:w="0" w:type="dxa"/>
            <w:left w:w="108" w:type="dxa"/>
            <w:bottom w:w="0" w:type="dxa"/>
            <w:right w:w="108" w:type="dxa"/>
          </w:tblCellMar>
        </w:tblPrEx>
        <w:trPr>
          <w:trHeight w:val="450" w:hRule="atLeast"/>
          <w:jc w:val="center"/>
        </w:trPr>
        <w:tc>
          <w:tcPr>
            <w:tcW w:w="853"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257"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851"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1134"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r>
              <w:rPr>
                <w:rFonts w:ascii="宋体" w:hAnsi="宋体"/>
                <w:color w:val="000000" w:themeColor="text1"/>
                <w:kern w:val="0"/>
                <w:sz w:val="24"/>
                <w14:textFill>
                  <w14:solidFill>
                    <w14:schemeClr w14:val="tx1"/>
                  </w14:solidFill>
                </w14:textFill>
              </w:rPr>
              <w:t>%</w:t>
            </w:r>
          </w:p>
        </w:tc>
        <w:tc>
          <w:tcPr>
            <w:tcW w:w="1417"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985"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709"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1116"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r>
              <w:rPr>
                <w:rFonts w:ascii="宋体" w:hAnsi="宋体"/>
                <w:color w:val="000000" w:themeColor="text1"/>
                <w:kern w:val="0"/>
                <w:sz w:val="24"/>
                <w14:textFill>
                  <w14:solidFill>
                    <w14:schemeClr w14:val="tx1"/>
                  </w14:solidFill>
                </w14:textFill>
              </w:rPr>
              <w:t>%</w:t>
            </w:r>
          </w:p>
        </w:tc>
      </w:tr>
      <w:tr>
        <w:tblPrEx>
          <w:tblCellMar>
            <w:top w:w="0" w:type="dxa"/>
            <w:left w:w="108" w:type="dxa"/>
            <w:bottom w:w="0" w:type="dxa"/>
            <w:right w:w="108" w:type="dxa"/>
          </w:tblCellMar>
        </w:tblPrEx>
        <w:trPr>
          <w:jc w:val="center"/>
        </w:trPr>
        <w:tc>
          <w:tcPr>
            <w:tcW w:w="853"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257"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851"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1642</w:t>
            </w:r>
          </w:p>
        </w:tc>
        <w:tc>
          <w:tcPr>
            <w:tcW w:w="1134"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43.3</w:t>
            </w:r>
          </w:p>
        </w:tc>
        <w:tc>
          <w:tcPr>
            <w:tcW w:w="1417"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985"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35岁以下</w:t>
            </w:r>
          </w:p>
        </w:tc>
        <w:tc>
          <w:tcPr>
            <w:tcW w:w="709" w:type="dxa"/>
            <w:tcBorders>
              <w:top w:val="single" w:color="auto" w:sz="4" w:space="0"/>
            </w:tcBorders>
            <w:vAlign w:val="center"/>
          </w:tcPr>
          <w:p>
            <w:pPr>
              <w:widowControl/>
              <w:spacing w:line="360" w:lineRule="auto"/>
              <w:jc w:val="center"/>
              <w:rPr>
                <w:rFonts w:ascii="宋体" w:hAnsi="宋体"/>
                <w:kern w:val="0"/>
                <w:sz w:val="24"/>
              </w:rPr>
            </w:pPr>
            <w:r>
              <w:rPr>
                <w:rFonts w:hint="eastAsia" w:ascii="宋体" w:hAnsi="宋体"/>
                <w:kern w:val="0"/>
                <w:sz w:val="24"/>
              </w:rPr>
              <w:t>370</w:t>
            </w:r>
          </w:p>
        </w:tc>
        <w:tc>
          <w:tcPr>
            <w:tcW w:w="1116" w:type="dxa"/>
            <w:tcBorders>
              <w:top w:val="single" w:color="auto" w:sz="4" w:space="0"/>
            </w:tcBorders>
            <w:vAlign w:val="center"/>
          </w:tcPr>
          <w:p>
            <w:pPr>
              <w:widowControl/>
              <w:spacing w:line="360" w:lineRule="auto"/>
              <w:jc w:val="center"/>
              <w:rPr>
                <w:rFonts w:ascii="宋体" w:hAnsi="宋体"/>
                <w:kern w:val="0"/>
                <w:sz w:val="24"/>
              </w:rPr>
            </w:pPr>
            <w:r>
              <w:rPr>
                <w:rFonts w:hint="eastAsia" w:ascii="宋体" w:hAnsi="宋体"/>
                <w:kern w:val="0"/>
                <w:sz w:val="24"/>
              </w:rPr>
              <w:t>9.7</w:t>
            </w:r>
          </w:p>
        </w:tc>
      </w:tr>
      <w:tr>
        <w:tblPrEx>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851"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2154</w:t>
            </w:r>
          </w:p>
        </w:tc>
        <w:tc>
          <w:tcPr>
            <w:tcW w:w="113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56.7</w:t>
            </w:r>
          </w:p>
        </w:tc>
        <w:tc>
          <w:tcPr>
            <w:tcW w:w="1417" w:type="dxa"/>
            <w:vMerge w:val="continue"/>
            <w:vAlign w:val="center"/>
          </w:tcPr>
          <w:p>
            <w:pPr>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709" w:type="dxa"/>
            <w:vAlign w:val="center"/>
          </w:tcPr>
          <w:p>
            <w:pPr>
              <w:widowControl/>
              <w:spacing w:line="360" w:lineRule="auto"/>
              <w:jc w:val="center"/>
              <w:rPr>
                <w:rFonts w:ascii="宋体" w:hAnsi="宋体"/>
                <w:kern w:val="0"/>
                <w:sz w:val="24"/>
              </w:rPr>
            </w:pPr>
            <w:r>
              <w:rPr>
                <w:rFonts w:hint="eastAsia" w:ascii="宋体" w:hAnsi="宋体"/>
                <w:kern w:val="0"/>
                <w:sz w:val="24"/>
              </w:rPr>
              <w:t>1778</w:t>
            </w:r>
          </w:p>
        </w:tc>
        <w:tc>
          <w:tcPr>
            <w:tcW w:w="1116" w:type="dxa"/>
            <w:vAlign w:val="center"/>
          </w:tcPr>
          <w:p>
            <w:pPr>
              <w:widowControl/>
              <w:spacing w:line="360" w:lineRule="auto"/>
              <w:jc w:val="center"/>
              <w:rPr>
                <w:rFonts w:ascii="宋体" w:hAnsi="宋体"/>
                <w:kern w:val="0"/>
                <w:sz w:val="24"/>
              </w:rPr>
            </w:pPr>
            <w:r>
              <w:rPr>
                <w:rFonts w:hint="eastAsia" w:ascii="宋体" w:hAnsi="宋体"/>
                <w:kern w:val="0"/>
                <w:sz w:val="24"/>
              </w:rPr>
              <w:t>46.8</w:t>
            </w:r>
          </w:p>
        </w:tc>
      </w:tr>
      <w:tr>
        <w:tblPrEx>
          <w:tblCellMar>
            <w:top w:w="0" w:type="dxa"/>
            <w:left w:w="108" w:type="dxa"/>
            <w:bottom w:w="0" w:type="dxa"/>
            <w:right w:w="108" w:type="dxa"/>
          </w:tblCellMar>
        </w:tblPrEx>
        <w:trPr>
          <w:jc w:val="center"/>
        </w:trPr>
        <w:tc>
          <w:tcPr>
            <w:tcW w:w="853"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就业情况</w:t>
            </w: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在业</w:t>
            </w:r>
          </w:p>
        </w:tc>
        <w:tc>
          <w:tcPr>
            <w:tcW w:w="85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1046</w:t>
            </w:r>
          </w:p>
        </w:tc>
        <w:tc>
          <w:tcPr>
            <w:tcW w:w="1134"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27.6</w:t>
            </w:r>
          </w:p>
        </w:tc>
        <w:tc>
          <w:tcPr>
            <w:tcW w:w="1417" w:type="dxa"/>
            <w:vMerge w:val="continue"/>
            <w:vAlign w:val="center"/>
          </w:tcPr>
          <w:p>
            <w:pPr>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1647</w:t>
            </w:r>
          </w:p>
        </w:tc>
        <w:tc>
          <w:tcPr>
            <w:tcW w:w="111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43.4</w:t>
            </w:r>
          </w:p>
        </w:tc>
      </w:tr>
      <w:tr>
        <w:tblPrEx>
          <w:tblCellMar>
            <w:top w:w="0" w:type="dxa"/>
            <w:left w:w="108" w:type="dxa"/>
            <w:bottom w:w="0" w:type="dxa"/>
            <w:right w:w="108" w:type="dxa"/>
          </w:tblCellMar>
        </w:tblPrEx>
        <w:trPr>
          <w:trHeight w:val="425" w:hRule="atLeast"/>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离退休</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246</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6.5</w:t>
            </w:r>
          </w:p>
        </w:tc>
        <w:tc>
          <w:tcPr>
            <w:tcW w:w="1417"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文化程度</w:t>
            </w: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小学以下</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769</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20.3</w:t>
            </w:r>
          </w:p>
        </w:tc>
      </w:tr>
      <w:tr>
        <w:tblPrEx>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务农</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2160</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56.9</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小学</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1622</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42.7</w:t>
            </w:r>
          </w:p>
        </w:tc>
      </w:tr>
      <w:tr>
        <w:tblPrEx>
          <w:tblCellMar>
            <w:top w:w="0" w:type="dxa"/>
            <w:left w:w="108" w:type="dxa"/>
            <w:bottom w:w="0" w:type="dxa"/>
            <w:right w:w="108" w:type="dxa"/>
          </w:tblCellMar>
        </w:tblPrEx>
        <w:trPr>
          <w:trHeight w:val="538" w:hRule="atLeast"/>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无业/失业</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275</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7.2</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高中</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中专</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593</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15.6</w:t>
            </w:r>
          </w:p>
        </w:tc>
      </w:tr>
      <w:tr>
        <w:tblPrEx>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其他</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67</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大专/本科及以上</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811</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21.4</w:t>
            </w:r>
          </w:p>
        </w:tc>
      </w:tr>
      <w:tr>
        <w:tblPrEx>
          <w:tblCellMar>
            <w:top w:w="0" w:type="dxa"/>
            <w:left w:w="108" w:type="dxa"/>
            <w:bottom w:w="0" w:type="dxa"/>
            <w:right w:w="108" w:type="dxa"/>
          </w:tblCellMar>
        </w:tblPrEx>
        <w:trPr>
          <w:jc w:val="center"/>
        </w:trPr>
        <w:tc>
          <w:tcPr>
            <w:tcW w:w="853"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民族</w:t>
            </w: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汉族</w:t>
            </w:r>
          </w:p>
        </w:tc>
        <w:tc>
          <w:tcPr>
            <w:tcW w:w="851"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3777</w:t>
            </w:r>
          </w:p>
        </w:tc>
        <w:tc>
          <w:tcPr>
            <w:tcW w:w="1134"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99.5</w:t>
            </w:r>
          </w:p>
        </w:tc>
        <w:tc>
          <w:tcPr>
            <w:tcW w:w="1417" w:type="dxa"/>
            <w:vMerge w:val="restart"/>
            <w:vAlign w:val="center"/>
          </w:tcPr>
          <w:p>
            <w:pPr>
              <w:widowControl/>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家庭人均可支配年收入</w:t>
            </w: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5000元及以下</w:t>
            </w:r>
          </w:p>
        </w:tc>
        <w:tc>
          <w:tcPr>
            <w:tcW w:w="709"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1826</w:t>
            </w:r>
          </w:p>
        </w:tc>
        <w:tc>
          <w:tcPr>
            <w:tcW w:w="1116"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48.1</w:t>
            </w:r>
          </w:p>
        </w:tc>
      </w:tr>
      <w:tr>
        <w:tblPrEx>
          <w:tblCellMar>
            <w:top w:w="0" w:type="dxa"/>
            <w:left w:w="108" w:type="dxa"/>
            <w:bottom w:w="0" w:type="dxa"/>
            <w:right w:w="108" w:type="dxa"/>
          </w:tblCellMar>
        </w:tblPrEx>
        <w:trPr>
          <w:trHeight w:val="454" w:hRule="atLeast"/>
          <w:jc w:val="center"/>
        </w:trPr>
        <w:tc>
          <w:tcPr>
            <w:tcW w:w="853"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少数民族</w:t>
            </w:r>
          </w:p>
        </w:tc>
        <w:tc>
          <w:tcPr>
            <w:tcW w:w="851"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w:t>
            </w:r>
          </w:p>
        </w:tc>
        <w:tc>
          <w:tcPr>
            <w:tcW w:w="113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5000-20000元</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1542</w:t>
            </w:r>
          </w:p>
        </w:tc>
        <w:tc>
          <w:tcPr>
            <w:tcW w:w="111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40.6</w:t>
            </w:r>
          </w:p>
        </w:tc>
      </w:tr>
      <w:tr>
        <w:tblPrEx>
          <w:tblCellMar>
            <w:top w:w="0" w:type="dxa"/>
            <w:left w:w="108" w:type="dxa"/>
            <w:bottom w:w="0" w:type="dxa"/>
            <w:right w:w="108" w:type="dxa"/>
          </w:tblCellMar>
        </w:tblPrEx>
        <w:trPr>
          <w:trHeight w:val="446" w:hRule="atLeast"/>
          <w:jc w:val="center"/>
        </w:trPr>
        <w:tc>
          <w:tcPr>
            <w:tcW w:w="853"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婚姻状况</w:t>
            </w: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未婚</w:t>
            </w:r>
          </w:p>
        </w:tc>
        <w:tc>
          <w:tcPr>
            <w:tcW w:w="851"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w:t>
            </w:r>
          </w:p>
        </w:tc>
        <w:tc>
          <w:tcPr>
            <w:tcW w:w="113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20000-50000元</w:t>
            </w:r>
          </w:p>
        </w:tc>
        <w:tc>
          <w:tcPr>
            <w:tcW w:w="709"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351</w:t>
            </w:r>
          </w:p>
        </w:tc>
        <w:tc>
          <w:tcPr>
            <w:tcW w:w="1116"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9.2</w:t>
            </w:r>
          </w:p>
        </w:tc>
      </w:tr>
      <w:tr>
        <w:tblPrEx>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已婚</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3445</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90.8</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50000元以上</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70</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r>
      <w:tr>
        <w:tblPrEx>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丧偶</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146</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w:t>
            </w:r>
          </w:p>
        </w:tc>
        <w:tc>
          <w:tcPr>
            <w:tcW w:w="1417"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参加医疗保险类型</w:t>
            </w: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城镇职工医保</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935</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24.6</w:t>
            </w:r>
          </w:p>
        </w:tc>
      </w:tr>
      <w:tr>
        <w:tblPrEx>
          <w:tblCellMar>
            <w:top w:w="0" w:type="dxa"/>
            <w:left w:w="108" w:type="dxa"/>
            <w:bottom w:w="0" w:type="dxa"/>
            <w:right w:w="108" w:type="dxa"/>
          </w:tblCellMar>
        </w:tblPrEx>
        <w:trPr>
          <w:trHeight w:val="90" w:hRule="atLeast"/>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离异</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城乡居民医保</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2837</w:t>
            </w:r>
          </w:p>
        </w:tc>
        <w:tc>
          <w:tcPr>
            <w:tcW w:w="111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74.7</w:t>
            </w:r>
          </w:p>
        </w:tc>
      </w:tr>
      <w:tr>
        <w:tblPrEx>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其他</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0.1</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未参加</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w:t>
            </w:r>
          </w:p>
        </w:tc>
      </w:tr>
      <w:tr>
        <w:tblPrEx>
          <w:tblCellMar>
            <w:top w:w="0" w:type="dxa"/>
            <w:left w:w="108" w:type="dxa"/>
            <w:bottom w:w="0" w:type="dxa"/>
            <w:right w:w="108" w:type="dxa"/>
          </w:tblCellMar>
        </w:tblPrEx>
        <w:trPr>
          <w:trHeight w:val="340" w:hRule="atLeast"/>
          <w:jc w:val="center"/>
        </w:trPr>
        <w:tc>
          <w:tcPr>
            <w:tcW w:w="853" w:type="dxa"/>
            <w:vMerge w:val="restart"/>
            <w:shd w:val="clear" w:color="auto" w:fill="FFFFFF" w:themeFill="background1"/>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1257" w:type="dxa"/>
            <w:shd w:val="clear" w:color="auto" w:fill="FFFFFF" w:themeFill="background1"/>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851" w:type="dxa"/>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1110</w:t>
            </w:r>
          </w:p>
        </w:tc>
        <w:tc>
          <w:tcPr>
            <w:tcW w:w="1134" w:type="dxa"/>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29.2</w:t>
            </w:r>
          </w:p>
        </w:tc>
        <w:tc>
          <w:tcPr>
            <w:tcW w:w="1417" w:type="dxa"/>
            <w:vMerge w:val="continue"/>
            <w:vAlign w:val="center"/>
          </w:tcPr>
          <w:p>
            <w:pPr>
              <w:widowControl/>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其他</w:t>
            </w:r>
          </w:p>
        </w:tc>
        <w:tc>
          <w:tcPr>
            <w:tcW w:w="709"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p>
        </w:tc>
        <w:tc>
          <w:tcPr>
            <w:tcW w:w="1116"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0.2</w:t>
            </w:r>
          </w:p>
        </w:tc>
      </w:tr>
      <w:tr>
        <w:tblPrEx>
          <w:tblCellMar>
            <w:top w:w="0" w:type="dxa"/>
            <w:left w:w="108" w:type="dxa"/>
            <w:bottom w:w="0" w:type="dxa"/>
            <w:right w:w="108" w:type="dxa"/>
          </w:tblCellMar>
        </w:tblPrEx>
        <w:trPr>
          <w:jc w:val="center"/>
        </w:trPr>
        <w:tc>
          <w:tcPr>
            <w:tcW w:w="853" w:type="dxa"/>
            <w:vMerge w:val="continue"/>
            <w:tcBorders>
              <w:bottom w:val="single" w:color="auto" w:sz="4" w:space="0"/>
            </w:tcBorders>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Borders>
              <w:bottom w:val="single" w:color="auto" w:sz="4" w:space="0"/>
            </w:tcBorders>
            <w:shd w:val="clear" w:color="auto" w:fill="FFFFFF" w:themeFill="background1"/>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851" w:type="dxa"/>
            <w:tcBorders>
              <w:bottom w:val="single" w:color="auto" w:sz="4" w:space="0"/>
            </w:tcBorders>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2686</w:t>
            </w:r>
          </w:p>
        </w:tc>
        <w:tc>
          <w:tcPr>
            <w:tcW w:w="1134" w:type="dxa"/>
            <w:tcBorders>
              <w:bottom w:val="single" w:color="auto" w:sz="4" w:space="0"/>
            </w:tcBorders>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70.8</w:t>
            </w:r>
          </w:p>
        </w:tc>
        <w:tc>
          <w:tcPr>
            <w:tcW w:w="1417" w:type="dxa"/>
            <w:vMerge w:val="continue"/>
            <w:tcBorders>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709" w:type="dxa"/>
            <w:tcBorders>
              <w:bottom w:val="single" w:color="auto" w:sz="4" w:space="0"/>
            </w:tcBorders>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p>
        </w:tc>
        <w:tc>
          <w:tcPr>
            <w:tcW w:w="1116" w:type="dxa"/>
            <w:tcBorders>
              <w:bottom w:val="single" w:color="auto" w:sz="4" w:space="0"/>
            </w:tcBorders>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p>
        </w:tc>
      </w:tr>
    </w:tbl>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注：变量缺失情况中，就业情况缺失2人；民族情况缺失2人；婚姻状况缺失2人；年龄缺失1人；文化程度缺失1人；收入情况缺失7人。</w:t>
      </w:r>
    </w:p>
    <w:p>
      <w:pPr>
        <w:ind w:firstLine="643" w:firstLineChars="200"/>
        <w:rPr>
          <w:rFonts w:ascii="仿宋" w:hAnsi="仿宋" w:eastAsia="仿宋" w:cs="宋体"/>
          <w:b/>
          <w:color w:val="000000"/>
          <w:kern w:val="0"/>
          <w:sz w:val="32"/>
          <w:szCs w:val="32"/>
        </w:rPr>
      </w:pPr>
    </w:p>
    <w:p>
      <w:pPr>
        <w:pStyle w:val="2"/>
        <w:spacing w:line="600" w:lineRule="exact"/>
        <w:jc w:val="center"/>
        <w:rPr>
          <w:rFonts w:ascii="黑体" w:hAnsi="黑体" w:eastAsia="黑体"/>
          <w:b w:val="0"/>
          <w:sz w:val="30"/>
          <w:szCs w:val="30"/>
        </w:rPr>
      </w:pPr>
      <w:bookmarkStart w:id="7" w:name="_Toc42800538"/>
      <w:bookmarkStart w:id="8" w:name="_Toc42801665"/>
      <w:r>
        <w:rPr>
          <w:rFonts w:hint="eastAsia" w:ascii="黑体" w:hAnsi="黑体" w:eastAsia="黑体"/>
          <w:b w:val="0"/>
          <w:sz w:val="30"/>
          <w:szCs w:val="30"/>
        </w:rPr>
        <w:t>四、疾病谱变化</w:t>
      </w:r>
      <w:bookmarkEnd w:id="7"/>
      <w:bookmarkEnd w:id="8"/>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（一）居民死因资料分析</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根据20</w:t>
      </w:r>
      <w:r>
        <w:rPr>
          <w:rFonts w:ascii="仿宋" w:hAnsi="仿宋" w:eastAsia="仿宋" w:cs="宋体"/>
          <w:color w:val="000000"/>
          <w:kern w:val="0"/>
          <w:sz w:val="32"/>
          <w:szCs w:val="32"/>
        </w:rPr>
        <w:t>19</w:t>
      </w:r>
      <w:r>
        <w:rPr>
          <w:rFonts w:hint="eastAsia" w:ascii="仿宋" w:hAnsi="仿宋" w:eastAsia="仿宋" w:cs="宋体"/>
          <w:color w:val="000000"/>
          <w:kern w:val="0"/>
          <w:sz w:val="32"/>
          <w:szCs w:val="32"/>
        </w:rPr>
        <w:t>-20</w:t>
      </w:r>
      <w:r>
        <w:rPr>
          <w:rFonts w:ascii="仿宋" w:hAnsi="仿宋" w:eastAsia="仿宋" w:cs="宋体"/>
          <w:color w:val="000000"/>
          <w:kern w:val="0"/>
          <w:sz w:val="32"/>
          <w:szCs w:val="32"/>
        </w:rPr>
        <w:t>21</w:t>
      </w:r>
      <w:r>
        <w:rPr>
          <w:rFonts w:hint="eastAsia" w:ascii="仿宋" w:hAnsi="仿宋" w:eastAsia="仿宋" w:cs="宋体"/>
          <w:color w:val="000000"/>
          <w:kern w:val="0"/>
          <w:sz w:val="32"/>
          <w:szCs w:val="32"/>
        </w:rPr>
        <w:t>年三年间阳城县居民死因监测资料（死因情况通报），阳城县居民的死因顺位依次为:恶性肿瘤、脑血管病、心脏病、损伤及中毒、呼吸系统疾病、消化系统疾病、内分泌营养代谢疾病（见表</w:t>
      </w: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）。在</w:t>
      </w:r>
      <w:r>
        <w:rPr>
          <w:rFonts w:ascii="仿宋" w:hAnsi="仿宋" w:eastAsia="仿宋" w:cs="宋体"/>
          <w:color w:val="000000"/>
          <w:kern w:val="0"/>
          <w:sz w:val="32"/>
          <w:szCs w:val="32"/>
        </w:rPr>
        <w:t>8111</w:t>
      </w:r>
      <w:r>
        <w:rPr>
          <w:rFonts w:hint="eastAsia" w:ascii="仿宋" w:hAnsi="仿宋" w:eastAsia="仿宋" w:cs="宋体"/>
          <w:color w:val="000000"/>
          <w:kern w:val="0"/>
          <w:sz w:val="32"/>
          <w:szCs w:val="32"/>
        </w:rPr>
        <w:t>例死亡个案中，属严重危害我国居民健康的心脑血管疾病、恶性肿瘤、慢性呼吸系统疾病和糖尿病等四类慢性疾病的有</w:t>
      </w:r>
      <w:r>
        <w:rPr>
          <w:rFonts w:ascii="仿宋" w:hAnsi="仿宋" w:eastAsia="仿宋" w:cs="宋体"/>
          <w:color w:val="000000"/>
          <w:kern w:val="0"/>
          <w:sz w:val="32"/>
          <w:szCs w:val="32"/>
        </w:rPr>
        <w:t>6871</w:t>
      </w:r>
      <w:r>
        <w:rPr>
          <w:rFonts w:hint="eastAsia" w:ascii="仿宋" w:hAnsi="仿宋" w:eastAsia="仿宋" w:cs="宋体"/>
          <w:color w:val="000000"/>
          <w:kern w:val="0"/>
          <w:sz w:val="32"/>
          <w:szCs w:val="32"/>
        </w:rPr>
        <w:t>例，占全部死因的8</w:t>
      </w:r>
      <w:r>
        <w:rPr>
          <w:rFonts w:ascii="仿宋" w:hAnsi="仿宋" w:eastAsia="仿宋" w:cs="宋体"/>
          <w:color w:val="000000"/>
          <w:kern w:val="0"/>
          <w:sz w:val="32"/>
          <w:szCs w:val="32"/>
        </w:rPr>
        <w:t>4.71</w:t>
      </w:r>
      <w:r>
        <w:rPr>
          <w:rFonts w:hint="eastAsia" w:ascii="仿宋" w:hAnsi="仿宋" w:eastAsia="仿宋" w:cs="宋体"/>
          <w:color w:val="000000"/>
          <w:kern w:val="0"/>
          <w:sz w:val="32"/>
          <w:szCs w:val="32"/>
        </w:rPr>
        <w:t>%，主要死因依次为恶性肿瘤、心脑血管疾病、慢性呼吸系统疾病、糖尿病。</w:t>
      </w:r>
    </w:p>
    <w:p>
      <w:pPr>
        <w:spacing w:line="360" w:lineRule="auto"/>
        <w:ind w:firstLine="1440" w:firstLineChars="600"/>
        <w:rPr>
          <w:rFonts w:ascii="黑体" w:eastAsia="黑体"/>
          <w:sz w:val="24"/>
        </w:rPr>
      </w:pPr>
      <w:r>
        <w:rPr>
          <w:rFonts w:hint="eastAsia" w:ascii="黑体" w:eastAsia="黑体"/>
          <w:sz w:val="24"/>
        </w:rPr>
        <w:t>表</w:t>
      </w:r>
      <w:r>
        <w:rPr>
          <w:rFonts w:ascii="黑体" w:eastAsia="黑体"/>
          <w:sz w:val="24"/>
        </w:rPr>
        <w:t>2</w:t>
      </w:r>
      <w:r>
        <w:rPr>
          <w:rFonts w:hint="eastAsia" w:ascii="黑体" w:eastAsia="黑体"/>
          <w:sz w:val="24"/>
        </w:rPr>
        <w:t xml:space="preserve"> 20</w:t>
      </w:r>
      <w:r>
        <w:rPr>
          <w:rFonts w:ascii="黑体" w:eastAsia="黑体"/>
          <w:sz w:val="24"/>
        </w:rPr>
        <w:t>19</w:t>
      </w:r>
      <w:r>
        <w:rPr>
          <w:rFonts w:hint="eastAsia" w:ascii="黑体" w:eastAsia="黑体"/>
          <w:sz w:val="24"/>
        </w:rPr>
        <w:t>-20</w:t>
      </w:r>
      <w:r>
        <w:rPr>
          <w:rFonts w:ascii="黑体" w:eastAsia="黑体"/>
          <w:sz w:val="24"/>
        </w:rPr>
        <w:t>21</w:t>
      </w:r>
      <w:r>
        <w:rPr>
          <w:rFonts w:hint="eastAsia" w:ascii="黑体" w:eastAsia="黑体"/>
          <w:sz w:val="24"/>
        </w:rPr>
        <w:t xml:space="preserve">年阳城县居民死因顺位、死亡率及百分比构成 </w:t>
      </w:r>
    </w:p>
    <w:tbl>
      <w:tblPr>
        <w:tblStyle w:val="9"/>
        <w:tblW w:w="989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0"/>
        <w:gridCol w:w="623"/>
        <w:gridCol w:w="709"/>
        <w:gridCol w:w="794"/>
        <w:gridCol w:w="624"/>
        <w:gridCol w:w="709"/>
        <w:gridCol w:w="794"/>
        <w:gridCol w:w="624"/>
        <w:gridCol w:w="709"/>
        <w:gridCol w:w="795"/>
        <w:gridCol w:w="624"/>
        <w:gridCol w:w="709"/>
        <w:gridCol w:w="7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Merge w:val="restart"/>
            <w:tcBorders>
              <w:top w:val="single" w:color="auto" w:sz="4" w:space="0"/>
              <w:bottom w:val="nil"/>
            </w:tcBorders>
            <w:shd w:val="clear" w:color="auto" w:fill="auto"/>
            <w:vAlign w:val="center"/>
          </w:tcPr>
          <w:p>
            <w:pPr>
              <w:spacing w:line="360" w:lineRule="auto"/>
              <w:jc w:val="center"/>
              <w:rPr>
                <w:rFonts w:ascii="仿宋" w:hAnsi="仿宋" w:eastAsia="仿宋"/>
                <w:sz w:val="24"/>
              </w:rPr>
            </w:pPr>
            <w:r>
              <w:rPr>
                <w:rFonts w:hint="eastAsia" w:ascii="仿宋" w:hAnsi="仿宋" w:eastAsia="仿宋"/>
                <w:sz w:val="24"/>
              </w:rPr>
              <w:t>疾病名称</w:t>
            </w:r>
          </w:p>
        </w:tc>
        <w:tc>
          <w:tcPr>
            <w:tcW w:w="2126" w:type="dxa"/>
            <w:gridSpan w:val="3"/>
            <w:tcBorders>
              <w:top w:val="single" w:color="auto" w:sz="4" w:space="0"/>
              <w:bottom w:val="nil"/>
            </w:tcBorders>
            <w:vAlign w:val="center"/>
          </w:tcPr>
          <w:p>
            <w:pPr>
              <w:spacing w:line="360" w:lineRule="auto"/>
              <w:jc w:val="center"/>
              <w:rPr>
                <w:rFonts w:ascii="仿宋" w:hAnsi="仿宋" w:eastAsia="仿宋"/>
                <w:sz w:val="24"/>
              </w:rPr>
            </w:pPr>
            <w:r>
              <w:rPr>
                <w:rFonts w:hint="eastAsia" w:ascii="仿宋" w:hAnsi="仿宋" w:eastAsia="仿宋"/>
                <w:sz w:val="24"/>
              </w:rPr>
              <w:t>20</w:t>
            </w:r>
            <w:r>
              <w:rPr>
                <w:rFonts w:ascii="仿宋" w:hAnsi="仿宋" w:eastAsia="仿宋"/>
                <w:sz w:val="24"/>
              </w:rPr>
              <w:t>19</w:t>
            </w:r>
            <w:r>
              <w:rPr>
                <w:rFonts w:hint="eastAsia" w:ascii="仿宋" w:hAnsi="仿宋" w:eastAsia="仿宋"/>
                <w:sz w:val="24"/>
              </w:rPr>
              <w:t>年度</w:t>
            </w:r>
          </w:p>
        </w:tc>
        <w:tc>
          <w:tcPr>
            <w:tcW w:w="2127" w:type="dxa"/>
            <w:gridSpan w:val="3"/>
            <w:tcBorders>
              <w:top w:val="single" w:color="auto" w:sz="4" w:space="0"/>
            </w:tcBorders>
            <w:vAlign w:val="center"/>
          </w:tcPr>
          <w:p>
            <w:pPr>
              <w:spacing w:line="360" w:lineRule="auto"/>
              <w:jc w:val="center"/>
              <w:rPr>
                <w:rFonts w:ascii="仿宋" w:hAnsi="仿宋" w:eastAsia="仿宋"/>
                <w:sz w:val="24"/>
              </w:rPr>
            </w:pPr>
            <w:r>
              <w:rPr>
                <w:rFonts w:hint="eastAsia" w:ascii="仿宋" w:hAnsi="仿宋" w:eastAsia="仿宋"/>
                <w:sz w:val="24"/>
              </w:rPr>
              <w:t>2</w:t>
            </w:r>
            <w:r>
              <w:rPr>
                <w:rFonts w:ascii="仿宋" w:hAnsi="仿宋" w:eastAsia="仿宋"/>
                <w:sz w:val="24"/>
              </w:rPr>
              <w:t>020</w:t>
            </w:r>
            <w:r>
              <w:rPr>
                <w:rFonts w:hint="eastAsia" w:ascii="仿宋" w:hAnsi="仿宋" w:eastAsia="仿宋"/>
                <w:sz w:val="24"/>
              </w:rPr>
              <w:t>年度</w:t>
            </w:r>
          </w:p>
        </w:tc>
        <w:tc>
          <w:tcPr>
            <w:tcW w:w="2128" w:type="dxa"/>
            <w:gridSpan w:val="3"/>
            <w:tcBorders>
              <w:top w:val="single" w:color="auto" w:sz="4" w:space="0"/>
              <w:bottom w:val="nil"/>
            </w:tcBorders>
            <w:vAlign w:val="center"/>
          </w:tcPr>
          <w:p>
            <w:pPr>
              <w:spacing w:line="360" w:lineRule="auto"/>
              <w:jc w:val="center"/>
              <w:rPr>
                <w:rFonts w:ascii="仿宋" w:hAnsi="仿宋" w:eastAsia="仿宋"/>
                <w:sz w:val="24"/>
              </w:rPr>
            </w:pPr>
            <w:r>
              <w:rPr>
                <w:rFonts w:hint="eastAsia" w:ascii="仿宋" w:hAnsi="仿宋" w:eastAsia="仿宋"/>
                <w:sz w:val="24"/>
              </w:rPr>
              <w:t>20</w:t>
            </w:r>
            <w:r>
              <w:rPr>
                <w:rFonts w:ascii="仿宋" w:hAnsi="仿宋" w:eastAsia="仿宋"/>
                <w:sz w:val="24"/>
              </w:rPr>
              <w:t>21</w:t>
            </w:r>
            <w:r>
              <w:rPr>
                <w:rFonts w:hint="eastAsia" w:ascii="仿宋" w:hAnsi="仿宋" w:eastAsia="仿宋"/>
                <w:sz w:val="24"/>
              </w:rPr>
              <w:t>年度</w:t>
            </w:r>
          </w:p>
        </w:tc>
        <w:tc>
          <w:tcPr>
            <w:tcW w:w="2129" w:type="dxa"/>
            <w:gridSpan w:val="3"/>
            <w:tcBorders>
              <w:top w:val="single" w:color="auto" w:sz="4" w:space="0"/>
              <w:bottom w:val="nil"/>
            </w:tcBorders>
            <w:vAlign w:val="center"/>
          </w:tcPr>
          <w:p>
            <w:pPr>
              <w:spacing w:line="360" w:lineRule="auto"/>
              <w:jc w:val="center"/>
              <w:rPr>
                <w:rFonts w:ascii="仿宋" w:hAnsi="仿宋" w:eastAsia="仿宋"/>
                <w:sz w:val="24"/>
              </w:rPr>
            </w:pPr>
            <w:r>
              <w:rPr>
                <w:rFonts w:hint="eastAsia" w:ascii="仿宋" w:hAnsi="仿宋" w:eastAsia="仿宋"/>
                <w:sz w:val="24"/>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Merge w:val="continue"/>
            <w:tcBorders>
              <w:top w:val="nil"/>
              <w:bottom w:val="single" w:color="auto" w:sz="4" w:space="0"/>
            </w:tcBorders>
            <w:shd w:val="clear" w:color="auto" w:fill="auto"/>
            <w:vAlign w:val="center"/>
          </w:tcPr>
          <w:p>
            <w:pPr>
              <w:spacing w:line="360" w:lineRule="auto"/>
              <w:jc w:val="center"/>
              <w:rPr>
                <w:rFonts w:ascii="仿宋" w:hAnsi="仿宋" w:eastAsia="仿宋"/>
                <w:sz w:val="24"/>
              </w:rPr>
            </w:pPr>
          </w:p>
        </w:tc>
        <w:tc>
          <w:tcPr>
            <w:tcW w:w="623"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4" w:type="dxa"/>
            <w:tcBorders>
              <w:top w:val="nil"/>
              <w:bottom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4"/>
              </w:rPr>
              <w:t>构成比（%）</w:t>
            </w:r>
          </w:p>
        </w:tc>
        <w:tc>
          <w:tcPr>
            <w:tcW w:w="624" w:type="dxa"/>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4" w:type="dxa"/>
            <w:vAlign w:val="center"/>
          </w:tcPr>
          <w:p>
            <w:pPr>
              <w:widowControl/>
              <w:jc w:val="center"/>
              <w:rPr>
                <w:rFonts w:ascii="仿宋" w:hAnsi="仿宋" w:eastAsia="仿宋" w:cs="宋体"/>
                <w:kern w:val="0"/>
                <w:sz w:val="24"/>
              </w:rPr>
            </w:pPr>
            <w:r>
              <w:rPr>
                <w:rFonts w:hint="eastAsia" w:ascii="仿宋" w:hAnsi="仿宋" w:eastAsia="仿宋" w:cs="宋体"/>
                <w:kern w:val="0"/>
                <w:sz w:val="24"/>
              </w:rPr>
              <w:t>构成比（%）</w:t>
            </w:r>
          </w:p>
        </w:tc>
        <w:tc>
          <w:tcPr>
            <w:tcW w:w="624"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5" w:type="dxa"/>
            <w:tcBorders>
              <w:top w:val="nil"/>
              <w:bottom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4"/>
              </w:rPr>
              <w:t>构成比（%）</w:t>
            </w:r>
          </w:p>
        </w:tc>
        <w:tc>
          <w:tcPr>
            <w:tcW w:w="624"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6" w:type="dxa"/>
            <w:tcBorders>
              <w:top w:val="nil"/>
              <w:bottom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4"/>
              </w:rPr>
              <w:t>构成比（%）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恶性肿瘤</w:t>
            </w:r>
          </w:p>
        </w:tc>
        <w:tc>
          <w:tcPr>
            <w:tcW w:w="623"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818</w:t>
            </w:r>
          </w:p>
        </w:tc>
        <w:tc>
          <w:tcPr>
            <w:tcW w:w="794"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29.12</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3</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711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26.72</w:t>
            </w:r>
          </w:p>
        </w:tc>
        <w:tc>
          <w:tcPr>
            <w:tcW w:w="624"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683</w:t>
            </w:r>
          </w:p>
        </w:tc>
        <w:tc>
          <w:tcPr>
            <w:tcW w:w="795"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25.86</w:t>
            </w:r>
          </w:p>
        </w:tc>
        <w:tc>
          <w:tcPr>
            <w:tcW w:w="624"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tcBorders>
              <w:top w:val="single" w:color="auto" w:sz="4" w:space="0"/>
            </w:tcBorders>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2212</w:t>
            </w:r>
          </w:p>
        </w:tc>
        <w:tc>
          <w:tcPr>
            <w:tcW w:w="796" w:type="dxa"/>
            <w:tcBorders>
              <w:top w:val="single" w:color="auto" w:sz="4" w:space="0"/>
            </w:tcBorders>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27.27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脑血管病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806</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28.69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721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27.1</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3</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662</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27.07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2189</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26.99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心脏病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3</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715</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25.45</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731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27.47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743</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28.13</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2189</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26.99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损伤及中毒</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216</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7.69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221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8.31</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227</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8.6</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664</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8.19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呼吸系统疾病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55</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1.96</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58</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2.18</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52</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165</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消化系统疾病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38</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1.35</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29</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1.09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51</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1.93</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118</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内分泌营养代谢疾病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7</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35</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1.25</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29</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1.09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7</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52</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7</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116</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其他疾病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126</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4.49</w:t>
            </w:r>
          </w:p>
        </w:tc>
        <w:tc>
          <w:tcPr>
            <w:tcW w:w="624"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161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6.04</w:t>
            </w:r>
          </w:p>
        </w:tc>
        <w:tc>
          <w:tcPr>
            <w:tcW w:w="624"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171</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4.47</w:t>
            </w:r>
          </w:p>
        </w:tc>
        <w:tc>
          <w:tcPr>
            <w:tcW w:w="624"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458</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5.65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 w:val="24"/>
              </w:rPr>
            </w:pPr>
            <w:r>
              <w:rPr>
                <w:rFonts w:hint="eastAsia" w:ascii="仿宋" w:hAnsi="仿宋" w:eastAsia="仿宋"/>
                <w:color w:val="000000"/>
              </w:rPr>
              <w:t>总计</w:t>
            </w:r>
          </w:p>
        </w:tc>
        <w:tc>
          <w:tcPr>
            <w:tcW w:w="623"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sz w:val="24"/>
              </w:rPr>
            </w:pPr>
            <w:r>
              <w:rPr>
                <w:rFonts w:hint="eastAsia" w:ascii="仿宋" w:hAnsi="仿宋" w:eastAsia="仿宋"/>
                <w:color w:val="000000"/>
              </w:rPr>
              <w:t>2809</w:t>
            </w:r>
          </w:p>
        </w:tc>
        <w:tc>
          <w:tcPr>
            <w:tcW w:w="794" w:type="dxa"/>
            <w:vAlign w:val="center"/>
          </w:tcPr>
          <w:p>
            <w:pPr>
              <w:spacing w:line="360" w:lineRule="auto"/>
              <w:jc w:val="center"/>
              <w:rPr>
                <w:rFonts w:ascii="仿宋" w:hAnsi="仿宋" w:eastAsia="仿宋"/>
                <w:sz w:val="24"/>
              </w:rPr>
            </w:pPr>
            <w:r>
              <w:rPr>
                <w:rFonts w:hint="eastAsia" w:ascii="仿宋" w:hAnsi="仿宋" w:eastAsia="仿宋"/>
                <w:color w:val="000000"/>
              </w:rPr>
              <w:t>100</w:t>
            </w:r>
          </w:p>
        </w:tc>
        <w:tc>
          <w:tcPr>
            <w:tcW w:w="624"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sz w:val="24"/>
              </w:rPr>
            </w:pPr>
            <w:r>
              <w:rPr>
                <w:rFonts w:hint="eastAsia" w:ascii="仿宋" w:hAnsi="仿宋" w:eastAsia="仿宋"/>
                <w:color w:val="000000"/>
              </w:rPr>
              <w:t>2661</w:t>
            </w:r>
          </w:p>
        </w:tc>
        <w:tc>
          <w:tcPr>
            <w:tcW w:w="794" w:type="dxa"/>
            <w:vAlign w:val="center"/>
          </w:tcPr>
          <w:p>
            <w:pPr>
              <w:spacing w:line="360" w:lineRule="auto"/>
              <w:jc w:val="center"/>
              <w:rPr>
                <w:rFonts w:ascii="仿宋" w:hAnsi="仿宋" w:eastAsia="仿宋"/>
                <w:sz w:val="24"/>
              </w:rPr>
            </w:pPr>
            <w:r>
              <w:rPr>
                <w:rFonts w:hint="eastAsia" w:ascii="仿宋" w:hAnsi="仿宋" w:eastAsia="仿宋"/>
                <w:color w:val="000000"/>
              </w:rPr>
              <w:t>100</w:t>
            </w:r>
          </w:p>
        </w:tc>
        <w:tc>
          <w:tcPr>
            <w:tcW w:w="624"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sz w:val="24"/>
              </w:rPr>
            </w:pPr>
            <w:r>
              <w:rPr>
                <w:rFonts w:hint="eastAsia" w:ascii="仿宋" w:hAnsi="仿宋" w:eastAsia="仿宋"/>
                <w:color w:val="000000"/>
              </w:rPr>
              <w:t>2641</w:t>
            </w:r>
          </w:p>
        </w:tc>
        <w:tc>
          <w:tcPr>
            <w:tcW w:w="795" w:type="dxa"/>
            <w:vAlign w:val="center"/>
          </w:tcPr>
          <w:p>
            <w:pPr>
              <w:spacing w:line="360" w:lineRule="auto"/>
              <w:jc w:val="center"/>
              <w:rPr>
                <w:rFonts w:ascii="仿宋" w:hAnsi="仿宋" w:eastAsia="仿宋"/>
                <w:sz w:val="24"/>
              </w:rPr>
            </w:pPr>
            <w:r>
              <w:rPr>
                <w:rFonts w:hint="eastAsia" w:ascii="仿宋" w:hAnsi="仿宋" w:eastAsia="仿宋"/>
                <w:color w:val="000000"/>
              </w:rPr>
              <w:t>100</w:t>
            </w:r>
          </w:p>
        </w:tc>
        <w:tc>
          <w:tcPr>
            <w:tcW w:w="624"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8111</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100</w:t>
            </w:r>
          </w:p>
        </w:tc>
      </w:tr>
    </w:tbl>
    <w:p>
      <w:pPr>
        <w:ind w:firstLine="640" w:firstLineChars="200"/>
        <w:rPr>
          <w:rFonts w:hint="eastAsia" w:ascii="仿宋" w:hAnsi="仿宋" w:eastAsia="仿宋" w:cs="宋体"/>
          <w:color w:val="000000"/>
          <w:kern w:val="0"/>
          <w:sz w:val="32"/>
          <w:szCs w:val="32"/>
          <w:lang w:val="en-US" w:eastAsia="zh-CN"/>
        </w:rPr>
      </w:pPr>
    </w:p>
    <w:p>
      <w:pPr>
        <w:ind w:firstLine="640" w:firstLineChars="200"/>
        <w:rPr>
          <w:rFonts w:hint="default" w:ascii="仿宋" w:hAnsi="仿宋" w:eastAsia="仿宋" w:cs="宋体"/>
          <w:color w:val="FF0000"/>
          <w:kern w:val="0"/>
          <w:sz w:val="32"/>
          <w:szCs w:val="32"/>
          <w:highlight w:val="none"/>
          <w:lang w:val="en-US" w:eastAsia="zh-CN"/>
        </w:rPr>
      </w:pPr>
      <w:r>
        <w:rPr>
          <w:rFonts w:hint="eastAsia" w:ascii="仿宋" w:hAnsi="仿宋" w:eastAsia="仿宋" w:cs="宋体"/>
          <w:color w:val="FF0000"/>
          <w:kern w:val="0"/>
          <w:sz w:val="32"/>
          <w:szCs w:val="32"/>
          <w:highlight w:val="none"/>
          <w:lang w:val="en-US" w:eastAsia="zh-CN"/>
        </w:rPr>
        <w:t>同时根据统计监测资料，2021年阳城县居民重大慢性病过早死亡率为14.22%，与2016年的19.26%相比，5年下降5.04个百分点，下降幅度达26.17%。心脑血管疾病标化死亡率为369.11/10万。70岁及以下人群慢性呼吸系统疾病标化死亡率为8.79/10万。</w:t>
      </w:r>
    </w:p>
    <w:p>
      <w:pPr>
        <w:ind w:firstLine="640" w:firstLineChars="200"/>
        <w:rPr>
          <w:rFonts w:hint="eastAsia" w:ascii="仿宋" w:hAnsi="仿宋" w:eastAsia="仿宋" w:cs="宋体"/>
          <w:color w:val="000000"/>
          <w:kern w:val="0"/>
          <w:sz w:val="32"/>
          <w:szCs w:val="32"/>
        </w:rPr>
      </w:pPr>
    </w:p>
    <w:p>
      <w:pPr>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（二）居民肿瘤登记情况</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017-2021</w:t>
      </w:r>
      <w:r>
        <w:rPr>
          <w:rFonts w:hint="eastAsia" w:ascii="仿宋" w:hAnsi="仿宋" w:eastAsia="仿宋" w:cs="宋体"/>
          <w:color w:val="000000"/>
          <w:kern w:val="0"/>
          <w:sz w:val="32"/>
          <w:szCs w:val="32"/>
        </w:rPr>
        <w:t>年阳城县各肿瘤登记处上报肿瘤病例报告卡覆盖率均达到100%。经阳城县肿瘤医院科研办通过审核、筛查、剔重、整理、录入排重，按要求由专人录入计算机建立数据库，2</w:t>
      </w:r>
      <w:r>
        <w:rPr>
          <w:rFonts w:ascii="仿宋" w:hAnsi="仿宋" w:eastAsia="仿宋" w:cs="宋体"/>
          <w:color w:val="000000"/>
          <w:kern w:val="0"/>
          <w:sz w:val="32"/>
          <w:szCs w:val="32"/>
        </w:rPr>
        <w:t>017</w:t>
      </w:r>
      <w:r>
        <w:rPr>
          <w:rFonts w:hint="eastAsia" w:ascii="仿宋" w:hAnsi="仿宋" w:eastAsia="仿宋" w:cs="宋体"/>
          <w:color w:val="000000"/>
          <w:kern w:val="0"/>
          <w:sz w:val="32"/>
          <w:szCs w:val="32"/>
        </w:rPr>
        <w:t>年我县共报告恶性肿瘤病例报告1480例，报告发病率386.00/10万；201</w:t>
      </w:r>
      <w:r>
        <w:rPr>
          <w:rFonts w:ascii="仿宋" w:hAnsi="仿宋" w:eastAsia="仿宋" w:cs="宋体"/>
          <w:color w:val="000000"/>
          <w:kern w:val="0"/>
          <w:sz w:val="32"/>
          <w:szCs w:val="32"/>
        </w:rPr>
        <w:t>8</w:t>
      </w:r>
      <w:r>
        <w:rPr>
          <w:rFonts w:hint="eastAsia" w:ascii="仿宋" w:hAnsi="仿宋" w:eastAsia="仿宋" w:cs="宋体"/>
          <w:color w:val="000000"/>
          <w:kern w:val="0"/>
          <w:sz w:val="32"/>
          <w:szCs w:val="32"/>
        </w:rPr>
        <w:t>年共报告恶性肿瘤病例1305例，报告发病率340.64/10万；201</w:t>
      </w:r>
      <w:r>
        <w:rPr>
          <w:rFonts w:ascii="仿宋" w:hAnsi="仿宋" w:eastAsia="仿宋" w:cs="宋体"/>
          <w:color w:val="000000"/>
          <w:kern w:val="0"/>
          <w:sz w:val="32"/>
          <w:szCs w:val="32"/>
        </w:rPr>
        <w:t>9</w:t>
      </w:r>
      <w:r>
        <w:rPr>
          <w:rFonts w:hint="eastAsia" w:ascii="仿宋" w:hAnsi="仿宋" w:eastAsia="仿宋" w:cs="宋体"/>
          <w:color w:val="000000"/>
          <w:kern w:val="0"/>
          <w:sz w:val="32"/>
          <w:szCs w:val="32"/>
        </w:rPr>
        <w:t>年报告新增恶性肿瘤病例1127例，报告发病率295.44/10万；20</w:t>
      </w:r>
      <w:r>
        <w:rPr>
          <w:rFonts w:ascii="仿宋" w:hAnsi="仿宋" w:eastAsia="仿宋" w:cs="宋体"/>
          <w:color w:val="000000"/>
          <w:kern w:val="0"/>
          <w:sz w:val="32"/>
          <w:szCs w:val="32"/>
        </w:rPr>
        <w:t>20</w:t>
      </w:r>
      <w:r>
        <w:rPr>
          <w:rFonts w:hint="eastAsia" w:ascii="仿宋" w:hAnsi="仿宋" w:eastAsia="仿宋" w:cs="宋体"/>
          <w:color w:val="000000"/>
          <w:kern w:val="0"/>
          <w:sz w:val="32"/>
          <w:szCs w:val="32"/>
        </w:rPr>
        <w:t>年报告新增恶性肿瘤病例1296例，报告发病率341.83/10万；20</w:t>
      </w:r>
      <w:r>
        <w:rPr>
          <w:rFonts w:ascii="仿宋" w:hAnsi="仿宋" w:eastAsia="仿宋" w:cs="宋体"/>
          <w:color w:val="000000"/>
          <w:kern w:val="0"/>
          <w:sz w:val="32"/>
          <w:szCs w:val="32"/>
        </w:rPr>
        <w:t>21</w:t>
      </w:r>
      <w:r>
        <w:rPr>
          <w:rFonts w:hint="eastAsia" w:ascii="仿宋" w:hAnsi="仿宋" w:eastAsia="仿宋" w:cs="宋体"/>
          <w:color w:val="000000"/>
          <w:kern w:val="0"/>
          <w:sz w:val="32"/>
          <w:szCs w:val="32"/>
        </w:rPr>
        <w:t>年新增恶性肿瘤病例</w:t>
      </w:r>
      <w:r>
        <w:rPr>
          <w:rFonts w:ascii="仿宋" w:hAnsi="仿宋" w:eastAsia="仿宋" w:cs="宋体"/>
          <w:color w:val="000000"/>
          <w:kern w:val="0"/>
          <w:sz w:val="32"/>
          <w:szCs w:val="32"/>
        </w:rPr>
        <w:t>751</w:t>
      </w:r>
      <w:r>
        <w:rPr>
          <w:rFonts w:hint="eastAsia" w:ascii="仿宋" w:hAnsi="仿宋" w:eastAsia="仿宋" w:cs="宋体"/>
          <w:color w:val="000000"/>
          <w:kern w:val="0"/>
          <w:sz w:val="32"/>
          <w:szCs w:val="32"/>
        </w:rPr>
        <w:t>例，报告发病率197.77/10万。</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通过肿瘤登记数据分析，阳城县肿瘤发病表现如下特征：①无论男女性别，绝大多数恶性肿瘤发病部位在胃、食管、气管、支气管、肺等；②阳城县男性居民胃癌、食管癌和肺癌发病较高，女性居民以食管癌、宫颈癌和胃癌发病较高。</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（三）心脑血管发病情况</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为做好心脑血管疾病防控，阳城县构建了疾控中心、县乡两级医院和卫生院、村卫生所的三级心脑血管监测网络系统。2021年全县共上报1174例心脑血管疾病病例。其中脑血管病例1149例，占98</w:t>
      </w:r>
      <w:r>
        <w:rPr>
          <w:rFonts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t>，发病率为301.07</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万。心血管病例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均为心肌梗死病例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25例，占2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，发病率为6.55</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万。2020年全县共上报1807例心脑血管疾病病例。脑血管病例1763例，占98</w:t>
      </w:r>
      <w:r>
        <w:rPr>
          <w:rFonts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t>，发病率为462人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万。心血管病例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均为心肌梗死病例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44例，占2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，发病率为11人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w:t>
      </w:r>
      <w:r>
        <w:rPr>
          <w:rFonts w:ascii="仿宋" w:hAnsi="仿宋" w:eastAsia="仿宋" w:cs="宋体"/>
          <w:color w:val="000000"/>
          <w:kern w:val="0"/>
          <w:sz w:val="32"/>
          <w:szCs w:val="32"/>
        </w:rPr>
        <w:t>201</w:t>
      </w:r>
      <w:r>
        <w:rPr>
          <w:rFonts w:hint="eastAsia" w:ascii="仿宋" w:hAnsi="仿宋" w:eastAsia="仿宋" w:cs="宋体"/>
          <w:color w:val="000000"/>
          <w:kern w:val="0"/>
          <w:sz w:val="32"/>
          <w:szCs w:val="32"/>
        </w:rPr>
        <w:t>9年全县共上报3917例心脑血管疾病病例。脑血管病例3837例，占98</w:t>
      </w:r>
      <w:r>
        <w:rPr>
          <w:rFonts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t>，发病率为1007人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万。心血管病例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均为心肌梗死病例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80例，占2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，发病率为21人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w:t>
      </w:r>
    </w:p>
    <w:p>
      <w:pPr>
        <w:spacing w:line="600" w:lineRule="exact"/>
        <w:ind w:firstLine="640" w:firstLineChars="200"/>
        <w:rPr>
          <w:color w:val="000000" w:themeColor="text1"/>
          <w:kern w:val="0"/>
          <w:szCs w:val="21"/>
          <w14:textFill>
            <w14:solidFill>
              <w14:schemeClr w14:val="tx1"/>
            </w14:solidFill>
          </w14:textFill>
        </w:rPr>
      </w:pPr>
      <w:r>
        <w:rPr>
          <w:rFonts w:hint="eastAsia" w:ascii="仿宋" w:hAnsi="仿宋" w:eastAsia="仿宋" w:cs="宋体"/>
          <w:color w:val="000000"/>
          <w:kern w:val="0"/>
          <w:sz w:val="32"/>
          <w:szCs w:val="32"/>
        </w:rPr>
        <w:t>通过数据分析，阳城县居民脑血管疾病发病率远远超过心血管疾病发病率，提示我们应该重点加强脑血管疾病的预防工作。</w:t>
      </w: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(四)调查人群慢性病患病情况</w:t>
      </w:r>
    </w:p>
    <w:p>
      <w:pPr>
        <w:spacing w:line="600" w:lineRule="exact"/>
        <w:ind w:firstLine="640" w:firstLineChars="200"/>
        <w:rPr>
          <w:b/>
          <w:bCs/>
          <w:color w:val="000000" w:themeColor="text1"/>
          <w:kern w:val="0"/>
          <w:sz w:val="24"/>
          <w14:textFill>
            <w14:solidFill>
              <w14:schemeClr w14:val="tx1"/>
            </w14:solidFill>
          </w14:textFill>
        </w:rPr>
      </w:pPr>
      <w:r>
        <w:rPr>
          <w:rFonts w:hint="eastAsia" w:ascii="仿宋" w:hAnsi="仿宋" w:eastAsia="仿宋" w:cs="宋体"/>
          <w:color w:val="000000"/>
          <w:kern w:val="0"/>
          <w:sz w:val="32"/>
          <w:szCs w:val="32"/>
        </w:rPr>
        <w:t>针对阳城县居民慢性病患病情况的调查显示，调查人群中慢病患者为1661人，占总调查人数的43.8%。采用阳城县第七次全国人口普查公报中的阳城县常住人口年龄结构进行标化，</w:t>
      </w:r>
      <w:r>
        <w:rPr>
          <w:rFonts w:ascii="仿宋" w:hAnsi="仿宋" w:eastAsia="仿宋" w:cs="宋体"/>
          <w:color w:val="000000"/>
          <w:kern w:val="0"/>
          <w:sz w:val="32"/>
          <w:szCs w:val="32"/>
        </w:rPr>
        <w:t>20</w:t>
      </w:r>
      <w:r>
        <w:rPr>
          <w:rFonts w:hint="eastAsia" w:ascii="仿宋" w:hAnsi="仿宋" w:eastAsia="仿宋" w:cs="宋体"/>
          <w:color w:val="000000"/>
          <w:kern w:val="0"/>
          <w:sz w:val="32"/>
          <w:szCs w:val="32"/>
        </w:rPr>
        <w:t>22年阳城县城乡居民慢病标化患病率为33.83%（高于2</w:t>
      </w:r>
      <w:r>
        <w:rPr>
          <w:rFonts w:ascii="仿宋" w:hAnsi="仿宋" w:eastAsia="仿宋" w:cs="宋体"/>
          <w:color w:val="000000"/>
          <w:kern w:val="0"/>
          <w:sz w:val="32"/>
          <w:szCs w:val="32"/>
        </w:rPr>
        <w:t>016</w:t>
      </w:r>
      <w:r>
        <w:rPr>
          <w:rFonts w:hint="eastAsia" w:ascii="仿宋" w:hAnsi="仿宋" w:eastAsia="仿宋" w:cs="宋体"/>
          <w:color w:val="000000"/>
          <w:kern w:val="0"/>
          <w:sz w:val="32"/>
          <w:szCs w:val="32"/>
        </w:rPr>
        <w:t>年阳城县基线调查的2</w:t>
      </w:r>
      <w:r>
        <w:rPr>
          <w:rFonts w:ascii="仿宋" w:hAnsi="仿宋" w:eastAsia="仿宋" w:cs="宋体"/>
          <w:color w:val="000000"/>
          <w:kern w:val="0"/>
          <w:sz w:val="32"/>
          <w:szCs w:val="32"/>
        </w:rPr>
        <w:t>7.6%</w:t>
      </w:r>
      <w:r>
        <w:rPr>
          <w:rFonts w:hint="eastAsia" w:ascii="仿宋" w:hAnsi="仿宋" w:eastAsia="仿宋" w:cs="宋体"/>
          <w:color w:val="000000"/>
          <w:kern w:val="0"/>
          <w:sz w:val="32"/>
          <w:szCs w:val="32"/>
        </w:rPr>
        <w:t>慢性病患病率，低于第六次国家卫生服务调查以患病人数计算的居民慢病患病率34.29%）。其中，按性别、城乡、年龄的不同组别分析（见表</w:t>
      </w: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），结果显示不同性别、不同居住地、年龄组间慢性病患病率差异均有统计学意义，即男性居民慢性病患病率高于女性，户籍为农村的居民慢病患病率</w:t>
      </w:r>
      <w:r>
        <w:rPr>
          <w:rFonts w:hint="eastAsia" w:ascii="仿宋" w:hAnsi="仿宋" w:eastAsia="仿宋" w:cs="宋体"/>
          <w:color w:val="000000"/>
          <w:kern w:val="0"/>
          <w:sz w:val="32"/>
          <w:szCs w:val="32"/>
          <w:lang w:val="en-US" w:eastAsia="zh-CN"/>
        </w:rPr>
        <w:t>高</w:t>
      </w:r>
      <w:r>
        <w:rPr>
          <w:rFonts w:hint="eastAsia" w:ascii="仿宋" w:hAnsi="仿宋" w:eastAsia="仿宋" w:cs="宋体"/>
          <w:color w:val="000000"/>
          <w:kern w:val="0"/>
          <w:sz w:val="32"/>
          <w:szCs w:val="32"/>
        </w:rPr>
        <w:t>于户籍为城镇，60岁以上的老年人群慢病患病率明显高于中、青年人群。</w:t>
      </w:r>
    </w:p>
    <w:p>
      <w:pPr>
        <w:widowControl/>
        <w:spacing w:line="360" w:lineRule="auto"/>
        <w:jc w:val="center"/>
        <w:rPr>
          <w:b/>
          <w:bCs/>
          <w:color w:val="000000" w:themeColor="text1"/>
          <w:kern w:val="0"/>
          <w:sz w:val="24"/>
          <w14:textFill>
            <w14:solidFill>
              <w14:schemeClr w14:val="tx1"/>
            </w14:solidFill>
          </w14:textFill>
        </w:rPr>
      </w:pPr>
    </w:p>
    <w:p>
      <w:pPr>
        <w:widowControl/>
        <w:spacing w:line="360" w:lineRule="auto"/>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3 </w:t>
      </w:r>
      <w:r>
        <w:rPr>
          <w:rFonts w:hint="eastAsia"/>
          <w:b/>
          <w:bCs/>
          <w:color w:val="000000" w:themeColor="text1"/>
          <w:kern w:val="0"/>
          <w:sz w:val="24"/>
          <w14:textFill>
            <w14:solidFill>
              <w14:schemeClr w14:val="tx1"/>
            </w14:solidFill>
          </w14:textFill>
        </w:rPr>
        <w:t>人群不同组别慢病患病情况</w:t>
      </w:r>
    </w:p>
    <w:tbl>
      <w:tblPr>
        <w:tblStyle w:val="9"/>
        <w:tblW w:w="8316" w:type="dxa"/>
        <w:jc w:val="center"/>
        <w:tblLayout w:type="fixed"/>
        <w:tblCellMar>
          <w:top w:w="0" w:type="dxa"/>
          <w:left w:w="108" w:type="dxa"/>
          <w:bottom w:w="0" w:type="dxa"/>
          <w:right w:w="108" w:type="dxa"/>
        </w:tblCellMar>
      </w:tblPr>
      <w:tblGrid>
        <w:gridCol w:w="1061"/>
        <w:gridCol w:w="1747"/>
        <w:gridCol w:w="1476"/>
        <w:gridCol w:w="1344"/>
        <w:gridCol w:w="1344"/>
        <w:gridCol w:w="1344"/>
      </w:tblGrid>
      <w:tr>
        <w:tblPrEx>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26" o:spt="75" type="#_x0000_t75" style="height:18pt;width:15.7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CellMar>
            <w:top w:w="0" w:type="dxa"/>
            <w:left w:w="108" w:type="dxa"/>
            <w:bottom w:w="0" w:type="dxa"/>
            <w:right w:w="108" w:type="dxa"/>
          </w:tblCellMar>
        </w:tblPrEx>
        <w:trPr>
          <w:trHeight w:val="448" w:hRule="atLeast"/>
          <w:jc w:val="center"/>
        </w:trPr>
        <w:tc>
          <w:tcPr>
            <w:tcW w:w="1061" w:type="dxa"/>
            <w:vMerge w:val="restart"/>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性别</w:t>
            </w:r>
          </w:p>
        </w:tc>
        <w:tc>
          <w:tcPr>
            <w:tcW w:w="1747" w:type="dxa"/>
            <w:tcBorders>
              <w:top w:val="single" w:color="000000" w:sz="4" w:space="0"/>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男</w:t>
            </w:r>
          </w:p>
        </w:tc>
        <w:tc>
          <w:tcPr>
            <w:tcW w:w="1476" w:type="dxa"/>
            <w:tcBorders>
              <w:top w:val="single" w:color="000000" w:sz="4" w:space="0"/>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769</w:t>
            </w:r>
          </w:p>
        </w:tc>
        <w:tc>
          <w:tcPr>
            <w:tcW w:w="1344" w:type="dxa"/>
            <w:tcBorders>
              <w:top w:val="single" w:color="000000" w:sz="4" w:space="0"/>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46.8</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hint="eastAsia" w:ascii="宋体" w:hAnsi="宋体"/>
                <w:kern w:val="0"/>
                <w:sz w:val="24"/>
              </w:rPr>
              <w:t>11.129</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ascii="宋体" w:hAnsi="宋体"/>
                <w:kern w:val="0"/>
                <w:sz w:val="24"/>
              </w:rPr>
              <w:t>*0.001</w:t>
            </w:r>
          </w:p>
        </w:tc>
      </w:tr>
      <w:tr>
        <w:tblPrEx>
          <w:tblCellMar>
            <w:top w:w="0" w:type="dxa"/>
            <w:left w:w="108" w:type="dxa"/>
            <w:bottom w:w="0" w:type="dxa"/>
            <w:right w:w="108" w:type="dxa"/>
          </w:tblCellMar>
        </w:tblPrEx>
        <w:trPr>
          <w:trHeight w:val="143"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女</w:t>
            </w:r>
          </w:p>
        </w:tc>
        <w:tc>
          <w:tcPr>
            <w:tcW w:w="1476"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892</w:t>
            </w:r>
          </w:p>
        </w:tc>
        <w:tc>
          <w:tcPr>
            <w:tcW w:w="1344"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41.4</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CellMar>
            <w:top w:w="0" w:type="dxa"/>
            <w:left w:w="108" w:type="dxa"/>
            <w:bottom w:w="0" w:type="dxa"/>
            <w:right w:w="108" w:type="dxa"/>
          </w:tblCellMar>
        </w:tblPrEx>
        <w:trPr>
          <w:trHeight w:val="463" w:hRule="atLeast"/>
          <w:jc w:val="center"/>
        </w:trPr>
        <w:tc>
          <w:tcPr>
            <w:tcW w:w="1061" w:type="dxa"/>
            <w:vMerge w:val="restart"/>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居住地</w:t>
            </w: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农村</w:t>
            </w:r>
          </w:p>
        </w:tc>
        <w:tc>
          <w:tcPr>
            <w:tcW w:w="1476"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1409</w:t>
            </w:r>
          </w:p>
        </w:tc>
        <w:tc>
          <w:tcPr>
            <w:tcW w:w="1344"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52.5</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282.548</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CellMar>
            <w:top w:w="0" w:type="dxa"/>
            <w:left w:w="108" w:type="dxa"/>
            <w:bottom w:w="0" w:type="dxa"/>
            <w:right w:w="108" w:type="dxa"/>
          </w:tblCellMar>
        </w:tblPrEx>
        <w:trPr>
          <w:trHeight w:val="143"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城镇</w:t>
            </w:r>
          </w:p>
        </w:tc>
        <w:tc>
          <w:tcPr>
            <w:tcW w:w="1476"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252</w:t>
            </w:r>
          </w:p>
        </w:tc>
        <w:tc>
          <w:tcPr>
            <w:tcW w:w="1344"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22.7</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CellMar>
            <w:top w:w="0" w:type="dxa"/>
            <w:left w:w="108" w:type="dxa"/>
            <w:bottom w:w="0" w:type="dxa"/>
            <w:right w:w="108" w:type="dxa"/>
          </w:tblCellMar>
        </w:tblPrEx>
        <w:trPr>
          <w:trHeight w:val="463" w:hRule="atLeast"/>
          <w:jc w:val="center"/>
        </w:trPr>
        <w:tc>
          <w:tcPr>
            <w:tcW w:w="1061" w:type="dxa"/>
            <w:vMerge w:val="restart"/>
            <w:tcBorders>
              <w:top w:val="nil"/>
              <w:left w:val="nil"/>
              <w:bottom w:val="single" w:color="000000" w:sz="4" w:space="0"/>
              <w:right w:val="nil"/>
            </w:tcBorders>
          </w:tcPr>
          <w:p>
            <w:pPr>
              <w:widowControl/>
              <w:spacing w:line="360" w:lineRule="auto"/>
              <w:jc w:val="center"/>
              <w:rPr>
                <w:rFonts w:ascii="宋体" w:hAnsi="宋体"/>
                <w:kern w:val="0"/>
                <w:sz w:val="24"/>
              </w:rPr>
            </w:pPr>
            <w:r>
              <w:rPr>
                <w:rFonts w:hint="eastAsia" w:ascii="宋体" w:hAnsi="宋体"/>
                <w:kern w:val="0"/>
                <w:sz w:val="24"/>
              </w:rPr>
              <w:t>年龄</w:t>
            </w: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ascii="宋体" w:hAnsi="宋体"/>
                <w:kern w:val="0"/>
                <w:sz w:val="24"/>
              </w:rPr>
              <w:t>3</w:t>
            </w:r>
            <w:r>
              <w:rPr>
                <w:rFonts w:hint="eastAsia" w:ascii="宋体" w:hAnsi="宋体"/>
                <w:kern w:val="0"/>
                <w:sz w:val="24"/>
              </w:rPr>
              <w:t>5岁以下</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29</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7.9</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501.119</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CellMar>
            <w:top w:w="0" w:type="dxa"/>
            <w:left w:w="108" w:type="dxa"/>
            <w:bottom w:w="0" w:type="dxa"/>
            <w:right w:w="108" w:type="dxa"/>
          </w:tblCellMar>
        </w:tblPrEx>
        <w:trPr>
          <w:trHeight w:val="143"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ascii="宋体" w:hAnsi="宋体"/>
                <w:kern w:val="0"/>
                <w:sz w:val="24"/>
              </w:rPr>
              <w:t>3</w:t>
            </w:r>
            <w:r>
              <w:rPr>
                <w:rFonts w:hint="eastAsia" w:ascii="宋体" w:hAnsi="宋体"/>
                <w:kern w:val="0"/>
                <w:sz w:val="24"/>
              </w:rPr>
              <w:t>5</w:t>
            </w:r>
            <w:r>
              <w:rPr>
                <w:rFonts w:ascii="宋体" w:hAnsi="宋体"/>
                <w:kern w:val="0"/>
                <w:sz w:val="24"/>
              </w:rPr>
              <w:t>-59</w:t>
            </w:r>
            <w:r>
              <w:rPr>
                <w:rFonts w:hint="eastAsia" w:ascii="宋体" w:hAnsi="宋体"/>
                <w:kern w:val="0"/>
                <w:sz w:val="24"/>
              </w:rPr>
              <w:t>岁</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601</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33.8</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r>
      <w:tr>
        <w:tblPrEx>
          <w:tblCellMar>
            <w:top w:w="0" w:type="dxa"/>
            <w:left w:w="108" w:type="dxa"/>
            <w:bottom w:w="0" w:type="dxa"/>
            <w:right w:w="108" w:type="dxa"/>
          </w:tblCellMar>
        </w:tblPrEx>
        <w:trPr>
          <w:trHeight w:val="143" w:hRule="atLeast"/>
          <w:jc w:val="center"/>
        </w:trPr>
        <w:tc>
          <w:tcPr>
            <w:tcW w:w="1061" w:type="dxa"/>
            <w:vMerge w:val="continue"/>
            <w:tcBorders>
              <w:top w:val="nil"/>
              <w:left w:val="nil"/>
              <w:bottom w:val="single" w:color="auto"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single" w:color="000000" w:sz="4" w:space="0"/>
              <w:right w:val="nil"/>
            </w:tcBorders>
          </w:tcPr>
          <w:p>
            <w:pPr>
              <w:widowControl/>
              <w:spacing w:line="360" w:lineRule="auto"/>
              <w:jc w:val="center"/>
              <w:rPr>
                <w:rFonts w:ascii="宋体" w:hAnsi="宋体"/>
                <w:kern w:val="0"/>
                <w:sz w:val="24"/>
              </w:rPr>
            </w:pPr>
            <w:r>
              <w:rPr>
                <w:rFonts w:hint="eastAsia" w:ascii="宋体" w:hAnsi="宋体"/>
                <w:kern w:val="0"/>
                <w:sz w:val="24"/>
              </w:rPr>
              <w:t>大于</w:t>
            </w:r>
            <w:r>
              <w:rPr>
                <w:rFonts w:ascii="宋体" w:hAnsi="宋体"/>
                <w:kern w:val="0"/>
                <w:sz w:val="24"/>
              </w:rPr>
              <w:t>60</w:t>
            </w:r>
            <w:r>
              <w:rPr>
                <w:rFonts w:hint="eastAsia" w:ascii="宋体" w:hAnsi="宋体"/>
                <w:kern w:val="0"/>
                <w:sz w:val="24"/>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1031</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62.6</w:t>
            </w:r>
          </w:p>
        </w:tc>
        <w:tc>
          <w:tcPr>
            <w:tcW w:w="1344" w:type="dxa"/>
            <w:vMerge w:val="continue"/>
            <w:tcBorders>
              <w:top w:val="nil"/>
              <w:left w:val="nil"/>
              <w:bottom w:val="single" w:color="auto"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auto" w:sz="4" w:space="0"/>
              <w:right w:val="nil"/>
            </w:tcBorders>
            <w:vAlign w:val="center"/>
          </w:tcPr>
          <w:p>
            <w:pPr>
              <w:widowControl/>
              <w:spacing w:line="360" w:lineRule="auto"/>
              <w:jc w:val="center"/>
              <w:rPr>
                <w:rFonts w:ascii="宋体" w:hAnsi="宋体"/>
                <w:kern w:val="0"/>
                <w:sz w:val="24"/>
              </w:rPr>
            </w:pPr>
          </w:p>
        </w:tc>
      </w:tr>
    </w:tbl>
    <w:p>
      <w:pPr>
        <w:widowControl/>
        <w:spacing w:line="360" w:lineRule="auto"/>
        <w:jc w:val="center"/>
        <w:rPr>
          <w:rFonts w:ascii="宋体" w:hAnsi="宋体"/>
          <w:kern w:val="0"/>
          <w:sz w:val="24"/>
        </w:rPr>
      </w:pP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kern w:val="0"/>
          <w:sz w:val="32"/>
          <w:szCs w:val="32"/>
        </w:rPr>
        <w:t>同时调查结果显示（表4），阳城县居民慢性病患病率排位靠前的依次为高血压、糖尿病、冠心病、脑卒中、慢性骨关节疾病、肿瘤、COPD慢性阻塞性肺疾病、神经精神类疾病等。与2016年基线调查中的阳城县慢性病疾病顺位相比，本次调查糖尿病与冠心病的患病率顺位分别提高1位，而脑卒中的患病顺位下降2位。</w:t>
      </w:r>
    </w:p>
    <w:p>
      <w:pPr>
        <w:ind w:firstLine="640" w:firstLineChars="200"/>
        <w:rPr>
          <w:rFonts w:ascii="仿宋" w:hAnsi="仿宋" w:eastAsia="仿宋" w:cs="宋体"/>
          <w:color w:val="000000" w:themeColor="text1"/>
          <w:kern w:val="0"/>
          <w:sz w:val="32"/>
          <w:szCs w:val="32"/>
          <w14:textFill>
            <w14:solidFill>
              <w14:schemeClr w14:val="tx1"/>
            </w14:solidFill>
          </w14:textFill>
        </w:rPr>
      </w:pPr>
    </w:p>
    <w:p>
      <w:pPr>
        <w:widowControl/>
        <w:spacing w:line="360" w:lineRule="auto"/>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4 </w:t>
      </w:r>
      <w:r>
        <w:rPr>
          <w:rFonts w:hint="eastAsia"/>
          <w:b/>
          <w:bCs/>
          <w:color w:val="000000" w:themeColor="text1"/>
          <w:kern w:val="0"/>
          <w:sz w:val="24"/>
          <w14:textFill>
            <w14:solidFill>
              <w14:schemeClr w14:val="tx1"/>
            </w14:solidFill>
          </w14:textFill>
        </w:rPr>
        <w:t xml:space="preserve"> 阳城县居民慢性病患病疾病别排位情况</w:t>
      </w:r>
    </w:p>
    <w:tbl>
      <w:tblPr>
        <w:tblStyle w:val="9"/>
        <w:tblW w:w="7295" w:type="dxa"/>
        <w:jc w:val="center"/>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2427"/>
        <w:gridCol w:w="1786"/>
        <w:gridCol w:w="1295"/>
        <w:gridCol w:w="1787"/>
      </w:tblGrid>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47" w:hRule="atLeast"/>
          <w:jc w:val="center"/>
        </w:trPr>
        <w:tc>
          <w:tcPr>
            <w:tcW w:w="242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疾病</w:t>
            </w:r>
          </w:p>
        </w:tc>
        <w:tc>
          <w:tcPr>
            <w:tcW w:w="178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295"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78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顺位</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47" w:hRule="atLeast"/>
          <w:jc w:val="center"/>
        </w:trPr>
        <w:tc>
          <w:tcPr>
            <w:tcW w:w="242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w:t>
            </w:r>
          </w:p>
        </w:tc>
        <w:tc>
          <w:tcPr>
            <w:tcW w:w="178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1315</w:t>
            </w:r>
          </w:p>
        </w:tc>
        <w:tc>
          <w:tcPr>
            <w:tcW w:w="1295" w:type="dxa"/>
            <w:tcBorders>
              <w:top w:val="single" w:color="000000" w:sz="4" w:space="0"/>
              <w:left w:val="nil"/>
              <w:bottom w:val="nil"/>
              <w:right w:val="nil"/>
            </w:tcBorders>
            <w:vAlign w:val="center"/>
          </w:tcPr>
          <w:p>
            <w:pPr>
              <w:widowControl/>
              <w:spacing w:line="360" w:lineRule="auto"/>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 xml:space="preserve">   34.6</w:t>
            </w:r>
          </w:p>
        </w:tc>
        <w:tc>
          <w:tcPr>
            <w:tcW w:w="178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69"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糖尿病</w:t>
            </w:r>
          </w:p>
        </w:tc>
        <w:tc>
          <w:tcPr>
            <w:tcW w:w="1786" w:type="dxa"/>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hint="eastAsia" w:ascii="宋体" w:hAnsi="宋体"/>
                <w:kern w:val="0"/>
                <w:sz w:val="24"/>
              </w:rPr>
              <w:t>408</w:t>
            </w:r>
          </w:p>
        </w:tc>
        <w:tc>
          <w:tcPr>
            <w:tcW w:w="1295" w:type="dxa"/>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hint="eastAsia" w:ascii="宋体" w:hAnsi="宋体"/>
                <w:kern w:val="0"/>
                <w:sz w:val="24"/>
              </w:rPr>
              <w:t>10.8</w:t>
            </w:r>
          </w:p>
        </w:tc>
        <w:tc>
          <w:tcPr>
            <w:tcW w:w="1787" w:type="dxa"/>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2</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69"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冠心病</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222</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69"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脑卒中</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187</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4.9</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4</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47"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慢性骨关节疾病</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47</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5</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47"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肿瘤</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46</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47"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COPD</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0.5</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47" w:hRule="atLeast"/>
          <w:jc w:val="center"/>
        </w:trPr>
        <w:tc>
          <w:tcPr>
            <w:tcW w:w="2427"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神经精神类疾病</w:t>
            </w:r>
          </w:p>
        </w:tc>
        <w:tc>
          <w:tcPr>
            <w:tcW w:w="1786"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w:t>
            </w:r>
          </w:p>
        </w:tc>
        <w:tc>
          <w:tcPr>
            <w:tcW w:w="1295"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w:t>
            </w:r>
          </w:p>
        </w:tc>
        <w:tc>
          <w:tcPr>
            <w:tcW w:w="1787"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p>
        </w:tc>
      </w:tr>
    </w:tbl>
    <w:p>
      <w:pPr>
        <w:rPr>
          <w:color w:val="000000" w:themeColor="text1"/>
          <w:kern w:val="0"/>
          <w:szCs w:val="21"/>
          <w14:textFill>
            <w14:solidFill>
              <w14:schemeClr w14:val="tx1"/>
            </w14:solidFill>
          </w14:textFill>
        </w:rPr>
      </w:pP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（五）主要慢性病患病及流行特点</w:t>
      </w: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1、高血压  </w:t>
      </w: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调查中，阳城县城乡居民高血压患者总数为1315人，即高血压粗患病率达34.6</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，但高血压标化患病率为26.43%，高于</w:t>
      </w:r>
      <w:bookmarkStart w:id="9" w:name="_Hlk119079835"/>
      <w:r>
        <w:rPr>
          <w:rFonts w:hint="eastAsia" w:ascii="仿宋" w:hAnsi="仿宋" w:eastAsia="仿宋" w:cs="宋体"/>
          <w:color w:val="000000" w:themeColor="text1"/>
          <w:kern w:val="0"/>
          <w:sz w:val="32"/>
          <w:szCs w:val="32"/>
          <w14:textFill>
            <w14:solidFill>
              <w14:schemeClr w14:val="tx1"/>
            </w14:solidFill>
          </w14:textFill>
        </w:rPr>
        <w:t>2</w:t>
      </w:r>
      <w:r>
        <w:rPr>
          <w:rFonts w:ascii="仿宋" w:hAnsi="仿宋" w:eastAsia="仿宋" w:cs="宋体"/>
          <w:color w:val="000000" w:themeColor="text1"/>
          <w:kern w:val="0"/>
          <w:sz w:val="32"/>
          <w:szCs w:val="32"/>
          <w14:textFill>
            <w14:solidFill>
              <w14:schemeClr w14:val="tx1"/>
            </w14:solidFill>
          </w14:textFill>
        </w:rPr>
        <w:t>016</w:t>
      </w:r>
      <w:r>
        <w:rPr>
          <w:rFonts w:hint="eastAsia" w:ascii="仿宋" w:hAnsi="仿宋" w:eastAsia="仿宋" w:cs="宋体"/>
          <w:color w:val="000000" w:themeColor="text1"/>
          <w:kern w:val="0"/>
          <w:sz w:val="32"/>
          <w:szCs w:val="32"/>
          <w14:textFill>
            <w14:solidFill>
              <w14:schemeClr w14:val="tx1"/>
            </w14:solidFill>
          </w14:textFill>
        </w:rPr>
        <w:t>年基线调查的</w:t>
      </w:r>
      <w:r>
        <w:rPr>
          <w:rFonts w:hint="eastAsia" w:ascii="仿宋" w:hAnsi="仿宋" w:eastAsia="仿宋" w:cs="宋体"/>
          <w:color w:val="000000"/>
          <w:kern w:val="0"/>
          <w:sz w:val="32"/>
          <w:szCs w:val="32"/>
        </w:rPr>
        <w:t>高血压标化患病率</w:t>
      </w:r>
      <w:bookmarkEnd w:id="9"/>
      <w:r>
        <w:rPr>
          <w:rFonts w:hint="eastAsia" w:ascii="仿宋" w:hAnsi="仿宋" w:eastAsia="仿宋" w:cs="宋体"/>
          <w:color w:val="000000"/>
          <w:kern w:val="0"/>
          <w:sz w:val="32"/>
          <w:szCs w:val="32"/>
        </w:rPr>
        <w:t>21.9%，</w:t>
      </w:r>
      <w:r>
        <w:rPr>
          <w:rFonts w:hint="eastAsia" w:ascii="仿宋" w:hAnsi="仿宋" w:eastAsia="仿宋" w:cs="宋体"/>
          <w:color w:val="000000" w:themeColor="text1"/>
          <w:kern w:val="0"/>
          <w:sz w:val="32"/>
          <w:szCs w:val="32"/>
          <w14:textFill>
            <w14:solidFill>
              <w14:schemeClr w14:val="tx1"/>
            </w14:solidFill>
          </w14:textFill>
        </w:rPr>
        <w:t>略低于《中国居民营养与慢性病状况报告（</w:t>
      </w:r>
      <w:r>
        <w:rPr>
          <w:rFonts w:ascii="仿宋" w:hAnsi="仿宋" w:eastAsia="仿宋" w:cs="宋体"/>
          <w:color w:val="000000" w:themeColor="text1"/>
          <w:kern w:val="0"/>
          <w:sz w:val="32"/>
          <w:szCs w:val="32"/>
          <w14:textFill>
            <w14:solidFill>
              <w14:schemeClr w14:val="tx1"/>
            </w14:solidFill>
          </w14:textFill>
        </w:rPr>
        <w:t>20</w:t>
      </w:r>
      <w:r>
        <w:rPr>
          <w:rFonts w:hint="eastAsia" w:ascii="仿宋" w:hAnsi="仿宋" w:eastAsia="仿宋" w:cs="宋体"/>
          <w:color w:val="000000" w:themeColor="text1"/>
          <w:kern w:val="0"/>
          <w:sz w:val="32"/>
          <w:szCs w:val="32"/>
          <w14:textFill>
            <w14:solidFill>
              <w14:schemeClr w14:val="tx1"/>
            </w14:solidFill>
          </w14:textFill>
        </w:rPr>
        <w:t>20年）》中提到的我国居民平均</w:t>
      </w:r>
      <w:r>
        <w:rPr>
          <w:rFonts w:ascii="仿宋" w:hAnsi="仿宋" w:eastAsia="仿宋" w:cs="宋体"/>
          <w:color w:val="000000" w:themeColor="text1"/>
          <w:kern w:val="0"/>
          <w:sz w:val="32"/>
          <w:szCs w:val="32"/>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7.5</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的高血压患病率。而进一步研究显示（表</w:t>
      </w:r>
      <w:r>
        <w:rPr>
          <w:rFonts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14:textFill>
            <w14:solidFill>
              <w14:schemeClr w14:val="tx1"/>
            </w14:solidFill>
          </w14:textFill>
        </w:rPr>
        <w:t>），不同性别高血压患病率差异有统计学意义（P＜0</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01）,男性高血压患病率高于女性；不同居住地的高血压患病率差别有统计学意义（</w:t>
      </w:r>
      <w:r>
        <w:rPr>
          <w:rFonts w:ascii="仿宋" w:hAnsi="仿宋" w:eastAsia="仿宋" w:cs="宋体"/>
          <w:color w:val="000000" w:themeColor="text1"/>
          <w:kern w:val="0"/>
          <w:sz w:val="32"/>
          <w:szCs w:val="32"/>
          <w14:textFill>
            <w14:solidFill>
              <w14:schemeClr w14:val="tx1"/>
            </w14:solidFill>
          </w14:textFill>
        </w:rPr>
        <w:t>P</w:t>
      </w:r>
      <w:r>
        <w:rPr>
          <w:rFonts w:hint="eastAsia" w:ascii="仿宋" w:hAnsi="仿宋" w:eastAsia="仿宋" w:cs="宋体"/>
          <w:color w:val="000000" w:themeColor="text1"/>
          <w:kern w:val="0"/>
          <w:sz w:val="32"/>
          <w:szCs w:val="32"/>
          <w14:textFill>
            <w14:solidFill>
              <w14:schemeClr w14:val="tx1"/>
            </w14:solidFill>
          </w14:textFill>
        </w:rPr>
        <w:t>＜</w:t>
      </w:r>
      <w:r>
        <w:rPr>
          <w:rFonts w:ascii="仿宋" w:hAnsi="仿宋" w:eastAsia="仿宋" w:cs="宋体"/>
          <w:color w:val="000000" w:themeColor="text1"/>
          <w:kern w:val="0"/>
          <w:sz w:val="32"/>
          <w:szCs w:val="32"/>
          <w14:textFill>
            <w14:solidFill>
              <w14:schemeClr w14:val="tx1"/>
            </w14:solidFill>
          </w14:textFill>
        </w:rPr>
        <w:t>0.01</w:t>
      </w:r>
      <w:r>
        <w:rPr>
          <w:rFonts w:hint="eastAsia" w:ascii="仿宋" w:hAnsi="仿宋" w:eastAsia="仿宋" w:cs="宋体"/>
          <w:color w:val="000000" w:themeColor="text1"/>
          <w:kern w:val="0"/>
          <w:sz w:val="32"/>
          <w:szCs w:val="32"/>
          <w14:textFill>
            <w14:solidFill>
              <w14:schemeClr w14:val="tx1"/>
            </w14:solidFill>
          </w14:textFill>
        </w:rPr>
        <w:t>），农村患病率高于城市患病率；不同年龄组间的高血压患病率差别有统计学意义（</w:t>
      </w:r>
      <w:r>
        <w:rPr>
          <w:rFonts w:ascii="仿宋" w:hAnsi="仿宋" w:eastAsia="仿宋" w:cs="宋体"/>
          <w:color w:val="000000" w:themeColor="text1"/>
          <w:kern w:val="0"/>
          <w:sz w:val="32"/>
          <w:szCs w:val="32"/>
          <w14:textFill>
            <w14:solidFill>
              <w14:schemeClr w14:val="tx1"/>
            </w14:solidFill>
          </w14:textFill>
        </w:rPr>
        <w:t>P</w:t>
      </w:r>
      <w:r>
        <w:rPr>
          <w:rFonts w:hint="eastAsia" w:ascii="仿宋" w:hAnsi="仿宋" w:eastAsia="仿宋" w:cs="宋体"/>
          <w:color w:val="000000" w:themeColor="text1"/>
          <w:kern w:val="0"/>
          <w:sz w:val="32"/>
          <w:szCs w:val="32"/>
          <w14:textFill>
            <w14:solidFill>
              <w14:schemeClr w14:val="tx1"/>
            </w14:solidFill>
          </w14:textFill>
        </w:rPr>
        <w:t>＜</w:t>
      </w:r>
      <w:r>
        <w:rPr>
          <w:rFonts w:ascii="仿宋" w:hAnsi="仿宋" w:eastAsia="仿宋" w:cs="宋体"/>
          <w:color w:val="000000" w:themeColor="text1"/>
          <w:kern w:val="0"/>
          <w:sz w:val="32"/>
          <w:szCs w:val="32"/>
          <w14:textFill>
            <w14:solidFill>
              <w14:schemeClr w14:val="tx1"/>
            </w14:solidFill>
          </w14:textFill>
        </w:rPr>
        <w:t>0.01</w:t>
      </w:r>
      <w:r>
        <w:rPr>
          <w:rFonts w:hint="eastAsia" w:ascii="仿宋" w:hAnsi="仿宋" w:eastAsia="仿宋" w:cs="宋体"/>
          <w:color w:val="000000" w:themeColor="text1"/>
          <w:kern w:val="0"/>
          <w:sz w:val="32"/>
          <w:szCs w:val="32"/>
          <w14:textFill>
            <w14:solidFill>
              <w14:schemeClr w14:val="tx1"/>
            </w14:solidFill>
          </w14:textFill>
        </w:rPr>
        <w:t>），老年组居民患病率远高于其他年龄组。提示社区特别是在农村基层医疗卫生机构（乡镇卫生院、村卫生室等）落实35岁以上病人首诊测血压制度刻不容缓。</w:t>
      </w:r>
    </w:p>
    <w:p>
      <w:pPr>
        <w:widowControl/>
        <w:jc w:val="center"/>
        <w:rPr>
          <w:b/>
          <w:bCs/>
          <w:color w:val="000000" w:themeColor="text1"/>
          <w:kern w:val="0"/>
          <w:sz w:val="32"/>
          <w:szCs w:val="32"/>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5</w:t>
      </w:r>
      <w:r>
        <w:rPr>
          <w:rFonts w:hint="eastAsia"/>
          <w:b/>
          <w:bCs/>
          <w:color w:val="000000" w:themeColor="text1"/>
          <w:kern w:val="0"/>
          <w:sz w:val="24"/>
          <w14:textFill>
            <w14:solidFill>
              <w14:schemeClr w14:val="tx1"/>
            </w14:solidFill>
          </w14:textFill>
        </w:rPr>
        <w:t xml:space="preserve">  不同组别高血压患病情况</w:t>
      </w:r>
    </w:p>
    <w:tbl>
      <w:tblPr>
        <w:tblStyle w:val="9"/>
        <w:tblW w:w="7950" w:type="dxa"/>
        <w:jc w:val="center"/>
        <w:tblLayout w:type="fixed"/>
        <w:tblCellMar>
          <w:top w:w="0" w:type="dxa"/>
          <w:left w:w="108" w:type="dxa"/>
          <w:bottom w:w="0" w:type="dxa"/>
          <w:right w:w="108" w:type="dxa"/>
        </w:tblCellMar>
      </w:tblPr>
      <w:tblGrid>
        <w:gridCol w:w="1061"/>
        <w:gridCol w:w="1398"/>
        <w:gridCol w:w="1553"/>
        <w:gridCol w:w="1342"/>
        <w:gridCol w:w="1242"/>
        <w:gridCol w:w="1354"/>
      </w:tblGrid>
      <w:tr>
        <w:tblPrEx>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398"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553"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2"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242"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χ</w:t>
            </w:r>
            <w:r>
              <w:rPr>
                <w:rFonts w:ascii="宋体" w:hAnsi="宋体"/>
                <w:color w:val="000000" w:themeColor="text1"/>
                <w:kern w:val="0"/>
                <w:sz w:val="24"/>
                <w:vertAlign w:val="superscript"/>
                <w14:textFill>
                  <w14:solidFill>
                    <w14:schemeClr w14:val="tx1"/>
                  </w14:solidFill>
                </w14:textFill>
              </w:rPr>
              <w:t>2</w:t>
            </w:r>
          </w:p>
        </w:tc>
        <w:tc>
          <w:tcPr>
            <w:tcW w:w="135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398"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553"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603</w:t>
            </w:r>
          </w:p>
        </w:tc>
        <w:tc>
          <w:tcPr>
            <w:tcW w:w="1342"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36.7</w:t>
            </w:r>
          </w:p>
        </w:tc>
        <w:tc>
          <w:tcPr>
            <w:tcW w:w="1242"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73.336</w:t>
            </w:r>
          </w:p>
        </w:tc>
        <w:tc>
          <w:tcPr>
            <w:tcW w:w="135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712</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33.1</w:t>
            </w:r>
          </w:p>
        </w:tc>
        <w:tc>
          <w:tcPr>
            <w:tcW w:w="1242"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1141</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42.5</w:t>
            </w:r>
          </w:p>
        </w:tc>
        <w:tc>
          <w:tcPr>
            <w:tcW w:w="1242"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249.228</w:t>
            </w:r>
          </w:p>
        </w:tc>
        <w:tc>
          <w:tcPr>
            <w:tcW w:w="135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174</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15.7</w:t>
            </w:r>
          </w:p>
        </w:tc>
        <w:tc>
          <w:tcPr>
            <w:tcW w:w="1242"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19</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5.2</w:t>
            </w:r>
          </w:p>
        </w:tc>
        <w:tc>
          <w:tcPr>
            <w:tcW w:w="1242"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393.456</w:t>
            </w:r>
          </w:p>
        </w:tc>
        <w:tc>
          <w:tcPr>
            <w:tcW w:w="135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458</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25.7</w:t>
            </w:r>
          </w:p>
        </w:tc>
        <w:tc>
          <w:tcPr>
            <w:tcW w:w="1242"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553"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838</w:t>
            </w:r>
          </w:p>
        </w:tc>
        <w:tc>
          <w:tcPr>
            <w:tcW w:w="1342"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50.8</w:t>
            </w:r>
          </w:p>
        </w:tc>
        <w:tc>
          <w:tcPr>
            <w:tcW w:w="1242"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进一步对742例在医学体检中血压控制仍不理想的高血压患者进行分级分期研究（见表</w:t>
      </w:r>
      <w:r>
        <w:rPr>
          <w:rFonts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），可以发现阳城县实测血压表现异常的人群中，超过八成以上的为对靶器官无损害的</w:t>
      </w:r>
      <w:r>
        <w:rPr>
          <w:rFonts w:ascii="仿宋" w:hAnsi="仿宋" w:eastAsia="仿宋" w:cs="宋体"/>
          <w:color w:val="000000" w:themeColor="text1"/>
          <w:kern w:val="0"/>
          <w:sz w:val="32"/>
          <w:szCs w:val="32"/>
          <w14:textFill>
            <w14:solidFill>
              <w14:schemeClr w14:val="tx1"/>
            </w14:solidFill>
          </w14:textFill>
        </w:rPr>
        <w:t>I</w:t>
      </w:r>
      <w:r>
        <w:rPr>
          <w:rFonts w:hint="eastAsia" w:ascii="仿宋" w:hAnsi="仿宋" w:eastAsia="仿宋" w:cs="宋体"/>
          <w:color w:val="000000" w:themeColor="text1"/>
          <w:kern w:val="0"/>
          <w:sz w:val="32"/>
          <w:szCs w:val="32"/>
          <w14:textFill>
            <w14:solidFill>
              <w14:schemeClr w14:val="tx1"/>
            </w14:solidFill>
          </w14:textFill>
        </w:rPr>
        <w:t>级高血压。</w:t>
      </w:r>
    </w:p>
    <w:p>
      <w:pPr>
        <w:widowControl/>
        <w:jc w:val="center"/>
        <w:rPr>
          <w:b/>
          <w:bCs/>
          <w:color w:val="000000" w:themeColor="text1"/>
          <w:kern w:val="0"/>
          <w:sz w:val="32"/>
          <w:szCs w:val="32"/>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6  </w:t>
      </w:r>
      <w:r>
        <w:rPr>
          <w:rFonts w:hint="eastAsia"/>
          <w:b/>
          <w:bCs/>
          <w:color w:val="000000" w:themeColor="text1"/>
          <w:kern w:val="0"/>
          <w:sz w:val="24"/>
          <w14:textFill>
            <w14:solidFill>
              <w14:schemeClr w14:val="tx1"/>
            </w14:solidFill>
          </w14:textFill>
        </w:rPr>
        <w:t>高血压患病分级分期情况</w:t>
      </w:r>
    </w:p>
    <w:tbl>
      <w:tblPr>
        <w:tblStyle w:val="9"/>
        <w:tblW w:w="855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90"/>
        <w:gridCol w:w="416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90"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高血压分期</w:t>
            </w:r>
          </w:p>
        </w:tc>
        <w:tc>
          <w:tcPr>
            <w:tcW w:w="4165"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例数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百分比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90" w:type="dxa"/>
            <w:tcBorders>
              <w:top w:val="single" w:color="auto" w:sz="4" w:space="0"/>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级高血压（轻度）</w:t>
            </w:r>
          </w:p>
        </w:tc>
        <w:tc>
          <w:tcPr>
            <w:tcW w:w="4165" w:type="dxa"/>
            <w:tcBorders>
              <w:top w:val="single" w:color="auto" w:sz="4" w:space="0"/>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618（83.3</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90" w:type="dxa"/>
            <w:tcBorders>
              <w:top w:val="nil"/>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级高血压（中度）</w:t>
            </w:r>
          </w:p>
        </w:tc>
        <w:tc>
          <w:tcPr>
            <w:tcW w:w="4165" w:type="dxa"/>
            <w:tcBorders>
              <w:top w:val="nil"/>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110（14.8</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90" w:type="dxa"/>
            <w:tcBorders>
              <w:top w:val="nil"/>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级高血压（重度）</w:t>
            </w:r>
          </w:p>
        </w:tc>
        <w:tc>
          <w:tcPr>
            <w:tcW w:w="4165" w:type="dxa"/>
            <w:tcBorders>
              <w:top w:val="nil"/>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14（1.9</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tc>
      </w:tr>
    </w:tbl>
    <w:p>
      <w:pPr>
        <w:pStyle w:val="7"/>
        <w:spacing w:before="0" w:beforeAutospacing="0" w:after="0" w:afterAutospacing="0" w:line="400" w:lineRule="exact"/>
        <w:ind w:firstLine="560" w:firstLineChars="200"/>
        <w:rPr>
          <w:rFonts w:ascii="仿宋_GB2312" w:eastAsia="仿宋_GB2312"/>
          <w:color w:val="000000" w:themeColor="text1"/>
          <w:sz w:val="28"/>
          <w:szCs w:val="28"/>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与此同时，进一步对高血压患病人群高血压等级进行研究（见表7-表9），不同年龄、不同居住地的居民其高血压等级的分布差异有统计学意义，其中35岁以下、农村人群三级高血压比例更高，推测可能与血压管理意识有关。</w:t>
      </w:r>
    </w:p>
    <w:p>
      <w:pPr>
        <w:ind w:firstLine="640" w:firstLineChars="200"/>
        <w:rPr>
          <w:rFonts w:ascii="仿宋" w:hAnsi="仿宋" w:eastAsia="仿宋" w:cs="宋体"/>
          <w:color w:val="000000" w:themeColor="text1"/>
          <w:kern w:val="0"/>
          <w:sz w:val="32"/>
          <w:szCs w:val="32"/>
          <w14:textFill>
            <w14:solidFill>
              <w14:schemeClr w14:val="tx1"/>
            </w14:solidFill>
          </w14:textFill>
        </w:rPr>
      </w:pPr>
    </w:p>
    <w:p>
      <w:pPr>
        <w:jc w:val="center"/>
        <w:rPr>
          <w:rFonts w:ascii="黑体" w:hAnsi="$F$" w:eastAsia="黑体" w:cs="$F$"/>
          <w:bCs/>
          <w:color w:val="000000" w:themeColor="text1"/>
          <w:kern w:val="0"/>
          <w:sz w:val="24"/>
          <w:highlight w:val="yellow"/>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7</w:t>
      </w:r>
      <w:r>
        <w:rPr>
          <w:rFonts w:hint="eastAsia" w:ascii="黑体" w:hAnsi="$F$" w:eastAsia="黑体" w:cs="$F$"/>
          <w:bCs/>
          <w:color w:val="000000" w:themeColor="text1"/>
          <w:kern w:val="0"/>
          <w:sz w:val="24"/>
          <w14:textFill>
            <w14:solidFill>
              <w14:schemeClr w14:val="tx1"/>
            </w14:solidFill>
          </w14:textFill>
        </w:rPr>
        <w:t xml:space="preserve">  不同年龄组别与高血压等级的关系</w:t>
      </w:r>
    </w:p>
    <w:tbl>
      <w:tblPr>
        <w:tblStyle w:val="9"/>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年龄</w:t>
            </w:r>
          </w:p>
        </w:tc>
        <w:tc>
          <w:tcPr>
            <w:tcW w:w="5681" w:type="dxa"/>
            <w:gridSpan w:val="4"/>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高血压等级</w:t>
            </w:r>
          </w:p>
        </w:tc>
        <w:tc>
          <w:tcPr>
            <w:tcW w:w="1421"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I级</w:t>
            </w:r>
          </w:p>
        </w:tc>
        <w:tc>
          <w:tcPr>
            <w:tcW w:w="1421"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正常</w:t>
            </w:r>
          </w:p>
        </w:tc>
        <w:tc>
          <w:tcPr>
            <w:tcW w:w="1421"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小于35岁</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389</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36-59岁</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230</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1462</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大于60岁</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63</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374</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1202</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3053</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3795</w:t>
            </w:r>
          </w:p>
        </w:tc>
      </w:tr>
    </w:tbl>
    <w:p>
      <w:pPr>
        <w:pStyle w:val="7"/>
        <w:spacing w:before="0" w:beforeAutospacing="0" w:after="0" w:afterAutospacing="0" w:line="400" w:lineRule="exact"/>
        <w:rPr>
          <w:color w:val="000000" w:themeColor="text1"/>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w:t>
      </w:r>
      <w:r>
        <w:rPr>
          <w:rFonts w:hint="eastAsia"/>
          <w:color w:val="000000" w:themeColor="text1"/>
          <w:position w:val="-10"/>
          <w14:textFill>
            <w14:solidFill>
              <w14:schemeClr w14:val="tx1"/>
            </w14:solidFill>
          </w14:textFill>
        </w:rPr>
        <w:object>
          <v:shape id="_x0000_i1027" o:spt="75" type="#_x0000_t75" style="height:18pt;width:15.7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rPr>
          <w:rFonts w:hint="eastAsia"/>
          <w:color w:val="000000" w:themeColor="text1"/>
          <w14:textFill>
            <w14:solidFill>
              <w14:schemeClr w14:val="tx1"/>
            </w14:solidFill>
          </w14:textFill>
        </w:rPr>
        <w:t>=129.785，</w:t>
      </w:r>
      <w:r>
        <w:rPr>
          <w:rFonts w:hint="eastAsia"/>
          <w:i/>
          <w:iCs/>
          <w:color w:val="000000" w:themeColor="text1"/>
          <w14:textFill>
            <w14:solidFill>
              <w14:schemeClr w14:val="tx1"/>
            </w14:solidFill>
          </w14:textFill>
        </w:rPr>
        <w:t>P</w:t>
      </w:r>
      <w:r>
        <w:rPr>
          <w:rFonts w:hint="eastAsia"/>
          <w:color w:val="000000" w:themeColor="text1"/>
          <w14:textFill>
            <w14:solidFill>
              <w14:schemeClr w14:val="tx1"/>
            </w14:solidFill>
          </w14:textFill>
        </w:rPr>
        <w:t>&lt;0.001</w:t>
      </w:r>
    </w:p>
    <w:p>
      <w:pPr>
        <w:jc w:val="center"/>
        <w:rPr>
          <w:rFonts w:ascii="黑体" w:hAnsi="$F$" w:eastAsia="黑体" w:cs="$F$"/>
          <w:bCs/>
          <w:color w:val="000000" w:themeColor="text1"/>
          <w:kern w:val="0"/>
          <w:sz w:val="24"/>
          <w14:textFill>
            <w14:solidFill>
              <w14:schemeClr w14:val="tx1"/>
            </w14:solidFill>
          </w14:textFill>
        </w:rPr>
      </w:pPr>
    </w:p>
    <w:p>
      <w:pPr>
        <w:jc w:val="center"/>
        <w:rPr>
          <w:rFonts w:ascii="黑体" w:hAnsi="$F$" w:eastAsia="黑体" w:cs="$F$"/>
          <w:bCs/>
          <w:color w:val="000000" w:themeColor="text1"/>
          <w:kern w:val="0"/>
          <w:sz w:val="24"/>
          <w:highlight w:val="yellow"/>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8</w:t>
      </w:r>
      <w:r>
        <w:rPr>
          <w:rFonts w:hint="eastAsia" w:ascii="黑体" w:hAnsi="$F$" w:eastAsia="黑体" w:cs="$F$"/>
          <w:bCs/>
          <w:color w:val="000000" w:themeColor="text1"/>
          <w:kern w:val="0"/>
          <w:sz w:val="24"/>
          <w14:textFill>
            <w14:solidFill>
              <w14:schemeClr w14:val="tx1"/>
            </w14:solidFill>
          </w14:textFill>
        </w:rPr>
        <w:t xml:space="preserve">   不同性别与高血压等级的关系</w:t>
      </w:r>
    </w:p>
    <w:tbl>
      <w:tblPr>
        <w:tblStyle w:val="9"/>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5681" w:type="dxa"/>
            <w:gridSpan w:val="4"/>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高血压等级</w:t>
            </w:r>
          </w:p>
        </w:tc>
        <w:tc>
          <w:tcPr>
            <w:tcW w:w="1421"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I级</w:t>
            </w:r>
          </w:p>
        </w:tc>
        <w:tc>
          <w:tcPr>
            <w:tcW w:w="1421"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正常</w:t>
            </w:r>
          </w:p>
        </w:tc>
        <w:tc>
          <w:tcPr>
            <w:tcW w:w="1421"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275</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1308</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343</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1746</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3054</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3796</w:t>
            </w:r>
          </w:p>
        </w:tc>
      </w:tr>
    </w:tbl>
    <w:p>
      <w:pPr>
        <w:pStyle w:val="7"/>
        <w:spacing w:before="0" w:beforeAutospacing="0" w:after="0" w:afterAutospacing="0" w:line="400" w:lineRule="exact"/>
        <w:rPr>
          <w:rFonts w:ascii="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w:t>
      </w:r>
      <w:r>
        <w:rPr>
          <w:rFonts w:hint="eastAsia"/>
          <w:color w:val="000000" w:themeColor="text1"/>
          <w:position w:val="-10"/>
          <w14:textFill>
            <w14:solidFill>
              <w14:schemeClr w14:val="tx1"/>
            </w14:solidFill>
          </w14:textFill>
        </w:rPr>
        <w:object>
          <v:shape id="_x0000_i1028" o:spt="75" type="#_x0000_t75" style="height:18pt;width:15.7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5">
            <o:LockedField>false</o:LockedField>
          </o:OLEObject>
        </w:object>
      </w:r>
      <w:r>
        <w:rPr>
          <w:rFonts w:hint="eastAsia"/>
          <w:color w:val="000000" w:themeColor="text1"/>
          <w14:textFill>
            <w14:solidFill>
              <w14:schemeClr w14:val="tx1"/>
            </w14:solidFill>
          </w14:textFill>
        </w:rPr>
        <w:t>=3.355，</w:t>
      </w:r>
      <w:r>
        <w:rPr>
          <w:rFonts w:hint="eastAsia"/>
          <w:i/>
          <w:iCs/>
          <w:color w:val="000000" w:themeColor="text1"/>
          <w14:textFill>
            <w14:solidFill>
              <w14:schemeClr w14:val="tx1"/>
            </w14:solidFill>
          </w14:textFill>
        </w:rPr>
        <w:t>P</w:t>
      </w:r>
      <w:r>
        <w:rPr>
          <w:rFonts w:hint="eastAsia"/>
          <w:color w:val="000000" w:themeColor="text1"/>
          <w14:textFill>
            <w14:solidFill>
              <w14:schemeClr w14:val="tx1"/>
            </w14:solidFill>
          </w14:textFill>
        </w:rPr>
        <w:t>=0.340</w:t>
      </w:r>
    </w:p>
    <w:p>
      <w:pPr>
        <w:jc w:val="center"/>
        <w:rPr>
          <w:rFonts w:ascii="黑体" w:hAnsi="$F$" w:eastAsia="黑体" w:cs="$F$"/>
          <w:bCs/>
          <w:color w:val="000000" w:themeColor="text1"/>
          <w:kern w:val="0"/>
          <w:sz w:val="24"/>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9</w:t>
      </w:r>
      <w:r>
        <w:rPr>
          <w:rFonts w:hint="eastAsia" w:ascii="黑体" w:hAnsi="$F$" w:eastAsia="黑体" w:cs="$F$"/>
          <w:bCs/>
          <w:color w:val="000000" w:themeColor="text1"/>
          <w:kern w:val="0"/>
          <w:sz w:val="24"/>
          <w14:textFill>
            <w14:solidFill>
              <w14:schemeClr w14:val="tx1"/>
            </w14:solidFill>
          </w14:textFill>
        </w:rPr>
        <w:t xml:space="preserve">   不同居住地与高血压等级的关系</w:t>
      </w:r>
    </w:p>
    <w:tbl>
      <w:tblPr>
        <w:tblStyle w:val="9"/>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5681" w:type="dxa"/>
            <w:gridSpan w:val="4"/>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高血压等级</w:t>
            </w:r>
          </w:p>
        </w:tc>
        <w:tc>
          <w:tcPr>
            <w:tcW w:w="1421"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I级</w:t>
            </w:r>
          </w:p>
        </w:tc>
        <w:tc>
          <w:tcPr>
            <w:tcW w:w="1421"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正常</w:t>
            </w:r>
          </w:p>
        </w:tc>
        <w:tc>
          <w:tcPr>
            <w:tcW w:w="1421"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城镇</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68</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1023</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92</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550</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2031</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3054</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3796</w:t>
            </w:r>
          </w:p>
        </w:tc>
      </w:tr>
    </w:tbl>
    <w:p>
      <w:pPr>
        <w:pStyle w:val="7"/>
        <w:spacing w:before="0" w:beforeAutospacing="0" w:after="0" w:afterAutospacing="0" w:line="400" w:lineRule="exact"/>
        <w:rPr>
          <w:color w:val="000000" w:themeColor="text1"/>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w:t>
      </w:r>
      <w:r>
        <w:rPr>
          <w:rFonts w:hint="eastAsia"/>
          <w:color w:val="000000" w:themeColor="text1"/>
          <w:position w:val="-10"/>
          <w14:textFill>
            <w14:solidFill>
              <w14:schemeClr w14:val="tx1"/>
            </w14:solidFill>
          </w14:textFill>
        </w:rPr>
        <w:object>
          <v:shape id="_x0000_i1029" o:spt="75" type="#_x0000_t75" style="height:18pt;width:15.75pt;" o:ole="t" filled="f" o:preferrelative="t" stroked="f" coordsize="21600,21600">
            <v:path/>
            <v:fill on="f" focussize="0,0"/>
            <v:stroke on="f" joinstyle="miter"/>
            <v:imagedata r:id="rId14" o:title=""/>
            <o:lock v:ext="edit" aspectratio="t"/>
            <w10:wrap type="none"/>
            <w10:anchorlock/>
          </v:shape>
          <o:OLEObject Type="Embed" ProgID="Equation.3" ShapeID="_x0000_i1029" DrawAspect="Content" ObjectID="_1468075729" r:id="rId16">
            <o:LockedField>false</o:LockedField>
          </o:OLEObject>
        </w:object>
      </w:r>
      <w:r>
        <w:rPr>
          <w:rFonts w:hint="eastAsia"/>
          <w:color w:val="000000" w:themeColor="text1"/>
          <w14:textFill>
            <w14:solidFill>
              <w14:schemeClr w14:val="tx1"/>
            </w14:solidFill>
          </w14:textFill>
        </w:rPr>
        <w:t>=138.24，</w:t>
      </w:r>
      <w:r>
        <w:rPr>
          <w:rFonts w:hint="eastAsia"/>
          <w:i/>
          <w:iCs/>
          <w:color w:val="000000" w:themeColor="text1"/>
          <w14:textFill>
            <w14:solidFill>
              <w14:schemeClr w14:val="tx1"/>
            </w14:solidFill>
          </w14:textFill>
        </w:rPr>
        <w:t>P</w:t>
      </w:r>
      <w:r>
        <w:rPr>
          <w:rFonts w:hint="eastAsia"/>
          <w:color w:val="000000" w:themeColor="text1"/>
          <w14:textFill>
            <w14:solidFill>
              <w14:schemeClr w14:val="tx1"/>
            </w14:solidFill>
          </w14:textFill>
        </w:rPr>
        <w:t>&lt;0.001</w:t>
      </w:r>
    </w:p>
    <w:p>
      <w:pPr>
        <w:rPr>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2、糖尿病  </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阳城县城乡居民糖尿病患者总数为408人，即糖尿病粗患病率为10.8%，标化患病率为8.20%，高于2016年基线调查的糖尿病标化患病率3.3%，低于《中国居民营养与慢性病状况报告（2020年）》中我国居民平均11.9%的糖尿病患病率。而进一步研究显示（表10），不同性别、不同居住地、不同年龄组间糖尿病患病率的差别均有统计学意义（P＜0.01），男性患病率高于女性，农村居民患病率高于城市居民，老年人患病率（15.8%）明显高于其他年龄段患病率。提示35岁以上居民特别是农村社区（乡镇卫生院/村卫生室）建立定期血糖监测制度，将会对阳城县Ⅱ型糖尿病的规范管理起到较好效果。</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p>
    <w:p>
      <w:pPr>
        <w:widowControl/>
        <w:jc w:val="center"/>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10 </w:t>
      </w:r>
      <w:r>
        <w:rPr>
          <w:rFonts w:hint="eastAsia"/>
          <w:b/>
          <w:bCs/>
          <w:color w:val="000000" w:themeColor="text1"/>
          <w:kern w:val="0"/>
          <w:sz w:val="24"/>
          <w14:textFill>
            <w14:solidFill>
              <w14:schemeClr w14:val="tx1"/>
            </w14:solidFill>
          </w14:textFill>
        </w:rPr>
        <w:t>人群不同组别糖尿病患病情况</w:t>
      </w:r>
    </w:p>
    <w:tbl>
      <w:tblPr>
        <w:tblStyle w:val="9"/>
        <w:tblW w:w="8316" w:type="dxa"/>
        <w:jc w:val="center"/>
        <w:tblLayout w:type="fixed"/>
        <w:tblCellMar>
          <w:top w:w="0" w:type="dxa"/>
          <w:left w:w="108" w:type="dxa"/>
          <w:bottom w:w="0" w:type="dxa"/>
          <w:right w:w="108" w:type="dxa"/>
        </w:tblCellMar>
      </w:tblPr>
      <w:tblGrid>
        <w:gridCol w:w="1061"/>
        <w:gridCol w:w="1747"/>
        <w:gridCol w:w="1476"/>
        <w:gridCol w:w="1344"/>
        <w:gridCol w:w="1344"/>
        <w:gridCol w:w="1344"/>
      </w:tblGrid>
      <w:tr>
        <w:tblPrEx>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i/>
                <w:color w:val="000000" w:themeColor="text1"/>
                <w:kern w:val="0"/>
                <w:sz w:val="24"/>
                <w14:textFill>
                  <w14:solidFill>
                    <w14:schemeClr w14:val="tx1"/>
                  </w14:solidFill>
                </w14:textFill>
              </w:rPr>
            </w:pPr>
            <w:r>
              <w:rPr>
                <w:rFonts w:ascii="宋体" w:hAnsi="宋体"/>
                <w:i/>
                <w:color w:val="000000" w:themeColor="text1"/>
                <w:kern w:val="0"/>
                <w:sz w:val="28"/>
                <w14:textFill>
                  <w14:solidFill>
                    <w14:schemeClr w14:val="tx1"/>
                  </w14:solidFill>
                </w14:textFill>
              </w:rPr>
              <w:t>χ</w:t>
            </w:r>
            <w:r>
              <w:rPr>
                <w:rFonts w:ascii="宋体" w:hAnsi="宋体"/>
                <w:color w:val="000000" w:themeColor="text1"/>
                <w:kern w:val="0"/>
                <w:sz w:val="28"/>
                <w:vertAlign w:val="superscript"/>
                <w14:textFill>
                  <w14:solidFill>
                    <w14:schemeClr w14:val="tx1"/>
                  </w14:solidFill>
                </w14:textFill>
              </w:rPr>
              <w:t>2</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205</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12.5</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9.037</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w:t>
            </w:r>
            <w:r>
              <w:rPr>
                <w:rFonts w:hint="eastAsia" w:ascii="宋体" w:hAnsi="宋体"/>
                <w:kern w:val="0"/>
                <w:sz w:val="24"/>
              </w:rPr>
              <w:t>0.003</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女</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203</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9.4</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居住地</w:t>
            </w: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农村</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324</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12.1</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16.598</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城镇</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84</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7.6</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年龄</w:t>
            </w: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18-3</w:t>
            </w:r>
            <w:r>
              <w:rPr>
                <w:rFonts w:hint="eastAsia" w:ascii="宋体" w:hAnsi="宋体"/>
                <w:kern w:val="0"/>
                <w:sz w:val="24"/>
              </w:rPr>
              <w:t>4岁</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8</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2.2</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86.820</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3</w:t>
            </w:r>
            <w:r>
              <w:rPr>
                <w:rFonts w:hint="eastAsia" w:ascii="宋体" w:hAnsi="宋体"/>
                <w:kern w:val="0"/>
                <w:sz w:val="24"/>
              </w:rPr>
              <w:t>5</w:t>
            </w:r>
            <w:r>
              <w:rPr>
                <w:rFonts w:ascii="宋体" w:hAnsi="宋体"/>
                <w:kern w:val="0"/>
                <w:sz w:val="24"/>
              </w:rPr>
              <w:t>-59</w:t>
            </w:r>
            <w:r>
              <w:rPr>
                <w:rFonts w:hint="eastAsia" w:ascii="宋体" w:hAnsi="宋体"/>
                <w:kern w:val="0"/>
                <w:sz w:val="24"/>
              </w:rPr>
              <w:t>岁</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140</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7.9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大于</w:t>
            </w:r>
            <w:r>
              <w:rPr>
                <w:rFonts w:ascii="宋体" w:hAnsi="宋体"/>
                <w:kern w:val="0"/>
                <w:sz w:val="24"/>
              </w:rPr>
              <w:t>60</w:t>
            </w:r>
            <w:r>
              <w:rPr>
                <w:rFonts w:hint="eastAsia" w:ascii="宋体" w:hAnsi="宋体"/>
                <w:kern w:val="0"/>
                <w:sz w:val="24"/>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260</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15.8</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r>
    </w:tbl>
    <w:p>
      <w:pPr>
        <w:widowControl/>
        <w:spacing w:line="360" w:lineRule="auto"/>
        <w:jc w:val="center"/>
        <w:rPr>
          <w:rFonts w:ascii="宋体" w:hAnsi="宋体"/>
          <w:kern w:val="0"/>
          <w:sz w:val="24"/>
        </w:rPr>
      </w:pPr>
      <w:r>
        <w:rPr>
          <w:rFonts w:ascii="宋体" w:hAnsi="宋体"/>
          <w:kern w:val="0"/>
          <w:sz w:val="24"/>
        </w:rPr>
        <w:t xml:space="preserve">    </w:t>
      </w:r>
    </w:p>
    <w:p>
      <w:pPr>
        <w:rPr>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3、脑卒中</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脑卒中粗患病率为4.9%，标化患病率为3.18%，略低于2016年基线调查的脑血管疾病标化患病率3.8%。而进一步研究显示（表11），不同居住地居民间、不同年龄组间脑卒中患病率的差别有统计学意义（P＜0.01，P＜0.01）。其中，农村居民患病率高于城市居民；男性患病率高于女性患者；60岁以上居民患病比例明显提高，明显高于中青年人群。</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w:t>
      </w:r>
      <w:r>
        <w:rPr>
          <w:b/>
          <w:bCs/>
          <w:color w:val="000000" w:themeColor="text1"/>
          <w:kern w:val="0"/>
          <w:sz w:val="24"/>
          <w14:textFill>
            <w14:solidFill>
              <w14:schemeClr w14:val="tx1"/>
            </w14:solidFill>
          </w14:textFill>
        </w:rPr>
        <w:t xml:space="preserve">1 </w:t>
      </w:r>
      <w:r>
        <w:rPr>
          <w:rFonts w:hint="eastAsia"/>
          <w:b/>
          <w:bCs/>
          <w:color w:val="000000" w:themeColor="text1"/>
          <w:kern w:val="0"/>
          <w:sz w:val="24"/>
          <w14:textFill>
            <w14:solidFill>
              <w14:schemeClr w14:val="tx1"/>
            </w14:solidFill>
          </w14:textFill>
        </w:rPr>
        <w:t>人群不同组别脑卒中患病情况</w:t>
      </w:r>
    </w:p>
    <w:tbl>
      <w:tblPr>
        <w:tblStyle w:val="9"/>
        <w:tblW w:w="8316" w:type="dxa"/>
        <w:tblInd w:w="0" w:type="dxa"/>
        <w:tblLayout w:type="fixed"/>
        <w:tblCellMar>
          <w:top w:w="0" w:type="dxa"/>
          <w:left w:w="108" w:type="dxa"/>
          <w:bottom w:w="0" w:type="dxa"/>
          <w:right w:w="108" w:type="dxa"/>
        </w:tblCellMar>
      </w:tblPr>
      <w:tblGrid>
        <w:gridCol w:w="1061"/>
        <w:gridCol w:w="1747"/>
        <w:gridCol w:w="1476"/>
        <w:gridCol w:w="1344"/>
        <w:gridCol w:w="1344"/>
        <w:gridCol w:w="1344"/>
      </w:tblGrid>
      <w:tr>
        <w:tblPrEx>
          <w:tblCellMar>
            <w:top w:w="0" w:type="dxa"/>
            <w:left w:w="108" w:type="dxa"/>
            <w:bottom w:w="0" w:type="dxa"/>
            <w:right w:w="108" w:type="dxa"/>
          </w:tblCellMar>
        </w:tblPrEx>
        <w:trPr>
          <w:trHeight w:val="627" w:hRule="atLeast"/>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0" o:spt="75" type="#_x0000_t75" style="height:18pt;width:15.75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CellMar>
            <w:top w:w="0" w:type="dxa"/>
            <w:left w:w="108" w:type="dxa"/>
            <w:bottom w:w="0" w:type="dxa"/>
            <w:right w:w="108" w:type="dxa"/>
          </w:tblCellMar>
        </w:tblPrEx>
        <w:trPr>
          <w:trHeight w:val="465" w:hRule="atLeast"/>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97</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5.9</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2.570</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0.109</w:t>
            </w:r>
          </w:p>
        </w:tc>
      </w:tr>
      <w:tr>
        <w:tblPrEx>
          <w:tblCellMar>
            <w:top w:w="0" w:type="dxa"/>
            <w:left w:w="108" w:type="dxa"/>
            <w:bottom w:w="0" w:type="dxa"/>
            <w:right w:w="108" w:type="dxa"/>
          </w:tblCellMar>
        </w:tblPrEx>
        <w:trPr>
          <w:trHeight w:val="465" w:hRule="atLeast"/>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90</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r>
      <w:tr>
        <w:tblPrEx>
          <w:tblCellMar>
            <w:top w:w="0" w:type="dxa"/>
            <w:left w:w="108" w:type="dxa"/>
            <w:bottom w:w="0" w:type="dxa"/>
            <w:right w:w="108" w:type="dxa"/>
          </w:tblCellMar>
        </w:tblPrEx>
        <w:trPr>
          <w:trHeight w:val="465" w:hRule="atLeast"/>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户籍</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177</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6.6</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15.387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CellMar>
            <w:top w:w="0" w:type="dxa"/>
            <w:left w:w="108" w:type="dxa"/>
            <w:bottom w:w="0" w:type="dxa"/>
            <w:right w:w="108" w:type="dxa"/>
          </w:tblCellMar>
        </w:tblPrEx>
        <w:trPr>
          <w:trHeight w:val="465" w:hRule="atLeast"/>
        </w:trPr>
        <w:tc>
          <w:tcPr>
            <w:tcW w:w="1061" w:type="dxa"/>
            <w:vMerge w:val="continue"/>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w:t>
            </w:r>
          </w:p>
        </w:tc>
        <w:tc>
          <w:tcPr>
            <w:tcW w:w="1344" w:type="dxa"/>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0.9</w:t>
            </w:r>
          </w:p>
        </w:tc>
        <w:tc>
          <w:tcPr>
            <w:tcW w:w="1344" w:type="dxa"/>
            <w:vMerge w:val="continue"/>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trPr>
        <w:tc>
          <w:tcPr>
            <w:tcW w:w="1061" w:type="dxa"/>
            <w:vMerge w:val="restart"/>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344" w:type="dxa"/>
            <w:tcBorders>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0.3</w:t>
            </w:r>
          </w:p>
        </w:tc>
        <w:tc>
          <w:tcPr>
            <w:tcW w:w="1344" w:type="dxa"/>
            <w:vMerge w:val="restart"/>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25.097</w:t>
            </w:r>
          </w:p>
        </w:tc>
        <w:tc>
          <w:tcPr>
            <w:tcW w:w="1344" w:type="dxa"/>
            <w:vMerge w:val="restart"/>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CellMar>
            <w:top w:w="0" w:type="dxa"/>
            <w:left w:w="108" w:type="dxa"/>
            <w:bottom w:w="0" w:type="dxa"/>
            <w:right w:w="108" w:type="dxa"/>
          </w:tblCellMar>
        </w:tblPrEx>
        <w:trPr>
          <w:trHeight w:val="465" w:hRule="atLeast"/>
        </w:trPr>
        <w:tc>
          <w:tcPr>
            <w:tcW w:w="1061" w:type="dxa"/>
            <w:vMerge w:val="continue"/>
            <w:tcBorders>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344" w:type="dxa"/>
            <w:vMerge w:val="continue"/>
            <w:tcBorders>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154</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9.3</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 xml:space="preserve">   </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4、冠心病</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冠心病患病率为5.8%，标化患病率为4.02%。高于2016年基线调查中的冠心病标化患病率3.1%。而进一步研究显示（表12），不同年龄居民间的冠心病患病率差别有统计学意义（P＜0.01），60岁以上患病率明显高于其他年龄组。结合脑卒中和冠心病患病情况，提示每年开展为60岁以上老年人免费体检，特别是增加血脂测量项目，将可以对控制心脑血管疾病发病率起到很好的管理效果。</w:t>
      </w:r>
    </w:p>
    <w:p>
      <w:pPr>
        <w:rPr>
          <w:color w:val="000000" w:themeColor="text1"/>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12 </w:t>
      </w:r>
      <w:r>
        <w:rPr>
          <w:rFonts w:hint="eastAsia"/>
          <w:b/>
          <w:bCs/>
          <w:color w:val="000000" w:themeColor="text1"/>
          <w:kern w:val="0"/>
          <w:sz w:val="24"/>
          <w14:textFill>
            <w14:solidFill>
              <w14:schemeClr w14:val="tx1"/>
            </w14:solidFill>
          </w14:textFill>
        </w:rPr>
        <w:t>人群不同组别冠心病患病情况</w:t>
      </w:r>
    </w:p>
    <w:tbl>
      <w:tblPr>
        <w:tblStyle w:val="9"/>
        <w:tblW w:w="8316" w:type="dxa"/>
        <w:jc w:val="center"/>
        <w:tblLayout w:type="fixed"/>
        <w:tblCellMar>
          <w:top w:w="0" w:type="dxa"/>
          <w:left w:w="108" w:type="dxa"/>
          <w:bottom w:w="0" w:type="dxa"/>
          <w:right w:w="108" w:type="dxa"/>
        </w:tblCellMar>
      </w:tblPr>
      <w:tblGrid>
        <w:gridCol w:w="1061"/>
        <w:gridCol w:w="1747"/>
        <w:gridCol w:w="1476"/>
        <w:gridCol w:w="1344"/>
        <w:gridCol w:w="1344"/>
        <w:gridCol w:w="1344"/>
      </w:tblGrid>
      <w:tr>
        <w:tblPrEx>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1" o:spt="75" type="#_x0000_t75" style="height:18pt;width:15.75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96</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1.137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0.286</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126</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180</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3.791</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0.052</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0.3</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10.520</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0.005</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53</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168</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10.2</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5、慢性骨关节疾病</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调查中，阳城县城乡居民慢性骨关节疾病患病率为1.2%，标化患病率为0.93%。而进一步研究显示（表13），农村慢性骨关节疾病患病率高于城市。</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13 </w:t>
      </w:r>
      <w:r>
        <w:rPr>
          <w:rFonts w:hint="eastAsia"/>
          <w:b/>
          <w:bCs/>
          <w:color w:val="000000" w:themeColor="text1"/>
          <w:kern w:val="0"/>
          <w:sz w:val="24"/>
          <w14:textFill>
            <w14:solidFill>
              <w14:schemeClr w14:val="tx1"/>
            </w14:solidFill>
          </w14:textFill>
        </w:rPr>
        <w:t>人群不同组别慢性骨关节疾病患病情况</w:t>
      </w:r>
    </w:p>
    <w:tbl>
      <w:tblPr>
        <w:tblStyle w:val="9"/>
        <w:tblW w:w="8316" w:type="dxa"/>
        <w:jc w:val="center"/>
        <w:tblLayout w:type="fixed"/>
        <w:tblCellMar>
          <w:top w:w="0" w:type="dxa"/>
          <w:left w:w="108" w:type="dxa"/>
          <w:bottom w:w="0" w:type="dxa"/>
          <w:right w:w="108" w:type="dxa"/>
        </w:tblCellMar>
      </w:tblPr>
      <w:tblGrid>
        <w:gridCol w:w="1061"/>
        <w:gridCol w:w="1747"/>
        <w:gridCol w:w="1476"/>
        <w:gridCol w:w="1344"/>
        <w:gridCol w:w="1344"/>
        <w:gridCol w:w="1344"/>
      </w:tblGrid>
      <w:tr>
        <w:tblPrEx>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2" o:spt="75" type="#_x0000_t75" style="height:18pt;width:15.75pt;" o:ole="t" filled="f" o:preferrelative="t" stroked="f" coordsize="21600,21600">
                  <v:path/>
                  <v:fill on="f" focussize="0,0"/>
                  <v:stroke on="f" joinstyle="miter"/>
                  <v:imagedata r:id="rId20" o:title=""/>
                  <o:lock v:ext="edit" aspectratio="t"/>
                  <w10:wrap type="none"/>
                  <w10:anchorlock/>
                </v:shape>
                <o:OLEObject Type="Embed" ProgID="Equation.3" ShapeID="_x0000_i1032" DrawAspect="Content" ObjectID="_1468075732" r:id="rId21">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3.037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0.081</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户籍</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35</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4.548</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0.033</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0.0</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0.457</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0.796</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6、恶性肿瘤</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调查中，阳城县城乡居民恶性肿瘤患病率为1.2%，标化患病率为0.90%。而进一步研究显示（表14），60岁以上年龄组恶性肿瘤患病率高于其他年龄组居民。</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14 </w:t>
      </w:r>
      <w:r>
        <w:rPr>
          <w:rFonts w:hint="eastAsia"/>
          <w:b/>
          <w:bCs/>
          <w:color w:val="000000" w:themeColor="text1"/>
          <w:kern w:val="0"/>
          <w:sz w:val="24"/>
          <w14:textFill>
            <w14:solidFill>
              <w14:schemeClr w14:val="tx1"/>
            </w14:solidFill>
          </w14:textFill>
        </w:rPr>
        <w:t>人群不同组别恶性肿瘤患病情况</w:t>
      </w:r>
    </w:p>
    <w:tbl>
      <w:tblPr>
        <w:tblStyle w:val="9"/>
        <w:tblW w:w="8316" w:type="dxa"/>
        <w:jc w:val="center"/>
        <w:tblLayout w:type="fixed"/>
        <w:tblCellMar>
          <w:top w:w="0" w:type="dxa"/>
          <w:left w:w="108" w:type="dxa"/>
          <w:bottom w:w="0" w:type="dxa"/>
          <w:right w:w="108" w:type="dxa"/>
        </w:tblCellMar>
      </w:tblPr>
      <w:tblGrid>
        <w:gridCol w:w="1061"/>
        <w:gridCol w:w="1747"/>
        <w:gridCol w:w="1476"/>
        <w:gridCol w:w="1344"/>
        <w:gridCol w:w="1344"/>
        <w:gridCol w:w="1344"/>
      </w:tblGrid>
      <w:tr>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3" o:spt="75" type="#_x0000_t75" style="height:18pt;width:15.75pt;" o:ole="t" filled="f" o:preferrelative="t" stroked="f" coordsize="21600,21600">
                  <v:path/>
                  <v:fill on="f" focussize="0,0"/>
                  <v:stroke on="f" joinstyle="miter"/>
                  <v:imagedata r:id="rId20" o:title=""/>
                  <o:lock v:ext="edit" aspectratio="t"/>
                  <w10:wrap type="none"/>
                  <w10:anchorlock/>
                </v:shape>
                <o:OLEObject Type="Embed" ProgID="Equation.3" ShapeID="_x0000_i1033" DrawAspect="Content" ObjectID="_1468075733" r:id="rId22">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0.173</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0.677</w:t>
            </w:r>
          </w:p>
        </w:tc>
      </w:tr>
      <w:tr>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户籍</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0.271</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0.602</w:t>
            </w:r>
          </w:p>
        </w:tc>
      </w:tr>
      <w:tr>
        <w:tblPrEx>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0.7</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0.5</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6.824</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0.033</w:t>
            </w:r>
          </w:p>
        </w:tc>
      </w:tr>
      <w:tr>
        <w:tblPrEx>
          <w:tblCellMar>
            <w:top w:w="0" w:type="dxa"/>
            <w:left w:w="108" w:type="dxa"/>
            <w:bottom w:w="0" w:type="dxa"/>
            <w:right w:w="108" w:type="dxa"/>
          </w:tblCellMar>
        </w:tblPrEx>
        <w:trPr>
          <w:trHeight w:val="490"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0.7</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1.9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与此同时，全县46名经医生确诊的恶性肿瘤患者中，有34</w:t>
      </w:r>
      <w:r>
        <w:rPr>
          <w:rFonts w:hint="eastAsia" w:ascii="仿宋" w:hAnsi="仿宋" w:eastAsia="仿宋" w:cs="宋体"/>
          <w:color w:val="000000" w:themeColor="text1"/>
          <w:kern w:val="0"/>
          <w:sz w:val="32"/>
          <w:szCs w:val="32"/>
          <w:lang w:val="en-US" w:eastAsia="zh-CN"/>
          <w14:textFill>
            <w14:solidFill>
              <w14:schemeClr w14:val="tx1"/>
            </w14:solidFill>
          </w14:textFill>
        </w:rPr>
        <w:t>人</w:t>
      </w:r>
      <w:r>
        <w:rPr>
          <w:rFonts w:hint="eastAsia" w:ascii="仿宋" w:hAnsi="仿宋" w:eastAsia="仿宋" w:cs="宋体"/>
          <w:color w:val="000000" w:themeColor="text1"/>
          <w:kern w:val="0"/>
          <w:sz w:val="32"/>
          <w:szCs w:val="32"/>
          <w14:textFill>
            <w14:solidFill>
              <w14:schemeClr w14:val="tx1"/>
            </w14:solidFill>
          </w14:textFill>
        </w:rPr>
        <w:t>罹患食管癌，占比高达73.9%。</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7、慢性病家族聚集情况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社会因素调查结果显示，有42.72%的慢性病患者其祖(外祖)父母、父母或兄弟姐妹中也有人被医生诊断过患有同类慢性病。见表15</w:t>
      </w: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w:t>
      </w:r>
      <w:r>
        <w:rPr>
          <w:b/>
          <w:bCs/>
          <w:color w:val="000000" w:themeColor="text1"/>
          <w:kern w:val="0"/>
          <w:sz w:val="24"/>
          <w14:textFill>
            <w14:solidFill>
              <w14:schemeClr w14:val="tx1"/>
            </w14:solidFill>
          </w14:textFill>
        </w:rPr>
        <w:t>5</w:t>
      </w:r>
      <w:r>
        <w:rPr>
          <w:rFonts w:hint="eastAsia"/>
          <w:b/>
          <w:bCs/>
          <w:color w:val="000000" w:themeColor="text1"/>
          <w:kern w:val="0"/>
          <w:sz w:val="24"/>
          <w14:textFill>
            <w14:solidFill>
              <w14:schemeClr w14:val="tx1"/>
            </w14:solidFill>
          </w14:textFill>
        </w:rPr>
        <w:t xml:space="preserve">  慢性病家族聚集情况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2"/>
        <w:gridCol w:w="2532"/>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82" w:type="dxa"/>
            <w:tcBorders>
              <w:left w:val="nil"/>
              <w:bottom w:val="single" w:color="auto" w:sz="4" w:space="0"/>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家族聚集情况</w:t>
            </w:r>
          </w:p>
        </w:tc>
        <w:tc>
          <w:tcPr>
            <w:tcW w:w="2532" w:type="dxa"/>
            <w:tcBorders>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2781" w:type="dxa"/>
            <w:tcBorders>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2" w:type="dxa"/>
            <w:tcBorders>
              <w:left w:val="nil"/>
              <w:bottom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有家族聚集</w:t>
            </w:r>
          </w:p>
        </w:tc>
        <w:tc>
          <w:tcPr>
            <w:tcW w:w="2532" w:type="dxa"/>
            <w:tcBorders>
              <w:left w:val="nil"/>
              <w:bottom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534</w:t>
            </w:r>
          </w:p>
        </w:tc>
        <w:tc>
          <w:tcPr>
            <w:tcW w:w="2781" w:type="dxa"/>
            <w:tcBorders>
              <w:left w:val="nil"/>
              <w:bottom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82" w:type="dxa"/>
            <w:tcBorders>
              <w:top w:val="nil"/>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无或不清楚</w:t>
            </w:r>
          </w:p>
        </w:tc>
        <w:tc>
          <w:tcPr>
            <w:tcW w:w="2532" w:type="dxa"/>
            <w:tcBorders>
              <w:top w:val="nil"/>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716</w:t>
            </w:r>
          </w:p>
        </w:tc>
        <w:tc>
          <w:tcPr>
            <w:tcW w:w="2781" w:type="dxa"/>
            <w:tcBorders>
              <w:top w:val="nil"/>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57.28</w:t>
            </w:r>
          </w:p>
        </w:tc>
      </w:tr>
    </w:tbl>
    <w:p>
      <w:pPr>
        <w:rPr>
          <w:rFonts w:ascii="仿宋" w:hAnsi="仿宋" w:eastAsia="仿宋" w:cs="宋体"/>
          <w:color w:val="000000" w:themeColor="text1"/>
          <w:kern w:val="0"/>
          <w:sz w:val="32"/>
          <w:szCs w:val="32"/>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（六）卫生服务需求利用分析</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主动为城乡慢病患者提供全面、连续、主动的管理，以达到促进健康、延缓慢病进程、减少并发症、降低伤残率、延长寿命、提高生活质量并降低医药费用的作用和效果，已经成为慢病防控示范区建设的重点工作和主要手段。对于有限的卫生医疗资源，我们要合理安排布局和控制。</w:t>
      </w:r>
    </w:p>
    <w:p>
      <w:pPr>
        <w:numPr>
          <w:ilvl w:val="0"/>
          <w:numId w:val="1"/>
        </w:numPr>
        <w:spacing w:line="600" w:lineRule="exact"/>
        <w:ind w:firstLine="561"/>
        <w:rPr>
          <w:rFonts w:hint="default" w:ascii="仿宋" w:hAnsi="仿宋" w:eastAsia="仿宋" w:cs="宋体"/>
          <w:color w:val="FF0000"/>
          <w:kern w:val="0"/>
          <w:sz w:val="32"/>
          <w:szCs w:val="32"/>
          <w:lang w:val="en-US" w:eastAsia="zh-CN"/>
        </w:rPr>
      </w:pPr>
      <w:r>
        <w:rPr>
          <w:rFonts w:hint="eastAsia" w:ascii="仿宋" w:hAnsi="仿宋" w:eastAsia="仿宋" w:cs="宋体"/>
          <w:color w:val="FF0000"/>
          <w:kern w:val="0"/>
          <w:sz w:val="32"/>
          <w:szCs w:val="32"/>
          <w:lang w:val="en-US" w:eastAsia="zh-CN"/>
        </w:rPr>
        <w:t>高血压、糖尿病患者知晓情况</w:t>
      </w:r>
    </w:p>
    <w:p>
      <w:pPr>
        <w:numPr>
          <w:ilvl w:val="0"/>
          <w:numId w:val="0"/>
        </w:numPr>
        <w:spacing w:line="600" w:lineRule="exact"/>
        <w:ind w:firstLine="640" w:firstLineChars="200"/>
        <w:rPr>
          <w:rFonts w:hint="eastAsia" w:ascii="仿宋" w:hAnsi="仿宋" w:eastAsia="仿宋" w:cs="宋体"/>
          <w:color w:val="FF0000"/>
          <w:kern w:val="0"/>
          <w:sz w:val="32"/>
          <w:szCs w:val="32"/>
          <w:lang w:val="en-US" w:eastAsia="zh-CN"/>
        </w:rPr>
      </w:pPr>
      <w:r>
        <w:rPr>
          <w:rFonts w:hint="eastAsia" w:ascii="仿宋" w:hAnsi="仿宋" w:eastAsia="仿宋" w:cs="宋体"/>
          <w:color w:val="FF0000"/>
          <w:kern w:val="0"/>
          <w:sz w:val="32"/>
          <w:szCs w:val="32"/>
          <w:lang w:val="en-US" w:eastAsia="zh-CN"/>
        </w:rPr>
        <w:t>1310名30岁以上高血压患者中，有926人自知患有高血压，即知晓自身患病情况，30岁以上高血压患者知晓率为70.69%。408名18岁以上糖尿病患者中，有256人自知患有糖尿病，即18岁以上糖尿病患者知晓率为62.75%。</w:t>
      </w:r>
    </w:p>
    <w:p>
      <w:pPr>
        <w:widowControl/>
        <w:jc w:val="center"/>
        <w:rPr>
          <w:rFonts w:hint="eastAsia"/>
          <w:b/>
          <w:bCs/>
          <w:color w:val="FF0000"/>
          <w:kern w:val="0"/>
          <w:sz w:val="24"/>
        </w:rPr>
      </w:pPr>
    </w:p>
    <w:p>
      <w:pPr>
        <w:widowControl/>
        <w:jc w:val="center"/>
        <w:rPr>
          <w:b/>
          <w:bCs/>
          <w:color w:val="FF0000"/>
          <w:kern w:val="0"/>
          <w:sz w:val="24"/>
        </w:rPr>
      </w:pPr>
      <w:r>
        <w:rPr>
          <w:rFonts w:hint="eastAsia"/>
          <w:b/>
          <w:bCs/>
          <w:color w:val="FF0000"/>
          <w:kern w:val="0"/>
          <w:sz w:val="24"/>
        </w:rPr>
        <w:t>表1</w:t>
      </w:r>
      <w:r>
        <w:rPr>
          <w:rFonts w:hint="eastAsia"/>
          <w:b/>
          <w:bCs/>
          <w:color w:val="FF0000"/>
          <w:kern w:val="0"/>
          <w:sz w:val="24"/>
          <w:lang w:val="en-US" w:eastAsia="zh-CN"/>
        </w:rPr>
        <w:t>6</w:t>
      </w:r>
      <w:r>
        <w:rPr>
          <w:rFonts w:hint="eastAsia"/>
          <w:b/>
          <w:bCs/>
          <w:color w:val="FF0000"/>
          <w:kern w:val="0"/>
          <w:sz w:val="24"/>
        </w:rPr>
        <w:t xml:space="preserve">  </w:t>
      </w:r>
      <w:r>
        <w:rPr>
          <w:rFonts w:hint="eastAsia"/>
          <w:b/>
          <w:bCs/>
          <w:color w:val="FF0000"/>
          <w:kern w:val="0"/>
          <w:sz w:val="24"/>
          <w:lang w:val="en-US" w:eastAsia="zh-CN"/>
        </w:rPr>
        <w:t>两类慢性病患者知晓</w:t>
      </w:r>
      <w:r>
        <w:rPr>
          <w:rFonts w:hint="eastAsia"/>
          <w:b/>
          <w:bCs/>
          <w:color w:val="FF0000"/>
          <w:kern w:val="0"/>
          <w:sz w:val="24"/>
        </w:rPr>
        <w:t>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2"/>
        <w:gridCol w:w="2532"/>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2" w:type="dxa"/>
            <w:tcBorders>
              <w:left w:val="nil"/>
              <w:bottom w:val="single" w:color="auto" w:sz="4" w:space="0"/>
              <w:right w:val="nil"/>
            </w:tcBorders>
            <w:vAlign w:val="center"/>
          </w:tcPr>
          <w:p>
            <w:pPr>
              <w:widowControl/>
              <w:spacing w:line="360" w:lineRule="auto"/>
              <w:jc w:val="center"/>
              <w:rPr>
                <w:rFonts w:ascii="宋体" w:hAnsi="宋体"/>
                <w:color w:val="FF0000"/>
                <w:kern w:val="0"/>
                <w:sz w:val="24"/>
              </w:rPr>
            </w:pPr>
            <w:r>
              <w:rPr>
                <w:rFonts w:hint="eastAsia" w:ascii="宋体" w:hAnsi="宋体"/>
                <w:color w:val="FF0000"/>
                <w:kern w:val="0"/>
                <w:sz w:val="24"/>
                <w:lang w:val="en-US" w:eastAsia="zh-CN"/>
              </w:rPr>
              <w:t>患者知晓</w:t>
            </w:r>
            <w:r>
              <w:rPr>
                <w:rFonts w:hint="eastAsia" w:ascii="宋体" w:hAnsi="宋体"/>
                <w:color w:val="FF0000"/>
                <w:kern w:val="0"/>
                <w:sz w:val="24"/>
              </w:rPr>
              <w:t>情况</w:t>
            </w:r>
          </w:p>
        </w:tc>
        <w:tc>
          <w:tcPr>
            <w:tcW w:w="2532" w:type="dxa"/>
            <w:tcBorders>
              <w:left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高血压</w:t>
            </w:r>
          </w:p>
        </w:tc>
        <w:tc>
          <w:tcPr>
            <w:tcW w:w="2781" w:type="dxa"/>
            <w:tcBorders>
              <w:left w:val="nil"/>
              <w:right w:val="nil"/>
            </w:tcBorders>
            <w:vAlign w:val="center"/>
          </w:tcPr>
          <w:p>
            <w:pPr>
              <w:widowControl/>
              <w:spacing w:line="360" w:lineRule="auto"/>
              <w:jc w:val="center"/>
              <w:rPr>
                <w:rFonts w:hint="eastAsia" w:ascii="宋体" w:hAnsi="宋体" w:eastAsia="宋体"/>
                <w:color w:val="FF0000"/>
                <w:kern w:val="0"/>
                <w:sz w:val="24"/>
                <w:lang w:eastAsia="zh-CN"/>
              </w:rPr>
            </w:pPr>
            <w:r>
              <w:rPr>
                <w:rFonts w:hint="eastAsia" w:ascii="宋体" w:hAnsi="宋体"/>
                <w:color w:val="FF0000"/>
                <w:kern w:val="0"/>
                <w:sz w:val="24"/>
                <w:lang w:val="en-US" w:eastAsia="zh-CN"/>
              </w:rPr>
              <w:t>糖尿病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2" w:type="dxa"/>
            <w:tcBorders>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自知患病人数</w:t>
            </w:r>
          </w:p>
        </w:tc>
        <w:tc>
          <w:tcPr>
            <w:tcW w:w="2532" w:type="dxa"/>
            <w:tcBorders>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926</w:t>
            </w:r>
          </w:p>
        </w:tc>
        <w:tc>
          <w:tcPr>
            <w:tcW w:w="2781" w:type="dxa"/>
            <w:tcBorders>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2" w:type="dxa"/>
            <w:tcBorders>
              <w:top w:val="nil"/>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患病总人数</w:t>
            </w:r>
          </w:p>
        </w:tc>
        <w:tc>
          <w:tcPr>
            <w:tcW w:w="2532" w:type="dxa"/>
            <w:tcBorders>
              <w:top w:val="nil"/>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1310</w:t>
            </w:r>
          </w:p>
        </w:tc>
        <w:tc>
          <w:tcPr>
            <w:tcW w:w="2781" w:type="dxa"/>
            <w:tcBorders>
              <w:top w:val="nil"/>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2" w:type="dxa"/>
            <w:tcBorders>
              <w:top w:val="nil"/>
              <w:left w:val="nil"/>
              <w:right w:val="nil"/>
            </w:tcBorders>
            <w:vAlign w:val="center"/>
          </w:tcPr>
          <w:p>
            <w:pPr>
              <w:widowControl/>
              <w:spacing w:line="360" w:lineRule="auto"/>
              <w:jc w:val="center"/>
              <w:rPr>
                <w:rFonts w:hint="default" w:ascii="宋体" w:hAnsi="宋体"/>
                <w:color w:val="FF0000"/>
                <w:kern w:val="0"/>
                <w:sz w:val="24"/>
                <w:lang w:val="en-US" w:eastAsia="zh-CN"/>
              </w:rPr>
            </w:pPr>
            <w:r>
              <w:rPr>
                <w:rFonts w:hint="eastAsia" w:ascii="宋体" w:hAnsi="宋体"/>
                <w:color w:val="FF0000"/>
                <w:kern w:val="0"/>
                <w:sz w:val="24"/>
                <w:lang w:val="en-US" w:eastAsia="zh-CN"/>
              </w:rPr>
              <w:t>患者知晓率</w:t>
            </w:r>
          </w:p>
        </w:tc>
        <w:tc>
          <w:tcPr>
            <w:tcW w:w="2532" w:type="dxa"/>
            <w:tcBorders>
              <w:top w:val="nil"/>
              <w:left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70.69%</w:t>
            </w:r>
          </w:p>
        </w:tc>
        <w:tc>
          <w:tcPr>
            <w:tcW w:w="2781" w:type="dxa"/>
            <w:tcBorders>
              <w:top w:val="nil"/>
              <w:left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62.75%</w:t>
            </w:r>
          </w:p>
        </w:tc>
      </w:tr>
    </w:tbl>
    <w:p>
      <w:pPr>
        <w:numPr>
          <w:ilvl w:val="0"/>
          <w:numId w:val="0"/>
        </w:numPr>
        <w:spacing w:line="600" w:lineRule="exact"/>
        <w:rPr>
          <w:rFonts w:hint="default" w:ascii="仿宋" w:hAnsi="仿宋" w:eastAsia="仿宋" w:cs="宋体"/>
          <w:color w:val="000000" w:themeColor="text1"/>
          <w:kern w:val="0"/>
          <w:sz w:val="32"/>
          <w:szCs w:val="32"/>
          <w:lang w:val="en-US" w:eastAsia="zh-CN"/>
          <w14:textFill>
            <w14:solidFill>
              <w14:schemeClr w14:val="tx1"/>
            </w14:solidFill>
          </w14:textFill>
        </w:rPr>
      </w:pPr>
    </w:p>
    <w:p>
      <w:pPr>
        <w:numPr>
          <w:ilvl w:val="0"/>
          <w:numId w:val="0"/>
        </w:num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、居民基本卫生服务需求及利用情况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在3796位慢病社会因素调查对象中，有2968位阳城县居民（占78.2%）明确知晓自己签约了家庭医生。1458位居民（占38.4%）有一年内在社区卫生机构或医院就诊行为，其中1287人在就诊时被要求测量血压（首诊测血压比例88.6%）。所有被调查居民中，一年内有医务人员为其测量血压的比例是83.6%。738位被调查的女性居民接受过宫颈癌筛查，占比为35.6%。414位被调查居民（11.2%）在一年内接受过肿瘤普查或筛查（见表1</w:t>
      </w:r>
      <w:r>
        <w:rPr>
          <w:rFonts w:hint="eastAsia" w:ascii="仿宋" w:hAnsi="仿宋" w:eastAsia="仿宋" w:cs="宋体"/>
          <w:color w:val="000000" w:themeColor="text1"/>
          <w:kern w:val="0"/>
          <w:sz w:val="32"/>
          <w:szCs w:val="32"/>
          <w:lang w:val="en-US" w:eastAsia="zh-CN"/>
          <w14:textFill>
            <w14:solidFill>
              <w14:schemeClr w14:val="tx1"/>
            </w14:solidFill>
          </w14:textFill>
        </w:rPr>
        <w:t>7</w:t>
      </w:r>
      <w:r>
        <w:rPr>
          <w:rFonts w:hint="eastAsia" w:ascii="仿宋" w:hAnsi="仿宋" w:eastAsia="仿宋" w:cs="宋体"/>
          <w:color w:val="000000" w:themeColor="text1"/>
          <w:kern w:val="0"/>
          <w:sz w:val="32"/>
          <w:szCs w:val="32"/>
          <w14:textFill>
            <w14:solidFill>
              <w14:schemeClr w14:val="tx1"/>
            </w14:solidFill>
          </w14:textFill>
        </w:rPr>
        <w:t>）。</w:t>
      </w:r>
    </w:p>
    <w:p>
      <w:pPr>
        <w:ind w:firstLine="640"/>
      </w:pPr>
    </w:p>
    <w:p>
      <w:pPr>
        <w:pStyle w:val="7"/>
        <w:spacing w:before="0" w:beforeAutospacing="0" w:after="0" w:afterAutospacing="0" w:line="400" w:lineRule="exact"/>
        <w:jc w:val="center"/>
        <w:rPr>
          <w:rFonts w:ascii="黑体" w:eastAsia="黑体"/>
          <w:color w:val="000000"/>
        </w:rPr>
      </w:pPr>
      <w:r>
        <w:rPr>
          <w:rFonts w:hint="eastAsia" w:ascii="黑体" w:eastAsia="黑体"/>
          <w:color w:val="000000"/>
        </w:rPr>
        <w:t>表1</w:t>
      </w:r>
      <w:r>
        <w:rPr>
          <w:rFonts w:hint="eastAsia" w:ascii="黑体" w:eastAsia="黑体"/>
          <w:color w:val="000000"/>
          <w:lang w:val="en-US" w:eastAsia="zh-CN"/>
        </w:rPr>
        <w:t>7</w:t>
      </w:r>
      <w:r>
        <w:rPr>
          <w:rFonts w:hint="eastAsia" w:ascii="黑体" w:eastAsia="黑体"/>
          <w:color w:val="000000"/>
        </w:rPr>
        <w:t xml:space="preserve">   居民对基本卫生服务的利用情况</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2596"/>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服务种类</w:t>
            </w:r>
          </w:p>
        </w:tc>
        <w:tc>
          <w:tcPr>
            <w:tcW w:w="2596"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人数</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家庭医生签约</w:t>
            </w:r>
          </w:p>
        </w:tc>
        <w:tc>
          <w:tcPr>
            <w:tcW w:w="2596"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2968</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78.2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一年内就诊</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1458</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就诊时被要求测量血压</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1287</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88.6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一年内由医务人员测血压</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3154</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83.6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宫颈癌筛查</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738</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ascii="宋体" w:hAnsi="宋体"/>
                <w:color w:val="000000"/>
                <w:kern w:val="0"/>
                <w:sz w:val="24"/>
              </w:rPr>
              <w:t>1</w:t>
            </w:r>
            <w:r>
              <w:rPr>
                <w:rFonts w:hint="eastAsia" w:ascii="宋体" w:hAnsi="宋体"/>
                <w:color w:val="000000"/>
                <w:kern w:val="0"/>
                <w:sz w:val="24"/>
              </w:rPr>
              <w:t>年内肿瘤普查或筛查</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414</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11.2</w:t>
            </w:r>
          </w:p>
        </w:tc>
      </w:tr>
    </w:tbl>
    <w:p>
      <w:pPr>
        <w:rPr>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3</w:t>
      </w:r>
      <w:r>
        <w:rPr>
          <w:rFonts w:hint="eastAsia" w:ascii="仿宋" w:hAnsi="仿宋" w:eastAsia="仿宋" w:cs="宋体"/>
          <w:color w:val="000000" w:themeColor="text1"/>
          <w:kern w:val="0"/>
          <w:sz w:val="32"/>
          <w:szCs w:val="32"/>
          <w14:textFill>
            <w14:solidFill>
              <w14:schemeClr w14:val="tx1"/>
            </w14:solidFill>
          </w14:textFill>
        </w:rPr>
        <w:t>、慢性病患者卫生服务利用情况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对1399名明确诊断过高血压与糖尿病的患者接受慢性病管理的情况进行分析，医务人员给出的针对血压、血糖控制的建议中，比例最高的是药物治疗（80.1%），其余的行为生活方式方面的建议比例较低（表1</w:t>
      </w:r>
      <w:r>
        <w:rPr>
          <w:rFonts w:hint="eastAsia" w:ascii="仿宋" w:hAnsi="仿宋" w:eastAsia="仿宋" w:cs="宋体"/>
          <w:color w:val="000000" w:themeColor="text1"/>
          <w:kern w:val="0"/>
          <w:sz w:val="32"/>
          <w:szCs w:val="32"/>
          <w:lang w:val="en-US" w:eastAsia="zh-CN"/>
          <w14:textFill>
            <w14:solidFill>
              <w14:schemeClr w14:val="tx1"/>
            </w14:solidFill>
          </w14:textFill>
        </w:rPr>
        <w:t>8</w:t>
      </w:r>
      <w:r>
        <w:rPr>
          <w:rFonts w:hint="eastAsia" w:ascii="仿宋" w:hAnsi="仿宋" w:eastAsia="仿宋" w:cs="宋体"/>
          <w:color w:val="000000" w:themeColor="text1"/>
          <w:kern w:val="0"/>
          <w:sz w:val="32"/>
          <w:szCs w:val="32"/>
          <w14:textFill>
            <w14:solidFill>
              <w14:schemeClr w14:val="tx1"/>
            </w14:solidFill>
          </w14:textFill>
        </w:rPr>
        <w:t>）。提示目前的慢性病管理仍存在偏重药物治疗，而轻视行为生活方式干预的情况。</w:t>
      </w:r>
    </w:p>
    <w:p>
      <w:pPr>
        <w:pStyle w:val="7"/>
        <w:spacing w:before="0" w:beforeAutospacing="0" w:after="0" w:afterAutospacing="0" w:line="400" w:lineRule="exact"/>
        <w:jc w:val="center"/>
        <w:rPr>
          <w:rStyle w:val="14"/>
          <w:rFonts w:ascii="Calibri" w:hAnsi="Calibri"/>
        </w:rPr>
      </w:pPr>
      <w:r>
        <w:rPr>
          <w:rFonts w:hint="eastAsia" w:ascii="黑体" w:eastAsia="黑体"/>
          <w:color w:val="000000"/>
        </w:rPr>
        <w:t>表1</w:t>
      </w:r>
      <w:r>
        <w:rPr>
          <w:rFonts w:hint="eastAsia" w:ascii="黑体" w:eastAsia="黑体"/>
          <w:color w:val="000000"/>
          <w:lang w:val="en-US" w:eastAsia="zh-CN"/>
        </w:rPr>
        <w:t>8</w:t>
      </w:r>
      <w:r>
        <w:rPr>
          <w:rFonts w:ascii="黑体" w:eastAsia="黑体"/>
          <w:color w:val="000000"/>
        </w:rPr>
        <w:t xml:space="preserve"> </w:t>
      </w:r>
      <w:r>
        <w:rPr>
          <w:rFonts w:hint="eastAsia" w:ascii="黑体" w:eastAsia="黑体"/>
          <w:color w:val="000000"/>
        </w:rPr>
        <w:t>医务人员对血压血糖控制的建议</w:t>
      </w:r>
    </w:p>
    <w:tbl>
      <w:tblPr>
        <w:tblStyle w:val="9"/>
        <w:tblW w:w="0" w:type="auto"/>
        <w:tblInd w:w="-9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73"/>
        <w:gridCol w:w="2499"/>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73"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建议内容</w:t>
            </w:r>
          </w:p>
        </w:tc>
        <w:tc>
          <w:tcPr>
            <w:tcW w:w="2499"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人数</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73"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过去2周你使用过药物治疗</w:t>
            </w:r>
          </w:p>
        </w:tc>
        <w:tc>
          <w:tcPr>
            <w:tcW w:w="2499" w:type="dxa"/>
            <w:tcBorders>
              <w:top w:val="single" w:color="auto" w:sz="4" w:space="0"/>
            </w:tcBorders>
          </w:tcPr>
          <w:p>
            <w:pPr>
              <w:widowControl/>
              <w:spacing w:line="360" w:lineRule="auto"/>
              <w:jc w:val="center"/>
              <w:rPr>
                <w:rFonts w:ascii="宋体" w:hAnsi="宋体"/>
                <w:color w:val="000000"/>
                <w:kern w:val="0"/>
                <w:sz w:val="24"/>
              </w:rPr>
            </w:pPr>
            <w:r>
              <w:rPr>
                <w:rFonts w:ascii="宋体" w:hAnsi="宋体"/>
                <w:color w:val="000000"/>
                <w:kern w:val="0"/>
                <w:sz w:val="24"/>
              </w:rPr>
              <w:t>1121</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8</w:t>
            </w:r>
            <w:r>
              <w:rPr>
                <w:rFonts w:ascii="宋体" w:hAnsi="宋体"/>
                <w:color w:val="000000"/>
                <w:kern w:val="0"/>
                <w:sz w:val="24"/>
              </w:rPr>
              <w:t>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特别的处方膳食</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753</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5</w:t>
            </w:r>
            <w:r>
              <w:rPr>
                <w:rFonts w:ascii="宋体" w:hAnsi="宋体"/>
                <w:color w:val="000000"/>
                <w:kern w:val="0"/>
                <w:sz w:val="24"/>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减低体重的建议或治疗</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802</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5</w:t>
            </w:r>
            <w:r>
              <w:rPr>
                <w:rFonts w:ascii="宋体" w:hAnsi="宋体"/>
                <w:color w:val="000000"/>
                <w:kern w:val="0"/>
                <w:sz w:val="24"/>
              </w:rPr>
              <w:t>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戒烟的建议或治疗</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537</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w:t>
            </w:r>
            <w:r>
              <w:rPr>
                <w:rFonts w:ascii="宋体" w:hAnsi="宋体"/>
                <w:color w:val="000000"/>
                <w:kern w:val="0"/>
                <w:sz w:val="24"/>
              </w:rPr>
              <w:t>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开始进行或多做锻炼的建议</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9</w:t>
            </w:r>
            <w:r>
              <w:rPr>
                <w:rFonts w:hint="eastAsia" w:ascii="宋体" w:hAnsi="宋体"/>
                <w:color w:val="000000"/>
                <w:kern w:val="0"/>
                <w:sz w:val="24"/>
              </w:rPr>
              <w:t>38</w:t>
            </w:r>
          </w:p>
        </w:tc>
        <w:tc>
          <w:tcPr>
            <w:tcW w:w="2841" w:type="dxa"/>
          </w:tcPr>
          <w:p>
            <w:pPr>
              <w:widowControl/>
              <w:spacing w:line="360" w:lineRule="auto"/>
              <w:jc w:val="center"/>
              <w:rPr>
                <w:rFonts w:ascii="宋体" w:hAnsi="宋体"/>
                <w:color w:val="000000"/>
                <w:kern w:val="0"/>
                <w:sz w:val="24"/>
              </w:rPr>
            </w:pPr>
            <w:r>
              <w:rPr>
                <w:rFonts w:ascii="宋体" w:hAnsi="宋体"/>
                <w:color w:val="000000"/>
                <w:kern w:val="0"/>
                <w:sz w:val="24"/>
              </w:rPr>
              <w:t>67.0</w:t>
            </w:r>
          </w:p>
        </w:tc>
      </w:tr>
    </w:tbl>
    <w:p>
      <w:pPr>
        <w:widowControl/>
        <w:spacing w:line="360" w:lineRule="auto"/>
        <w:jc w:val="center"/>
        <w:rPr>
          <w:rFonts w:ascii="宋体" w:hAnsi="宋体"/>
          <w:color w:val="000000"/>
          <w:kern w:val="0"/>
          <w:sz w:val="24"/>
        </w:rPr>
      </w:pPr>
    </w:p>
    <w:p>
      <w:pPr>
        <w:spacing w:line="600" w:lineRule="exact"/>
        <w:ind w:firstLine="561"/>
        <w:rPr>
          <w:rFonts w:hint="eastAsia" w:ascii="仿宋" w:hAnsi="仿宋" w:eastAsia="仿宋" w:cs="宋体"/>
          <w:color w:val="000000" w:themeColor="text1"/>
          <w:kern w:val="0"/>
          <w:sz w:val="32"/>
          <w:szCs w:val="32"/>
          <w:lang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接受慢性病管理的患者中，一年内社区随访的平均次数为3.89次，平均每次随访时间为14.65分钟。随访方式中以门诊随访为最多（55.8%），其次是入户随访（33.3%），其余方式比例较低。居民对于社区医生随访的满意度极高，非常满意与满意两项的总比例占到98.3%。见表1</w:t>
      </w:r>
      <w:r>
        <w:rPr>
          <w:rFonts w:hint="eastAsia" w:ascii="仿宋" w:hAnsi="仿宋" w:eastAsia="仿宋" w:cs="宋体"/>
          <w:color w:val="000000" w:themeColor="text1"/>
          <w:kern w:val="0"/>
          <w:sz w:val="32"/>
          <w:szCs w:val="32"/>
          <w:lang w:val="en-US" w:eastAsia="zh-CN"/>
          <w14:textFill>
            <w14:solidFill>
              <w14:schemeClr w14:val="tx1"/>
            </w14:solidFill>
          </w14:textFill>
        </w:rPr>
        <w:t>9</w:t>
      </w:r>
      <w:r>
        <w:rPr>
          <w:rFonts w:hint="eastAsia" w:ascii="仿宋" w:hAnsi="仿宋" w:eastAsia="仿宋" w:cs="宋体"/>
          <w:color w:val="000000" w:themeColor="text1"/>
          <w:kern w:val="0"/>
          <w:sz w:val="32"/>
          <w:szCs w:val="32"/>
          <w14:textFill>
            <w14:solidFill>
              <w14:schemeClr w14:val="tx1"/>
            </w14:solidFill>
          </w14:textFill>
        </w:rPr>
        <w:t>-2</w:t>
      </w:r>
      <w:r>
        <w:rPr>
          <w:rFonts w:hint="eastAsia" w:ascii="仿宋" w:hAnsi="仿宋" w:eastAsia="仿宋" w:cs="宋体"/>
          <w:color w:val="000000" w:themeColor="text1"/>
          <w:kern w:val="0"/>
          <w:sz w:val="32"/>
          <w:szCs w:val="32"/>
          <w:lang w:val="en-US" w:eastAsia="zh-CN"/>
          <w14:textFill>
            <w14:solidFill>
              <w14:schemeClr w14:val="tx1"/>
            </w14:solidFill>
          </w14:textFill>
        </w:rPr>
        <w:t>1</w:t>
      </w:r>
    </w:p>
    <w:p>
      <w:pPr>
        <w:pStyle w:val="7"/>
        <w:spacing w:before="0" w:beforeAutospacing="0" w:after="0" w:afterAutospacing="0" w:line="400" w:lineRule="exact"/>
        <w:jc w:val="center"/>
        <w:rPr>
          <w:rFonts w:ascii="黑体" w:eastAsia="黑体"/>
          <w:color w:val="000000"/>
        </w:rPr>
      </w:pPr>
      <w:r>
        <w:rPr>
          <w:rFonts w:hint="eastAsia" w:ascii="黑体" w:eastAsia="黑体"/>
          <w:color w:val="000000"/>
        </w:rPr>
        <w:t>表1</w:t>
      </w:r>
      <w:r>
        <w:rPr>
          <w:rFonts w:hint="eastAsia" w:ascii="黑体" w:eastAsia="黑体"/>
          <w:color w:val="000000"/>
          <w:lang w:val="en-US" w:eastAsia="zh-CN"/>
        </w:rPr>
        <w:t>9</w:t>
      </w:r>
      <w:r>
        <w:rPr>
          <w:rFonts w:ascii="黑体" w:eastAsia="黑体"/>
          <w:color w:val="000000"/>
        </w:rPr>
        <w:t xml:space="preserve"> </w:t>
      </w:r>
      <w:r>
        <w:rPr>
          <w:rFonts w:hint="eastAsia" w:ascii="黑体" w:eastAsia="黑体"/>
          <w:color w:val="000000"/>
        </w:rPr>
        <w:t>社区医生慢性病随访的次数与时间</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慢病随访</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均值</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标准差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次数</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3.89</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9.785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widowControl/>
              <w:spacing w:line="360" w:lineRule="auto"/>
              <w:jc w:val="center"/>
              <w:rPr>
                <w:rFonts w:ascii="宋体" w:hAnsi="宋体"/>
                <w:color w:val="000000"/>
                <w:kern w:val="0"/>
                <w:sz w:val="24"/>
              </w:rPr>
            </w:pPr>
            <w:r>
              <w:rPr>
                <w:rFonts w:hint="eastAsia" w:ascii="宋体" w:hAnsi="宋体"/>
                <w:color w:val="000000"/>
                <w:kern w:val="0"/>
                <w:sz w:val="24"/>
              </w:rPr>
              <w:t>时间（min）</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14.65</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14.897</w:t>
            </w:r>
          </w:p>
        </w:tc>
      </w:tr>
    </w:tbl>
    <w:p>
      <w:pPr>
        <w:widowControl/>
        <w:spacing w:line="360" w:lineRule="auto"/>
        <w:jc w:val="center"/>
        <w:rPr>
          <w:rFonts w:ascii="宋体" w:hAnsi="宋体"/>
          <w:color w:val="000000"/>
          <w:kern w:val="0"/>
          <w:sz w:val="24"/>
        </w:rPr>
      </w:pPr>
    </w:p>
    <w:p>
      <w:pPr>
        <w:pStyle w:val="7"/>
        <w:spacing w:before="0" w:beforeAutospacing="0" w:after="0" w:afterAutospacing="0" w:line="400" w:lineRule="exact"/>
        <w:jc w:val="center"/>
        <w:rPr>
          <w:rFonts w:ascii="黑体" w:eastAsia="黑体"/>
          <w:color w:val="000000"/>
        </w:rPr>
      </w:pPr>
      <w:r>
        <w:rPr>
          <w:rFonts w:hint="eastAsia" w:ascii="黑体" w:eastAsia="黑体"/>
          <w:color w:val="000000"/>
        </w:rPr>
        <w:t>表</w:t>
      </w:r>
      <w:r>
        <w:rPr>
          <w:rFonts w:hint="eastAsia" w:ascii="黑体" w:eastAsia="黑体"/>
          <w:color w:val="000000"/>
          <w:lang w:val="en-US" w:eastAsia="zh-CN"/>
        </w:rPr>
        <w:t>20</w:t>
      </w:r>
      <w:r>
        <w:rPr>
          <w:rFonts w:ascii="黑体" w:eastAsia="黑体"/>
          <w:color w:val="000000"/>
        </w:rPr>
        <w:t xml:space="preserve"> </w:t>
      </w:r>
      <w:r>
        <w:rPr>
          <w:rFonts w:hint="eastAsia" w:ascii="黑体" w:eastAsia="黑体"/>
          <w:color w:val="000000"/>
        </w:rPr>
        <w:t>社区医生慢性病随访的方式分布</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随访方式</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频次</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入户随访</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277</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33.3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widowControl/>
              <w:spacing w:line="360" w:lineRule="auto"/>
              <w:jc w:val="center"/>
              <w:rPr>
                <w:rFonts w:ascii="宋体" w:hAnsi="宋体"/>
                <w:color w:val="000000"/>
                <w:kern w:val="0"/>
                <w:sz w:val="24"/>
              </w:rPr>
            </w:pPr>
            <w:r>
              <w:rPr>
                <w:rFonts w:hint="eastAsia" w:ascii="宋体" w:hAnsi="宋体"/>
                <w:color w:val="000000"/>
                <w:kern w:val="0"/>
                <w:sz w:val="24"/>
              </w:rPr>
              <w:t>门诊随访</w:t>
            </w:r>
          </w:p>
          <w:p>
            <w:pPr>
              <w:widowControl/>
              <w:spacing w:line="360" w:lineRule="auto"/>
              <w:jc w:val="center"/>
              <w:rPr>
                <w:rFonts w:ascii="宋体" w:hAnsi="宋体"/>
                <w:color w:val="000000"/>
                <w:kern w:val="0"/>
                <w:sz w:val="24"/>
              </w:rPr>
            </w:pPr>
            <w:r>
              <w:rPr>
                <w:rFonts w:hint="eastAsia" w:ascii="宋体" w:hAnsi="宋体"/>
                <w:color w:val="000000"/>
                <w:kern w:val="0"/>
                <w:sz w:val="24"/>
              </w:rPr>
              <w:t>电话随访</w:t>
            </w:r>
          </w:p>
          <w:p>
            <w:pPr>
              <w:widowControl/>
              <w:spacing w:line="360" w:lineRule="auto"/>
              <w:jc w:val="center"/>
              <w:rPr>
                <w:rFonts w:ascii="宋体" w:hAnsi="宋体"/>
                <w:color w:val="000000"/>
                <w:kern w:val="0"/>
                <w:sz w:val="24"/>
              </w:rPr>
            </w:pPr>
            <w:r>
              <w:rPr>
                <w:rFonts w:hint="eastAsia" w:ascii="宋体" w:hAnsi="宋体"/>
                <w:color w:val="000000"/>
                <w:kern w:val="0"/>
                <w:sz w:val="24"/>
              </w:rPr>
              <w:t>集体随访</w:t>
            </w:r>
          </w:p>
          <w:p>
            <w:pPr>
              <w:widowControl/>
              <w:spacing w:line="360" w:lineRule="auto"/>
              <w:jc w:val="center"/>
              <w:rPr>
                <w:rFonts w:ascii="宋体" w:hAnsi="宋体"/>
                <w:color w:val="000000"/>
                <w:kern w:val="0"/>
                <w:sz w:val="24"/>
              </w:rPr>
            </w:pPr>
            <w:r>
              <w:rPr>
                <w:rFonts w:hint="eastAsia" w:ascii="宋体" w:hAnsi="宋体"/>
                <w:color w:val="000000"/>
                <w:kern w:val="0"/>
                <w:sz w:val="24"/>
              </w:rPr>
              <w:t>其他</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465</w:t>
            </w:r>
          </w:p>
          <w:p>
            <w:pPr>
              <w:widowControl/>
              <w:spacing w:line="360" w:lineRule="auto"/>
              <w:jc w:val="center"/>
              <w:rPr>
                <w:rFonts w:ascii="宋体" w:hAnsi="宋体"/>
                <w:color w:val="000000"/>
                <w:kern w:val="0"/>
                <w:sz w:val="24"/>
              </w:rPr>
            </w:pPr>
            <w:r>
              <w:rPr>
                <w:rFonts w:hint="eastAsia" w:ascii="宋体" w:hAnsi="宋体"/>
                <w:color w:val="000000"/>
                <w:kern w:val="0"/>
                <w:sz w:val="24"/>
              </w:rPr>
              <w:t>73</w:t>
            </w:r>
          </w:p>
          <w:p>
            <w:pPr>
              <w:widowControl/>
              <w:spacing w:line="360" w:lineRule="auto"/>
              <w:jc w:val="center"/>
              <w:rPr>
                <w:rFonts w:ascii="宋体" w:hAnsi="宋体"/>
                <w:color w:val="000000"/>
                <w:kern w:val="0"/>
                <w:sz w:val="24"/>
              </w:rPr>
            </w:pPr>
            <w:r>
              <w:rPr>
                <w:rFonts w:hint="eastAsia" w:ascii="宋体" w:hAnsi="宋体"/>
                <w:color w:val="000000"/>
                <w:kern w:val="0"/>
                <w:sz w:val="24"/>
              </w:rPr>
              <w:t>7</w:t>
            </w:r>
          </w:p>
          <w:p>
            <w:pPr>
              <w:widowControl/>
              <w:spacing w:line="360" w:lineRule="auto"/>
              <w:jc w:val="center"/>
              <w:rPr>
                <w:rFonts w:ascii="宋体" w:hAnsi="宋体"/>
                <w:color w:val="000000"/>
                <w:kern w:val="0"/>
                <w:sz w:val="24"/>
              </w:rPr>
            </w:pPr>
            <w:r>
              <w:rPr>
                <w:rFonts w:hint="eastAsia" w:ascii="宋体" w:hAnsi="宋体"/>
                <w:color w:val="000000"/>
                <w:kern w:val="0"/>
                <w:sz w:val="24"/>
              </w:rPr>
              <w:t>11</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55.8</w:t>
            </w:r>
          </w:p>
          <w:p>
            <w:pPr>
              <w:widowControl/>
              <w:spacing w:line="360" w:lineRule="auto"/>
              <w:jc w:val="center"/>
              <w:rPr>
                <w:rFonts w:ascii="宋体" w:hAnsi="宋体"/>
                <w:color w:val="000000"/>
                <w:kern w:val="0"/>
                <w:sz w:val="24"/>
              </w:rPr>
            </w:pPr>
            <w:r>
              <w:rPr>
                <w:rFonts w:hint="eastAsia" w:ascii="宋体" w:hAnsi="宋体"/>
                <w:color w:val="000000"/>
                <w:kern w:val="0"/>
                <w:sz w:val="24"/>
              </w:rPr>
              <w:t>8.8</w:t>
            </w:r>
          </w:p>
          <w:p>
            <w:pPr>
              <w:widowControl/>
              <w:spacing w:line="360" w:lineRule="auto"/>
              <w:jc w:val="center"/>
              <w:rPr>
                <w:rFonts w:ascii="宋体" w:hAnsi="宋体"/>
                <w:color w:val="000000"/>
                <w:kern w:val="0"/>
                <w:sz w:val="24"/>
              </w:rPr>
            </w:pPr>
            <w:r>
              <w:rPr>
                <w:rFonts w:hint="eastAsia" w:ascii="宋体" w:hAnsi="宋体"/>
                <w:color w:val="000000"/>
                <w:kern w:val="0"/>
                <w:sz w:val="24"/>
              </w:rPr>
              <w:t>0.8</w:t>
            </w:r>
          </w:p>
          <w:p>
            <w:pPr>
              <w:widowControl/>
              <w:spacing w:line="360" w:lineRule="auto"/>
              <w:jc w:val="center"/>
              <w:rPr>
                <w:rFonts w:ascii="宋体" w:hAnsi="宋体"/>
                <w:color w:val="000000"/>
                <w:kern w:val="0"/>
                <w:sz w:val="24"/>
              </w:rPr>
            </w:pPr>
            <w:r>
              <w:rPr>
                <w:rFonts w:hint="eastAsia" w:ascii="宋体" w:hAnsi="宋体"/>
                <w:color w:val="000000"/>
                <w:kern w:val="0"/>
                <w:sz w:val="24"/>
              </w:rPr>
              <w:t>1.3</w:t>
            </w:r>
          </w:p>
        </w:tc>
      </w:tr>
    </w:tbl>
    <w:p>
      <w:pPr>
        <w:pStyle w:val="7"/>
        <w:spacing w:before="0" w:beforeAutospacing="0" w:after="0" w:afterAutospacing="0" w:line="400" w:lineRule="exact"/>
        <w:jc w:val="center"/>
        <w:rPr>
          <w:rFonts w:ascii="黑体" w:eastAsia="黑体"/>
          <w:color w:val="000000"/>
        </w:rPr>
      </w:pPr>
    </w:p>
    <w:p>
      <w:pPr>
        <w:pStyle w:val="7"/>
        <w:spacing w:before="0" w:beforeAutospacing="0" w:after="0" w:afterAutospacing="0" w:line="400" w:lineRule="exact"/>
        <w:jc w:val="center"/>
        <w:rPr>
          <w:rFonts w:ascii="黑体" w:eastAsia="黑体"/>
          <w:color w:val="000000"/>
        </w:rPr>
      </w:pPr>
      <w:r>
        <w:rPr>
          <w:rFonts w:hint="eastAsia" w:ascii="黑体" w:eastAsia="黑体"/>
          <w:color w:val="000000"/>
        </w:rPr>
        <w:t>表</w:t>
      </w:r>
      <w:r>
        <w:rPr>
          <w:rFonts w:ascii="黑体" w:eastAsia="黑体"/>
          <w:color w:val="000000"/>
        </w:rPr>
        <w:t>2</w:t>
      </w:r>
      <w:r>
        <w:rPr>
          <w:rFonts w:hint="eastAsia" w:ascii="黑体" w:eastAsia="黑体"/>
          <w:color w:val="000000"/>
          <w:lang w:val="en-US" w:eastAsia="zh-CN"/>
        </w:rPr>
        <w:t>1</w:t>
      </w:r>
      <w:r>
        <w:rPr>
          <w:rFonts w:ascii="黑体" w:eastAsia="黑体"/>
          <w:color w:val="000000"/>
        </w:rPr>
        <w:t xml:space="preserve"> </w:t>
      </w:r>
      <w:r>
        <w:rPr>
          <w:rFonts w:hint="eastAsia" w:ascii="黑体" w:eastAsia="黑体"/>
          <w:color w:val="000000"/>
        </w:rPr>
        <w:t>居民对社区医生慢性病随访的满意度</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2840"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随访满意度</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频次</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auto" w:sz="4" w:space="0"/>
            </w:tcBorders>
          </w:tcPr>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①非常满意</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②满意</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③一般</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④不满意</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ascii="宋体" w:hAnsi="宋体"/>
                <w:color w:val="000000"/>
                <w:kern w:val="0"/>
                <w:sz w:val="24"/>
              </w:rPr>
            </w:pPr>
            <w:r>
              <w:rPr>
                <w:rFonts w:hint="eastAsia" w:eastAsia="仿宋_GB2312"/>
                <w:sz w:val="24"/>
              </w:rPr>
              <w:t>⑤非常不满意</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413</w:t>
            </w:r>
          </w:p>
          <w:p>
            <w:pPr>
              <w:widowControl/>
              <w:spacing w:line="360" w:lineRule="auto"/>
              <w:jc w:val="center"/>
              <w:rPr>
                <w:rFonts w:ascii="宋体" w:hAnsi="宋体"/>
                <w:color w:val="000000"/>
                <w:kern w:val="0"/>
                <w:sz w:val="24"/>
              </w:rPr>
            </w:pPr>
            <w:r>
              <w:rPr>
                <w:rFonts w:hint="eastAsia" w:ascii="宋体" w:hAnsi="宋体"/>
                <w:color w:val="000000"/>
                <w:kern w:val="0"/>
                <w:sz w:val="24"/>
              </w:rPr>
              <w:t>406</w:t>
            </w:r>
          </w:p>
          <w:p>
            <w:pPr>
              <w:widowControl/>
              <w:spacing w:line="360" w:lineRule="auto"/>
              <w:jc w:val="center"/>
              <w:rPr>
                <w:rFonts w:ascii="宋体" w:hAnsi="宋体"/>
                <w:color w:val="000000"/>
                <w:kern w:val="0"/>
                <w:sz w:val="24"/>
              </w:rPr>
            </w:pPr>
            <w:r>
              <w:rPr>
                <w:rFonts w:hint="eastAsia" w:ascii="宋体" w:hAnsi="宋体"/>
                <w:color w:val="000000"/>
                <w:kern w:val="0"/>
                <w:sz w:val="24"/>
              </w:rPr>
              <w:t>12</w:t>
            </w:r>
          </w:p>
          <w:p>
            <w:pPr>
              <w:widowControl/>
              <w:spacing w:line="360" w:lineRule="auto"/>
              <w:jc w:val="center"/>
              <w:rPr>
                <w:rFonts w:ascii="宋体" w:hAnsi="宋体"/>
                <w:color w:val="000000"/>
                <w:kern w:val="0"/>
                <w:sz w:val="24"/>
              </w:rPr>
            </w:pPr>
            <w:r>
              <w:rPr>
                <w:rFonts w:hint="eastAsia" w:ascii="宋体" w:hAnsi="宋体"/>
                <w:color w:val="000000"/>
                <w:kern w:val="0"/>
                <w:sz w:val="24"/>
              </w:rPr>
              <w:t>1</w:t>
            </w:r>
          </w:p>
          <w:p>
            <w:pPr>
              <w:widowControl/>
              <w:spacing w:line="360" w:lineRule="auto"/>
              <w:jc w:val="center"/>
              <w:rPr>
                <w:rFonts w:ascii="宋体" w:hAnsi="宋体"/>
                <w:color w:val="000000"/>
                <w:kern w:val="0"/>
                <w:sz w:val="24"/>
              </w:rPr>
            </w:pPr>
            <w:r>
              <w:rPr>
                <w:rFonts w:hint="eastAsia" w:ascii="宋体" w:hAnsi="宋体"/>
                <w:color w:val="000000"/>
                <w:kern w:val="0"/>
                <w:sz w:val="24"/>
              </w:rPr>
              <w:t>1</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49.6</w:t>
            </w:r>
          </w:p>
          <w:p>
            <w:pPr>
              <w:widowControl/>
              <w:spacing w:line="360" w:lineRule="auto"/>
              <w:jc w:val="center"/>
              <w:rPr>
                <w:rFonts w:ascii="宋体" w:hAnsi="宋体"/>
                <w:color w:val="000000"/>
                <w:kern w:val="0"/>
                <w:sz w:val="24"/>
              </w:rPr>
            </w:pPr>
            <w:r>
              <w:rPr>
                <w:rFonts w:hint="eastAsia" w:ascii="宋体" w:hAnsi="宋体"/>
                <w:color w:val="000000"/>
                <w:kern w:val="0"/>
                <w:sz w:val="24"/>
              </w:rPr>
              <w:t>48.7</w:t>
            </w:r>
          </w:p>
          <w:p>
            <w:pPr>
              <w:widowControl/>
              <w:spacing w:line="360" w:lineRule="auto"/>
              <w:jc w:val="center"/>
              <w:rPr>
                <w:rFonts w:ascii="宋体" w:hAnsi="宋体"/>
                <w:color w:val="000000"/>
                <w:kern w:val="0"/>
                <w:sz w:val="24"/>
              </w:rPr>
            </w:pPr>
            <w:r>
              <w:rPr>
                <w:rFonts w:hint="eastAsia" w:ascii="宋体" w:hAnsi="宋体"/>
                <w:color w:val="000000"/>
                <w:kern w:val="0"/>
                <w:sz w:val="24"/>
              </w:rPr>
              <w:t>1.4</w:t>
            </w:r>
          </w:p>
          <w:p>
            <w:pPr>
              <w:widowControl/>
              <w:spacing w:line="360" w:lineRule="auto"/>
              <w:jc w:val="center"/>
              <w:rPr>
                <w:rFonts w:ascii="宋体" w:hAnsi="宋体"/>
                <w:color w:val="000000"/>
                <w:kern w:val="0"/>
                <w:sz w:val="24"/>
              </w:rPr>
            </w:pPr>
            <w:r>
              <w:rPr>
                <w:rFonts w:hint="eastAsia" w:ascii="宋体" w:hAnsi="宋体"/>
                <w:color w:val="000000"/>
                <w:kern w:val="0"/>
                <w:sz w:val="24"/>
              </w:rPr>
              <w:t>0.1</w:t>
            </w:r>
          </w:p>
          <w:p>
            <w:pPr>
              <w:widowControl/>
              <w:spacing w:line="360" w:lineRule="auto"/>
              <w:jc w:val="center"/>
              <w:rPr>
                <w:rFonts w:ascii="宋体" w:hAnsi="宋体"/>
                <w:color w:val="000000"/>
                <w:kern w:val="0"/>
                <w:sz w:val="24"/>
              </w:rPr>
            </w:pPr>
            <w:r>
              <w:rPr>
                <w:rFonts w:hint="eastAsia" w:ascii="宋体" w:hAnsi="宋体"/>
                <w:color w:val="000000"/>
                <w:kern w:val="0"/>
                <w:sz w:val="24"/>
              </w:rPr>
              <w:t>0.1</w:t>
            </w:r>
          </w:p>
        </w:tc>
      </w:tr>
    </w:tbl>
    <w:p>
      <w:pPr>
        <w:widowControl/>
        <w:spacing w:line="360" w:lineRule="auto"/>
        <w:rPr>
          <w:rFonts w:ascii="宋体" w:hAnsi="宋体"/>
          <w:color w:val="000000"/>
          <w:kern w:val="0"/>
          <w:sz w:val="24"/>
        </w:rPr>
      </w:pPr>
    </w:p>
    <w:p>
      <w:pPr>
        <w:rPr>
          <w:color w:val="000000" w:themeColor="text1"/>
          <w:kern w:val="0"/>
          <w:szCs w:val="21"/>
          <w14:textFill>
            <w14:solidFill>
              <w14:schemeClr w14:val="tx1"/>
            </w14:solidFill>
          </w14:textFill>
        </w:rPr>
      </w:pPr>
    </w:p>
    <w:p>
      <w:pPr>
        <w:widowControl/>
        <w:spacing w:line="360" w:lineRule="auto"/>
        <w:jc w:val="center"/>
        <w:rPr>
          <w:rFonts w:ascii="宋体" w:hAnsi="宋体"/>
          <w:color w:val="000000"/>
          <w:kern w:val="0"/>
          <w:sz w:val="24"/>
        </w:rPr>
      </w:pPr>
    </w:p>
    <w:p>
      <w:pPr>
        <w:pStyle w:val="2"/>
        <w:jc w:val="center"/>
        <w:rPr>
          <w:rFonts w:ascii="黑体" w:hAnsi="黑体" w:eastAsia="黑体"/>
          <w:b w:val="0"/>
          <w:sz w:val="30"/>
          <w:szCs w:val="30"/>
        </w:rPr>
      </w:pPr>
      <w:bookmarkStart w:id="10" w:name="_Toc42801666"/>
      <w:bookmarkStart w:id="11" w:name="_Toc42800539"/>
      <w:r>
        <w:rPr>
          <w:rFonts w:hint="eastAsia" w:ascii="黑体" w:hAnsi="黑体" w:eastAsia="黑体"/>
          <w:b w:val="0"/>
          <w:sz w:val="30"/>
          <w:szCs w:val="30"/>
        </w:rPr>
        <w:t>五、行为危险因素现况</w:t>
      </w:r>
      <w:bookmarkEnd w:id="10"/>
      <w:bookmarkEnd w:id="11"/>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（一）健康危险行为流行情况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大量研究已经表明，行为因素是多数慢性非传染性疾病的主要致病原因。本次调查中，阳城县城乡居民健康行为危险因素的流行情况（见表2</w:t>
      </w: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显示：①阳城县城乡居民体重控制不理想，体质指数BMI超重率和肥胖率累计达到54.7%；城乡居民向心性肥胖（包括前期）发生率为56.7%，男性居民的平均腰围为86.39cm，女性为80.67cm，均处于向心性肥胖前期；②食用油摄入量偏高（&gt;25g/日比例达48.4%）；③</w:t>
      </w:r>
      <w:r>
        <w:rPr>
          <w:rFonts w:hint="eastAsia" w:ascii="仿宋" w:hAnsi="仿宋" w:eastAsia="仿宋" w:cs="宋体"/>
          <w:color w:val="FF0000"/>
          <w:kern w:val="0"/>
          <w:sz w:val="32"/>
          <w:szCs w:val="32"/>
        </w:rPr>
        <w:t>成人烟草使用率控制较好，</w:t>
      </w:r>
      <w:r>
        <w:rPr>
          <w:rFonts w:hint="eastAsia" w:ascii="仿宋" w:hAnsi="仿宋" w:eastAsia="仿宋" w:cs="宋体"/>
          <w:color w:val="FF0000"/>
          <w:kern w:val="0"/>
          <w:sz w:val="32"/>
          <w:szCs w:val="32"/>
          <w:lang w:val="en-US" w:eastAsia="zh-CN"/>
        </w:rPr>
        <w:t>吸烟率从2016年的24.9%降至19.8%，下降5.1个百分点</w:t>
      </w:r>
      <w:r>
        <w:rPr>
          <w:rFonts w:hint="eastAsia" w:ascii="仿宋" w:hAnsi="仿宋" w:eastAsia="仿宋" w:cs="宋体"/>
          <w:color w:val="FF0000"/>
          <w:kern w:val="0"/>
          <w:sz w:val="32"/>
          <w:szCs w:val="32"/>
        </w:rPr>
        <w:t>，</w:t>
      </w:r>
      <w:r>
        <w:rPr>
          <w:rFonts w:hint="eastAsia" w:ascii="仿宋" w:hAnsi="仿宋" w:eastAsia="仿宋" w:cs="宋体"/>
          <w:color w:val="FF0000"/>
          <w:kern w:val="0"/>
          <w:sz w:val="32"/>
          <w:szCs w:val="32"/>
          <w:lang w:val="en-US" w:eastAsia="zh-CN"/>
        </w:rPr>
        <w:t>降幅达到20.48%，</w:t>
      </w:r>
      <w:r>
        <w:rPr>
          <w:rFonts w:hint="eastAsia" w:ascii="仿宋" w:hAnsi="仿宋" w:eastAsia="仿宋" w:cs="宋体"/>
          <w:color w:val="000000" w:themeColor="text1"/>
          <w:kern w:val="0"/>
          <w:sz w:val="32"/>
          <w:szCs w:val="32"/>
          <w14:textFill>
            <w14:solidFill>
              <w14:schemeClr w14:val="tx1"/>
            </w14:solidFill>
          </w14:textFill>
        </w:rPr>
        <w:t>但</w:t>
      </w:r>
      <w:r>
        <w:rPr>
          <w:rFonts w:hint="eastAsia" w:ascii="仿宋" w:hAnsi="仿宋" w:eastAsia="仿宋" w:cs="宋体"/>
          <w:color w:val="000000" w:themeColor="text1"/>
          <w:kern w:val="0"/>
          <w:sz w:val="32"/>
          <w:szCs w:val="32"/>
          <w:lang w:val="en-US" w:eastAsia="zh-CN"/>
          <w14:textFill>
            <w14:solidFill>
              <w14:schemeClr w14:val="tx1"/>
            </w14:solidFill>
          </w14:textFill>
        </w:rPr>
        <w:t>仍</w:t>
      </w:r>
      <w:r>
        <w:rPr>
          <w:rFonts w:hint="eastAsia" w:ascii="仿宋" w:hAnsi="仿宋" w:eastAsia="仿宋" w:cs="宋体"/>
          <w:color w:val="000000" w:themeColor="text1"/>
          <w:kern w:val="0"/>
          <w:sz w:val="32"/>
          <w:szCs w:val="32"/>
          <w14:textFill>
            <w14:solidFill>
              <w14:schemeClr w14:val="tx1"/>
            </w14:solidFill>
          </w14:textFill>
        </w:rPr>
        <w:t>有30.4%的居民受到被动吸烟影响；④食用盐摄入</w:t>
      </w:r>
      <w:r>
        <w:rPr>
          <w:rFonts w:hint="eastAsia" w:ascii="仿宋" w:hAnsi="仿宋" w:eastAsia="仿宋" w:cs="宋体"/>
          <w:color w:val="000000" w:themeColor="text1"/>
          <w:kern w:val="0"/>
          <w:sz w:val="32"/>
          <w:szCs w:val="32"/>
          <w:lang w:val="en-US" w:eastAsia="zh-CN"/>
          <w14:textFill>
            <w14:solidFill>
              <w14:schemeClr w14:val="tx1"/>
            </w14:solidFill>
          </w14:textFill>
        </w:rPr>
        <w:t>控制较好</w:t>
      </w:r>
      <w:r>
        <w:rPr>
          <w:rFonts w:hint="eastAsia" w:ascii="仿宋" w:hAnsi="仿宋" w:eastAsia="仿宋" w:cs="宋体"/>
          <w:color w:val="000000" w:themeColor="text1"/>
          <w:kern w:val="0"/>
          <w:sz w:val="32"/>
          <w:szCs w:val="32"/>
          <w14:textFill>
            <w14:solidFill>
              <w14:schemeClr w14:val="tx1"/>
            </w14:solidFill>
          </w14:textFill>
        </w:rPr>
        <w:t>，每日每人平均摄入量为6.18g</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但仍有</w:t>
      </w:r>
      <w:r>
        <w:rPr>
          <w:rFonts w:hint="eastAsia" w:ascii="仿宋" w:hAnsi="仿宋" w:eastAsia="仿宋" w:cs="宋体"/>
          <w:color w:val="000000" w:themeColor="text1"/>
          <w:kern w:val="0"/>
          <w:sz w:val="32"/>
          <w:szCs w:val="32"/>
          <w14:textFill>
            <w14:solidFill>
              <w14:schemeClr w14:val="tx1"/>
            </w14:solidFill>
          </w14:textFill>
        </w:rPr>
        <w:t>39.9%的</w:t>
      </w:r>
      <w:r>
        <w:rPr>
          <w:rFonts w:hint="eastAsia" w:ascii="仿宋" w:hAnsi="仿宋" w:eastAsia="仿宋" w:cs="宋体"/>
          <w:color w:val="000000" w:themeColor="text1"/>
          <w:kern w:val="0"/>
          <w:sz w:val="32"/>
          <w:szCs w:val="32"/>
          <w:lang w:val="en-US" w:eastAsia="zh-CN"/>
          <w14:textFill>
            <w14:solidFill>
              <w14:schemeClr w14:val="tx1"/>
            </w14:solidFill>
          </w14:textFill>
        </w:rPr>
        <w:t>居民</w:t>
      </w:r>
      <w:r>
        <w:rPr>
          <w:rFonts w:hint="eastAsia" w:ascii="仿宋" w:hAnsi="仿宋" w:eastAsia="仿宋" w:cs="宋体"/>
          <w:color w:val="000000" w:themeColor="text1"/>
          <w:kern w:val="0"/>
          <w:sz w:val="32"/>
          <w:szCs w:val="32"/>
          <w14:textFill>
            <w14:solidFill>
              <w14:schemeClr w14:val="tx1"/>
            </w14:solidFill>
          </w14:textFill>
        </w:rPr>
        <w:t>&gt;6克/日；⑤</w:t>
      </w:r>
      <w:r>
        <w:rPr>
          <w:rFonts w:hint="eastAsia" w:ascii="仿宋" w:hAnsi="仿宋" w:eastAsia="仿宋" w:cs="宋体"/>
          <w:color w:val="000000" w:themeColor="text1"/>
          <w:kern w:val="0"/>
          <w:sz w:val="32"/>
          <w:szCs w:val="32"/>
          <w:lang w:val="en-US" w:eastAsia="zh-CN"/>
          <w14:textFill>
            <w14:solidFill>
              <w14:schemeClr w14:val="tx1"/>
            </w14:solidFill>
          </w14:textFill>
        </w:rPr>
        <w:t>部分居民</w:t>
      </w:r>
      <w:r>
        <w:rPr>
          <w:rFonts w:hint="eastAsia" w:ascii="仿宋" w:hAnsi="仿宋" w:eastAsia="仿宋" w:cs="宋体"/>
          <w:color w:val="000000" w:themeColor="text1"/>
          <w:kern w:val="0"/>
          <w:sz w:val="32"/>
          <w:szCs w:val="32"/>
          <w14:textFill>
            <w14:solidFill>
              <w14:schemeClr w14:val="tx1"/>
            </w14:solidFill>
          </w14:textFill>
        </w:rPr>
        <w:t>日常缺乏主动性运动锻炼，</w:t>
      </w:r>
      <w:r>
        <w:rPr>
          <w:rFonts w:hint="eastAsia" w:ascii="仿宋" w:hAnsi="仿宋" w:eastAsia="仿宋" w:cs="宋体"/>
          <w:color w:val="FF0000"/>
          <w:kern w:val="0"/>
          <w:sz w:val="32"/>
          <w:szCs w:val="32"/>
          <w:lang w:val="en-US" w:eastAsia="zh-CN"/>
        </w:rPr>
        <w:t>经常参加体育锻炼人口比例达到57.8%，</w:t>
      </w:r>
      <w:r>
        <w:rPr>
          <w:rFonts w:hint="eastAsia" w:ascii="仿宋" w:hAnsi="仿宋" w:eastAsia="仿宋" w:cs="宋体"/>
          <w:color w:val="000000" w:themeColor="text1"/>
          <w:kern w:val="0"/>
          <w:sz w:val="32"/>
          <w:szCs w:val="32"/>
          <w14:textFill>
            <w14:solidFill>
              <w14:schemeClr w14:val="tx1"/>
            </w14:solidFill>
          </w14:textFill>
        </w:rPr>
        <w:t>成年人每天</w:t>
      </w:r>
      <w:r>
        <w:rPr>
          <w:rFonts w:hint="eastAsia" w:ascii="仿宋" w:hAnsi="仿宋" w:eastAsia="仿宋" w:cs="宋体"/>
          <w:color w:val="000000" w:themeColor="text1"/>
          <w:kern w:val="0"/>
          <w:sz w:val="32"/>
          <w:szCs w:val="32"/>
          <w:lang w:val="en-US" w:eastAsia="zh-CN"/>
          <w14:textFill>
            <w14:solidFill>
              <w14:schemeClr w14:val="tx1"/>
            </w14:solidFill>
          </w14:textFill>
        </w:rPr>
        <w:t>主动身体活动</w:t>
      </w:r>
      <w:r>
        <w:rPr>
          <w:rFonts w:hint="eastAsia" w:ascii="仿宋" w:hAnsi="仿宋" w:eastAsia="仿宋" w:cs="宋体"/>
          <w:color w:val="000000" w:themeColor="text1"/>
          <w:kern w:val="0"/>
          <w:sz w:val="32"/>
          <w:szCs w:val="32"/>
          <w14:textFill>
            <w14:solidFill>
              <w14:schemeClr w14:val="tx1"/>
            </w14:solidFill>
          </w14:textFill>
        </w:rPr>
        <w:t>达到6000步以上的有42.1%；⑥体检频率不高，39.8%的居民体检频率在两年以上甚至从不体检；⑦膳食结构不够合理，具体表现在：新鲜蔬菜摄入不足（36.7%的人摄入量低于标准），水果摄入量不足（67.5%的人低于标准），奶制品摄入不足（75.6%的人低于标准），水产品摄入不足（58.3%的人基本不吃），畜禽肉类摄入不足（49.8%的人低于标准）。</w:t>
      </w:r>
    </w:p>
    <w:p>
      <w:pPr>
        <w:widowControl/>
        <w:spacing w:line="400" w:lineRule="exact"/>
        <w:jc w:val="center"/>
        <w:rPr>
          <w:rFonts w:ascii="黑体" w:hAnsi="$F$" w:eastAsia="黑体" w:cs="$F$"/>
          <w:bCs/>
          <w:color w:val="000000" w:themeColor="text1"/>
          <w:kern w:val="0"/>
          <w:sz w:val="24"/>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2</w:t>
      </w:r>
      <w:r>
        <w:rPr>
          <w:rFonts w:hint="eastAsia" w:ascii="黑体" w:hAnsi="$F$" w:eastAsia="黑体" w:cs="$F$"/>
          <w:bCs/>
          <w:color w:val="000000" w:themeColor="text1"/>
          <w:kern w:val="0"/>
          <w:sz w:val="24"/>
          <w:lang w:val="en-US" w:eastAsia="zh-CN"/>
          <w14:textFill>
            <w14:solidFill>
              <w14:schemeClr w14:val="tx1"/>
            </w14:solidFill>
          </w14:textFill>
        </w:rPr>
        <w:t>2</w:t>
      </w:r>
      <w:r>
        <w:rPr>
          <w:rFonts w:hint="eastAsia" w:ascii="黑体" w:hAnsi="$F$" w:eastAsia="黑体" w:cs="$F$"/>
          <w:bCs/>
          <w:color w:val="000000" w:themeColor="text1"/>
          <w:kern w:val="0"/>
          <w:sz w:val="24"/>
          <w14:textFill>
            <w14:solidFill>
              <w14:schemeClr w14:val="tx1"/>
            </w14:solidFill>
          </w14:textFill>
        </w:rPr>
        <w:t xml:space="preserve"> 阳城县城乡居民健康行为危险因素的流行情况</w:t>
      </w:r>
    </w:p>
    <w:tbl>
      <w:tblPr>
        <w:tblStyle w:val="9"/>
        <w:tblW w:w="892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0"/>
        <w:gridCol w:w="1579"/>
        <w:gridCol w:w="755"/>
        <w:gridCol w:w="965"/>
        <w:gridCol w:w="954"/>
        <w:gridCol w:w="2156"/>
        <w:gridCol w:w="709"/>
        <w:gridCol w:w="82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579"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755"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965"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p>
        </w:tc>
        <w:tc>
          <w:tcPr>
            <w:tcW w:w="954"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2156"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709"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820"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体质指数</w:t>
            </w:r>
          </w:p>
        </w:tc>
        <w:tc>
          <w:tcPr>
            <w:tcW w:w="1579"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18.5</w:t>
            </w:r>
          </w:p>
        </w:tc>
        <w:tc>
          <w:tcPr>
            <w:tcW w:w="755"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82</w:t>
            </w:r>
          </w:p>
        </w:tc>
        <w:tc>
          <w:tcPr>
            <w:tcW w:w="965"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2.2</w:t>
            </w:r>
          </w:p>
        </w:tc>
        <w:tc>
          <w:tcPr>
            <w:tcW w:w="954"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食盐摄入</w:t>
            </w:r>
          </w:p>
        </w:tc>
        <w:tc>
          <w:tcPr>
            <w:tcW w:w="2156"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≤6克/日</w:t>
            </w:r>
          </w:p>
        </w:tc>
        <w:tc>
          <w:tcPr>
            <w:tcW w:w="709"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2074</w:t>
            </w:r>
          </w:p>
        </w:tc>
        <w:tc>
          <w:tcPr>
            <w:tcW w:w="820"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 18.5-24</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1636</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43.1</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＞6克/日</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1379</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 24-28</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1491</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39.3</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食用油摄入</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≤25克/日</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1776</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28</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586</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15.4</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＞25克/日</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1664</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饮酒情况</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不饮酒</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2886</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76.0</w:t>
            </w:r>
          </w:p>
        </w:tc>
        <w:tc>
          <w:tcPr>
            <w:tcW w:w="954" w:type="dxa"/>
            <w:vMerge w:val="restart"/>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食物结构得分</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20</w:t>
            </w:r>
            <w:r>
              <w:rPr>
                <w:rFonts w:ascii="宋体" w:hAnsi="宋体"/>
                <w:color w:val="000000" w:themeColor="text1"/>
                <w:kern w:val="0"/>
                <w:sz w:val="24"/>
                <w14:textFill>
                  <w14:solidFill>
                    <w14:schemeClr w14:val="tx1"/>
                  </w14:solidFill>
                </w14:textFill>
              </w:rPr>
              <w:t>分</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基本不过量</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810</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21.3</w:t>
            </w:r>
          </w:p>
        </w:tc>
        <w:tc>
          <w:tcPr>
            <w:tcW w:w="954" w:type="dxa"/>
            <w:vMerge w:val="continue"/>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25</w:t>
            </w:r>
            <w:r>
              <w:rPr>
                <w:rFonts w:ascii="宋体" w:hAnsi="宋体"/>
                <w:color w:val="000000" w:themeColor="text1"/>
                <w:kern w:val="0"/>
                <w:sz w:val="24"/>
                <w14:textFill>
                  <w14:solidFill>
                    <w14:schemeClr w14:val="tx1"/>
                  </w14:solidFill>
                </w14:textFill>
              </w:rPr>
              <w:t>分</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1205</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经常过量</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100</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w:t>
            </w:r>
          </w:p>
        </w:tc>
        <w:tc>
          <w:tcPr>
            <w:tcW w:w="954" w:type="dxa"/>
            <w:vMerge w:val="continue"/>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25</w:t>
            </w:r>
            <w:r>
              <w:rPr>
                <w:rFonts w:ascii="宋体" w:hAnsi="宋体"/>
                <w:color w:val="000000" w:themeColor="text1"/>
                <w:kern w:val="0"/>
                <w:sz w:val="24"/>
                <w14:textFill>
                  <w14:solidFill>
                    <w14:schemeClr w14:val="tx1"/>
                  </w14:solidFill>
                </w14:textFill>
              </w:rPr>
              <w:t>分</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2478</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吸烟情况</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吸烟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768</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lang w:val="en-US" w:eastAsia="zh-CN"/>
                <w14:textFill>
                  <w14:solidFill>
                    <w14:schemeClr w14:val="tx1"/>
                  </w14:solidFill>
                </w14:textFill>
              </w:rPr>
              <w:t>19.8</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运动锻炼情况</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基本不锻炼</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1601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已戒烟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307</w:t>
            </w:r>
          </w:p>
        </w:tc>
        <w:tc>
          <w:tcPr>
            <w:tcW w:w="965" w:type="dxa"/>
            <w:vAlign w:val="center"/>
          </w:tcPr>
          <w:p>
            <w:pPr>
              <w:widowControl/>
              <w:spacing w:line="360" w:lineRule="auto"/>
              <w:jc w:val="center"/>
              <w:rPr>
                <w:rFonts w:hint="eastAsia" w:ascii="宋体" w:hAns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r>
              <w:rPr>
                <w:rFonts w:hint="eastAsia" w:ascii="宋体" w:hAnsi="宋体"/>
                <w:color w:val="000000" w:themeColor="text1"/>
                <w:kern w:val="0"/>
                <w:sz w:val="24"/>
                <w:lang w:val="en-US" w:eastAsia="zh-CN"/>
                <w14:textFill>
                  <w14:solidFill>
                    <w14:schemeClr w14:val="tx1"/>
                  </w14:solidFill>
                </w14:textFill>
              </w:rPr>
              <w:t>3</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2-4天/周</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1256</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不吸烟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2721</w:t>
            </w:r>
          </w:p>
        </w:tc>
        <w:tc>
          <w:tcPr>
            <w:tcW w:w="965" w:type="dxa"/>
            <w:vAlign w:val="center"/>
          </w:tcPr>
          <w:p>
            <w:pPr>
              <w:widowControl/>
              <w:spacing w:line="360" w:lineRule="auto"/>
              <w:jc w:val="center"/>
              <w:rPr>
                <w:rFonts w:hint="eastAsia" w:ascii="宋体" w:hAns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71.</w:t>
            </w:r>
            <w:r>
              <w:rPr>
                <w:rFonts w:hint="eastAsia" w:ascii="宋体" w:hAnsi="宋体"/>
                <w:color w:val="000000" w:themeColor="text1"/>
                <w:kern w:val="0"/>
                <w:sz w:val="24"/>
                <w:lang w:val="en-US" w:eastAsia="zh-CN"/>
                <w14:textFill>
                  <w14:solidFill>
                    <w14:schemeClr w14:val="tx1"/>
                  </w14:solidFill>
                </w14:textFill>
              </w:rPr>
              <w:t>9</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5天以上/周</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936</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经常被动吸烟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1147</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30.4</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主动身体活动情况</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511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向心性肥胖</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不肥胖</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1640</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43.3</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6000-10000步/天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1083</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肥胖前期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897</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23.7</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3000-6000步/天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1125</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向心性肥胖</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1253</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33.0</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1074</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热烫食物摄入</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主动控制</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819</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4.3</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较硬食物摄入</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主动控制</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772</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不控制</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w:t>
            </w:r>
            <w:r>
              <w:rPr>
                <w:rFonts w:ascii="宋体" w:hAnsi="宋体"/>
                <w:color w:val="000000" w:themeColor="text1"/>
                <w:kern w:val="0"/>
                <w:sz w:val="24"/>
                <w14:textFill>
                  <w14:solidFill>
                    <w14:schemeClr w14:val="tx1"/>
                  </w14:solidFill>
                </w14:textFill>
              </w:rPr>
              <w:t>73</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5.7</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不控制</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r>
              <w:rPr>
                <w:rFonts w:ascii="宋体" w:hAnsi="宋体"/>
                <w:color w:val="000000" w:themeColor="text1"/>
                <w:kern w:val="0"/>
                <w:sz w:val="24"/>
                <w14:textFill>
                  <w14:solidFill>
                    <w14:schemeClr w14:val="tx1"/>
                  </w14:solidFill>
                </w14:textFill>
              </w:rPr>
              <w:t>021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26.9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体检频率</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一年以内</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285</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w:t>
            </w:r>
            <w:r>
              <w:rPr>
                <w:rFonts w:ascii="宋体" w:hAnsi="宋体"/>
                <w:color w:val="000000" w:themeColor="text1"/>
                <w:kern w:val="0"/>
                <w:sz w:val="24"/>
                <w14:textFill>
                  <w14:solidFill>
                    <w14:schemeClr w14:val="tx1"/>
                  </w14:solidFill>
                </w14:textFill>
              </w:rPr>
              <w:t>0.2</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主导情绪</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积极</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w:t>
            </w:r>
            <w:r>
              <w:rPr>
                <w:rFonts w:ascii="宋体" w:hAnsi="宋体"/>
                <w:color w:val="000000" w:themeColor="text1"/>
                <w:kern w:val="0"/>
                <w:sz w:val="24"/>
                <w14:textFill>
                  <w14:solidFill>
                    <w14:schemeClr w14:val="tx1"/>
                  </w14:solidFill>
                </w14:textFill>
              </w:rPr>
              <w:t>225</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r>
              <w:rPr>
                <w:rFonts w:ascii="宋体" w:hAnsi="宋体"/>
                <w:color w:val="000000" w:themeColor="text1"/>
                <w:kern w:val="0"/>
                <w:sz w:val="24"/>
                <w14:textFill>
                  <w14:solidFill>
                    <w14:schemeClr w14:val="tx1"/>
                  </w14:solidFill>
                </w14:textFill>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两年以上</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w:t>
            </w:r>
            <w:r>
              <w:rPr>
                <w:rFonts w:ascii="宋体" w:hAnsi="宋体"/>
                <w:color w:val="000000" w:themeColor="text1"/>
                <w:kern w:val="0"/>
                <w:sz w:val="24"/>
                <w14:textFill>
                  <w14:solidFill>
                    <w14:schemeClr w14:val="tx1"/>
                  </w14:solidFill>
                </w14:textFill>
              </w:rPr>
              <w:t>79</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r>
              <w:rPr>
                <w:rFonts w:ascii="宋体" w:hAnsi="宋体"/>
                <w:color w:val="000000" w:themeColor="text1"/>
                <w:kern w:val="0"/>
                <w:sz w:val="24"/>
                <w14:textFill>
                  <w14:solidFill>
                    <w14:schemeClr w14:val="tx1"/>
                  </w14:solidFill>
                </w14:textFill>
              </w:rPr>
              <w:t>7.9</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消极</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71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r>
              <w:rPr>
                <w:rFonts w:ascii="宋体" w:hAnsi="宋体"/>
                <w:color w:val="000000" w:themeColor="text1"/>
                <w:kern w:val="0"/>
                <w:sz w:val="24"/>
                <w14:textFill>
                  <w14:solidFill>
                    <w14:schemeClr w14:val="tx1"/>
                  </w14:solidFill>
                </w14:textFill>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从未做过</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r>
              <w:rPr>
                <w:rFonts w:ascii="宋体" w:hAnsi="宋体"/>
                <w:color w:val="000000" w:themeColor="text1"/>
                <w:kern w:val="0"/>
                <w:sz w:val="24"/>
                <w14:textFill>
                  <w14:solidFill>
                    <w14:schemeClr w14:val="tx1"/>
                  </w14:solidFill>
                </w14:textFill>
              </w:rPr>
              <w:t>31</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1.9</w:t>
            </w:r>
          </w:p>
        </w:tc>
        <w:tc>
          <w:tcPr>
            <w:tcW w:w="95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注：</w:t>
      </w:r>
    </w:p>
    <w:p>
      <w:pPr>
        <w:widowControl/>
        <w:numPr>
          <w:ilvl w:val="0"/>
          <w:numId w:val="2"/>
        </w:numPr>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体质指数BMI</w:t>
      </w:r>
      <w:r>
        <w:rPr>
          <w:rFonts w:ascii="宋体" w:hAnsi="宋体" w:cs="宋体"/>
          <w:color w:val="000000" w:themeColor="text1"/>
          <w:kern w:val="0"/>
          <w:szCs w:val="21"/>
          <w14:textFill>
            <w14:solidFill>
              <w14:schemeClr w14:val="tx1"/>
            </w14:solidFill>
          </w14:textFill>
        </w:rPr>
        <w:t>=体重（kg）÷身高（m）</w:t>
      </w:r>
      <w:r>
        <w:rPr>
          <w:rFonts w:ascii="宋体" w:hAnsi="宋体" w:cs="宋体"/>
          <w:color w:val="000000" w:themeColor="text1"/>
          <w:kern w:val="0"/>
          <w:szCs w:val="21"/>
          <w:vertAlign w:val="superscript"/>
          <w14:textFill>
            <w14:solidFill>
              <w14:schemeClr w14:val="tx1"/>
            </w14:solidFill>
          </w14:textFill>
        </w:rPr>
        <w:t>2</w:t>
      </w:r>
    </w:p>
    <w:p>
      <w:pPr>
        <w:pStyle w:val="3"/>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14:textFill>
            <w14:solidFill>
              <w14:schemeClr w14:val="tx1"/>
            </w14:solidFill>
          </w14:textFill>
        </w:rPr>
        <w:t>向心性肥胖</w:t>
      </w:r>
      <w:r>
        <w:rPr>
          <w:rFonts w:hint="eastAsia"/>
          <w:color w:val="000000" w:themeColor="text1"/>
          <w14:textFill>
            <w14:solidFill>
              <w14:schemeClr w14:val="tx1"/>
            </w14:solidFill>
          </w14:textFill>
        </w:rPr>
        <w:t>：肥胖</w:t>
      </w:r>
      <w:r>
        <w:rPr>
          <w:color w:val="000000" w:themeColor="text1"/>
          <w14:textFill>
            <w14:solidFill>
              <w14:schemeClr w14:val="tx1"/>
            </w14:solidFill>
          </w14:textFill>
        </w:rPr>
        <w:t>前期：男性腰围85~90cm，女性腰围80~85cm；向心性肥胖：男性腰围≥90cm，女性腰围≥85 cm</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3、依据《中国居民膳食指南》，结合地域饮食特点，以问卷302-311、313回答情况构造食物结构得分，总分在12-33分之间，其中得分越大，认为膳食结构越合理</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4、食盐摄入，以问卷301A回答情况，结合“在家就餐人数”以及“月食盐消耗”计算</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5、食用油摄入，以问卷301B回答情况，结合“在家就餐人数”以及“月食用油消耗”计算</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6、吸烟情况，以问卷316-318回答情况，结合“吸烟”以及“戒烟”人数计算</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7、饮酒情况，以问卷312回答情况。</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8、运动情况，以问卷314-315回答情况。</w:t>
      </w:r>
    </w:p>
    <w:p>
      <w:pPr>
        <w:widowControl/>
        <w:spacing w:line="400" w:lineRule="exact"/>
        <w:jc w:val="left"/>
        <w:rPr>
          <w:rFonts w:ascii="宋体" w:hAnsi="宋体" w:cs="宋体"/>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（二）慢病健康知识知晓情况</w:t>
      </w:r>
    </w:p>
    <w:p>
      <w:pPr>
        <w:widowControl/>
        <w:spacing w:line="360" w:lineRule="auto"/>
        <w:ind w:firstLine="640" w:firstLineChars="200"/>
        <w:jc w:val="left"/>
        <w:rPr>
          <w:rFonts w:hint="default" w:ascii="仿宋" w:hAnsi="仿宋" w:eastAsia="仿宋" w:cs="宋体"/>
          <w:color w:val="FF0000"/>
          <w:kern w:val="0"/>
          <w:sz w:val="32"/>
          <w:szCs w:val="32"/>
          <w:lang w:val="en-US" w:eastAsia="zh-CN"/>
        </w:rPr>
      </w:pPr>
      <w:r>
        <w:rPr>
          <w:rFonts w:hint="eastAsia" w:ascii="仿宋" w:hAnsi="仿宋" w:eastAsia="仿宋" w:cs="宋体"/>
          <w:color w:val="000000" w:themeColor="text1"/>
          <w:kern w:val="0"/>
          <w:sz w:val="32"/>
          <w:szCs w:val="32"/>
          <w14:textFill>
            <w14:solidFill>
              <w14:schemeClr w14:val="tx1"/>
            </w14:solidFill>
          </w14:textFill>
        </w:rPr>
        <w:t>社会因素调查显示（见表2</w:t>
      </w:r>
      <w:r>
        <w:rPr>
          <w:rFonts w:hint="eastAsia" w:ascii="仿宋" w:hAnsi="仿宋" w:eastAsia="仿宋" w:cs="宋体"/>
          <w:color w:val="000000" w:themeColor="text1"/>
          <w:kern w:val="0"/>
          <w:sz w:val="32"/>
          <w:szCs w:val="32"/>
          <w:lang w:val="en-US" w:eastAsia="zh-CN"/>
          <w14:textFill>
            <w14:solidFill>
              <w14:schemeClr w14:val="tx1"/>
            </w14:solidFill>
          </w14:textFill>
        </w:rPr>
        <w:t>3</w:t>
      </w:r>
      <w:r>
        <w:rPr>
          <w:rFonts w:hint="eastAsia" w:ascii="仿宋" w:hAnsi="仿宋" w:eastAsia="仿宋" w:cs="宋体"/>
          <w:color w:val="000000" w:themeColor="text1"/>
          <w:kern w:val="0"/>
          <w:sz w:val="32"/>
          <w:szCs w:val="32"/>
          <w14:textFill>
            <w14:solidFill>
              <w14:schemeClr w14:val="tx1"/>
            </w14:solidFill>
          </w14:textFill>
        </w:rPr>
        <w:t>），阳城县城乡居民对</w:t>
      </w:r>
      <w:r>
        <w:rPr>
          <w:rFonts w:hint="eastAsia" w:ascii="仿宋" w:hAnsi="仿宋" w:eastAsia="仿宋" w:cs="宋体"/>
          <w:color w:val="000000" w:themeColor="text1"/>
          <w:kern w:val="0"/>
          <w:sz w:val="32"/>
          <w:szCs w:val="32"/>
          <w:lang w:val="en-US" w:eastAsia="zh-CN"/>
          <w14:textFill>
            <w14:solidFill>
              <w14:schemeClr w14:val="tx1"/>
            </w14:solidFill>
          </w14:textFill>
        </w:rPr>
        <w:t>部分</w:t>
      </w:r>
      <w:r>
        <w:rPr>
          <w:rFonts w:hint="eastAsia" w:ascii="仿宋" w:hAnsi="仿宋" w:eastAsia="仿宋" w:cs="宋体"/>
          <w:color w:val="000000" w:themeColor="text1"/>
          <w:kern w:val="0"/>
          <w:sz w:val="32"/>
          <w:szCs w:val="32"/>
          <w14:textFill>
            <w14:solidFill>
              <w14:schemeClr w14:val="tx1"/>
            </w14:solidFill>
          </w14:textFill>
        </w:rPr>
        <w:t>有关慢性病防治知识知晓情况不足</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糖尿病易患人群特征知晓率仅为48.3%</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增加患骨质疏松的风险的因素</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知晓率为51.9%</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糖尿病患者常见的并发症，知晓率仅</w:t>
      </w:r>
      <w:r>
        <w:rPr>
          <w:rFonts w:hint="eastAsia" w:ascii="仿宋" w:hAnsi="仿宋" w:eastAsia="仿宋" w:cs="宋体"/>
          <w:color w:val="000000" w:themeColor="text1"/>
          <w:kern w:val="0"/>
          <w:sz w:val="32"/>
          <w:szCs w:val="32"/>
          <w:lang w:val="en-US" w:eastAsia="zh-CN"/>
          <w14:textFill>
            <w14:solidFill>
              <w14:schemeClr w14:val="tx1"/>
            </w14:solidFill>
          </w14:textFill>
        </w:rPr>
        <w:t>5</w:t>
      </w:r>
      <w:r>
        <w:rPr>
          <w:rFonts w:hint="eastAsia" w:ascii="仿宋" w:hAnsi="仿宋" w:eastAsia="仿宋" w:cs="宋体"/>
          <w:color w:val="000000" w:themeColor="text1"/>
          <w:kern w:val="0"/>
          <w:sz w:val="32"/>
          <w:szCs w:val="32"/>
          <w14:textFill>
            <w14:solidFill>
              <w14:schemeClr w14:val="tx1"/>
            </w14:solidFill>
          </w14:textFill>
        </w:rPr>
        <w:t>5.7%</w:t>
      </w:r>
      <w:r>
        <w:rPr>
          <w:rFonts w:hint="eastAsia" w:ascii="仿宋" w:hAnsi="仿宋" w:eastAsia="仿宋" w:cs="宋体"/>
          <w:color w:val="000000" w:themeColor="text1"/>
          <w:kern w:val="0"/>
          <w:sz w:val="32"/>
          <w:szCs w:val="32"/>
          <w:lang w:val="en-US" w:eastAsia="zh-CN"/>
          <w14:textFill>
            <w14:solidFill>
              <w14:schemeClr w14:val="tx1"/>
            </w14:solidFill>
          </w14:textFill>
        </w:rPr>
        <w:t>。将该部分总分高于60分者视为对相关知识知晓，则</w:t>
      </w:r>
      <w:r>
        <w:rPr>
          <w:rFonts w:hint="eastAsia" w:ascii="仿宋" w:hAnsi="仿宋" w:eastAsia="仿宋" w:cs="宋体"/>
          <w:color w:val="FF0000"/>
          <w:kern w:val="0"/>
          <w:sz w:val="32"/>
          <w:szCs w:val="32"/>
          <w:lang w:val="en-US" w:eastAsia="zh-CN"/>
        </w:rPr>
        <w:t>阳城县居民重点慢病防控核心信息知晓率为72.2%。</w:t>
      </w:r>
    </w:p>
    <w:p>
      <w:pPr>
        <w:spacing w:line="600" w:lineRule="exact"/>
        <w:ind w:firstLine="561"/>
        <w:rPr>
          <w:rFonts w:hint="default"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这提示阳城县慢病防控的针对性健康教育与健康促进工作仍需进一步加强。</w:t>
      </w:r>
    </w:p>
    <w:p>
      <w:pPr>
        <w:widowControl/>
        <w:spacing w:line="400" w:lineRule="exact"/>
        <w:jc w:val="center"/>
        <w:rPr>
          <w:rFonts w:ascii="黑体" w:hAnsi="宋体" w:eastAsia="黑体" w:cs="宋体"/>
          <w:color w:val="000000" w:themeColor="text1"/>
          <w:kern w:val="0"/>
          <w:sz w:val="24"/>
          <w14:textFill>
            <w14:solidFill>
              <w14:schemeClr w14:val="tx1"/>
            </w14:solidFill>
          </w14:textFill>
        </w:rPr>
      </w:pPr>
      <w:r>
        <w:rPr>
          <w:rFonts w:hint="eastAsia" w:ascii="黑体" w:hAnsi="宋体" w:eastAsia="黑体" w:cs="宋体"/>
          <w:color w:val="000000" w:themeColor="text1"/>
          <w:kern w:val="0"/>
          <w:sz w:val="24"/>
          <w14:textFill>
            <w14:solidFill>
              <w14:schemeClr w14:val="tx1"/>
            </w14:solidFill>
          </w14:textFill>
        </w:rPr>
        <w:t>表</w:t>
      </w:r>
      <w:r>
        <w:rPr>
          <w:rFonts w:ascii="黑体" w:hAnsi="宋体" w:eastAsia="黑体" w:cs="宋体"/>
          <w:color w:val="000000" w:themeColor="text1"/>
          <w:kern w:val="0"/>
          <w:sz w:val="24"/>
          <w14:textFill>
            <w14:solidFill>
              <w14:schemeClr w14:val="tx1"/>
            </w14:solidFill>
          </w14:textFill>
        </w:rPr>
        <w:t>2</w:t>
      </w:r>
      <w:r>
        <w:rPr>
          <w:rFonts w:hint="eastAsia" w:ascii="黑体" w:hAnsi="宋体" w:eastAsia="黑体" w:cs="宋体"/>
          <w:color w:val="000000" w:themeColor="text1"/>
          <w:kern w:val="0"/>
          <w:sz w:val="24"/>
          <w:lang w:val="en-US" w:eastAsia="zh-CN"/>
          <w14:textFill>
            <w14:solidFill>
              <w14:schemeClr w14:val="tx1"/>
            </w14:solidFill>
          </w14:textFill>
        </w:rPr>
        <w:t>3</w:t>
      </w:r>
      <w:r>
        <w:rPr>
          <w:rFonts w:hint="eastAsia" w:ascii="黑体" w:hAnsi="宋体" w:eastAsia="黑体" w:cs="宋体"/>
          <w:color w:val="000000" w:themeColor="text1"/>
          <w:kern w:val="0"/>
          <w:sz w:val="24"/>
          <w14:textFill>
            <w14:solidFill>
              <w14:schemeClr w14:val="tx1"/>
            </w14:solidFill>
          </w14:textFill>
        </w:rPr>
        <w:t xml:space="preserve"> 阳城县城乡居民对有关慢性病防治知识知晓情况</w:t>
      </w:r>
    </w:p>
    <w:tbl>
      <w:tblPr>
        <w:tblStyle w:val="9"/>
        <w:tblW w:w="722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38"/>
        <w:gridCol w:w="108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138"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慢性病防治知识内容</w:t>
            </w:r>
          </w:p>
        </w:tc>
        <w:tc>
          <w:tcPr>
            <w:tcW w:w="1086"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知晓率%</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138" w:type="dxa"/>
            <w:tcBorders>
              <w:top w:val="nil"/>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成年人高血压的诊断标准</w:t>
            </w:r>
          </w:p>
        </w:tc>
        <w:tc>
          <w:tcPr>
            <w:tcW w:w="1086" w:type="dxa"/>
            <w:tcBorders>
              <w:top w:val="nil"/>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慢性病的危害</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94.6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日食用油的摄入标准</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日食盐的摄入标准</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FF0000"/>
                <w:kern w:val="0"/>
                <w:sz w:val="28"/>
                <w:szCs w:val="28"/>
              </w:rPr>
            </w:pPr>
            <w:r>
              <w:rPr>
                <w:rFonts w:hint="eastAsia" w:ascii="宋体" w:hAnsi="宋体"/>
                <w:color w:val="000000" w:themeColor="text1"/>
                <w:kern w:val="0"/>
                <w:sz w:val="28"/>
                <w:szCs w:val="28"/>
                <w14:textFill>
                  <w14:solidFill>
                    <w14:schemeClr w14:val="tx1"/>
                  </w14:solidFill>
                </w14:textFill>
              </w:rPr>
              <w:t>有效预防慢性病的生活方式</w:t>
            </w:r>
          </w:p>
        </w:tc>
        <w:tc>
          <w:tcPr>
            <w:tcW w:w="1086" w:type="dxa"/>
          </w:tcPr>
          <w:p>
            <w:pPr>
              <w:widowControl/>
              <w:spacing w:line="360" w:lineRule="auto"/>
              <w:jc w:val="center"/>
              <w:rPr>
                <w:rFonts w:ascii="宋体" w:hAnsi="宋体"/>
                <w:color w:val="FF0000"/>
                <w:kern w:val="0"/>
                <w:sz w:val="28"/>
                <w:szCs w:val="28"/>
              </w:rPr>
            </w:pPr>
            <w:r>
              <w:rPr>
                <w:rFonts w:hint="eastAsia" w:ascii="宋体" w:hAnsi="宋体"/>
                <w:color w:val="000000" w:themeColor="text1"/>
                <w:kern w:val="0"/>
                <w:sz w:val="28"/>
                <w:szCs w:val="28"/>
                <w14:textFill>
                  <w14:solidFill>
                    <w14:schemeClr w14:val="tx1"/>
                  </w14:solidFill>
                </w14:textFill>
              </w:rPr>
              <w:t>71.1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38" w:type="dxa"/>
          </w:tcPr>
          <w:p>
            <w:pPr>
              <w:widowControl/>
              <w:spacing w:line="360" w:lineRule="auto"/>
              <w:ind w:left="928" w:leftChars="442"/>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吸烟可能增加哪些慢性病的患病风险</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6</w:t>
            </w:r>
            <w:r>
              <w:rPr>
                <w:rFonts w:hint="eastAsia" w:ascii="宋体" w:hAnsi="宋体"/>
                <w:color w:val="000000" w:themeColor="text1"/>
                <w:kern w:val="0"/>
                <w:sz w:val="28"/>
                <w:szCs w:val="28"/>
                <w14:textFill>
                  <w14:solidFill>
                    <w14:schemeClr w14:val="tx1"/>
                  </w14:solidFill>
                </w14:textFill>
              </w:rPr>
              <w:t>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合理膳食的要点</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口腔健康行为</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增加患骨质疏松的风险的因素</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评价成年人是否肥胖</w:t>
            </w:r>
            <w:r>
              <w:rPr>
                <w:rFonts w:hint="eastAsia" w:ascii="宋体" w:hAnsi="宋体"/>
                <w:color w:val="000000" w:themeColor="text1"/>
                <w:kern w:val="0"/>
                <w:sz w:val="28"/>
                <w:szCs w:val="28"/>
                <w14:textFill>
                  <w14:solidFill>
                    <w14:schemeClr w14:val="tx1"/>
                  </w14:solidFill>
                </w14:textFill>
              </w:rPr>
              <w:t>的指标</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高血压易患人</w:t>
            </w:r>
            <w:r>
              <w:rPr>
                <w:rFonts w:hint="eastAsia" w:ascii="宋体" w:hAnsi="宋体"/>
                <w:color w:val="000000" w:themeColor="text1"/>
                <w:kern w:val="0"/>
                <w:sz w:val="28"/>
                <w:szCs w:val="28"/>
                <w14:textFill>
                  <w14:solidFill>
                    <w14:schemeClr w14:val="tx1"/>
                  </w14:solidFill>
                </w14:textFill>
              </w:rPr>
              <w:t>群特征</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控制高血压的措施</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糖尿病</w:t>
            </w:r>
            <w:r>
              <w:rPr>
                <w:rFonts w:ascii="宋体" w:hAnsi="宋体"/>
                <w:color w:val="000000" w:themeColor="text1"/>
                <w:kern w:val="0"/>
                <w:sz w:val="28"/>
                <w:szCs w:val="28"/>
                <w14:textFill>
                  <w14:solidFill>
                    <w14:schemeClr w14:val="tx1"/>
                  </w14:solidFill>
                </w14:textFill>
              </w:rPr>
              <w:t>易患人</w:t>
            </w:r>
            <w:r>
              <w:rPr>
                <w:rFonts w:hint="eastAsia" w:ascii="宋体" w:hAnsi="宋体"/>
                <w:color w:val="000000" w:themeColor="text1"/>
                <w:kern w:val="0"/>
                <w:sz w:val="28"/>
                <w:szCs w:val="28"/>
                <w14:textFill>
                  <w14:solidFill>
                    <w14:schemeClr w14:val="tx1"/>
                  </w14:solidFill>
                </w14:textFill>
              </w:rPr>
              <w:t>群特征</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哪些表现可能会发生脑卒中（中风）</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糖尿病患者控制血糖水平</w:t>
            </w:r>
            <w:r>
              <w:rPr>
                <w:rFonts w:hint="eastAsia" w:ascii="宋体" w:hAnsi="宋体"/>
                <w:color w:val="000000" w:themeColor="text1"/>
                <w:kern w:val="0"/>
                <w:sz w:val="28"/>
                <w:szCs w:val="28"/>
                <w14:textFill>
                  <w14:solidFill>
                    <w14:schemeClr w14:val="tx1"/>
                  </w14:solidFill>
                </w14:textFill>
              </w:rPr>
              <w:t>的措施</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糖尿病患者常见的并发症</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紧急处理急性心梗</w:t>
            </w:r>
            <w:r>
              <w:rPr>
                <w:rFonts w:hint="eastAsia" w:ascii="宋体" w:hAnsi="宋体"/>
                <w:color w:val="000000" w:themeColor="text1"/>
                <w:kern w:val="0"/>
                <w:sz w:val="28"/>
                <w:szCs w:val="28"/>
                <w14:textFill>
                  <w14:solidFill>
                    <w14:schemeClr w14:val="tx1"/>
                  </w14:solidFill>
                </w14:textFill>
              </w:rPr>
              <w:t>的措施</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癌症</w:t>
            </w:r>
            <w:r>
              <w:rPr>
                <w:rFonts w:hint="eastAsia" w:ascii="宋体" w:hAnsi="宋体"/>
                <w:color w:val="000000" w:themeColor="text1"/>
                <w:kern w:val="0"/>
                <w:sz w:val="28"/>
                <w:szCs w:val="28"/>
                <w14:textFill>
                  <w14:solidFill>
                    <w14:schemeClr w14:val="tx1"/>
                  </w14:solidFill>
                </w14:textFill>
              </w:rPr>
              <w:t>危险因素</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预防慢性呼吸系统疾病的主要措施</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70.6</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51.9</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74.5</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60.7</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77.1</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48.3</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0.0</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70.5</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5</w:t>
            </w:r>
            <w:r>
              <w:rPr>
                <w:rFonts w:hint="eastAsia" w:ascii="宋体" w:hAnsi="宋体"/>
                <w:color w:val="000000" w:themeColor="text1"/>
                <w:kern w:val="0"/>
                <w:sz w:val="28"/>
                <w:szCs w:val="28"/>
                <w14:textFill>
                  <w14:solidFill>
                    <w14:schemeClr w14:val="tx1"/>
                  </w14:solidFill>
                </w14:textFill>
              </w:rPr>
              <w:t>5.7</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82.0</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68</w:t>
            </w:r>
            <w:r>
              <w:rPr>
                <w:rFonts w:hint="eastAsia" w:ascii="宋体" w:hAnsi="宋体"/>
                <w:color w:val="000000" w:themeColor="text1"/>
                <w:kern w:val="0"/>
                <w:sz w:val="28"/>
                <w:szCs w:val="28"/>
                <w14:textFill>
                  <w14:solidFill>
                    <w14:schemeClr w14:val="tx1"/>
                  </w14:solidFill>
                </w14:textFill>
              </w:rPr>
              <w:t>.5</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预防和控制哮喘</w:t>
            </w:r>
            <w:r>
              <w:rPr>
                <w:rFonts w:hint="eastAsia" w:ascii="宋体" w:hAnsi="宋体"/>
                <w:color w:val="000000" w:themeColor="text1"/>
                <w:kern w:val="0"/>
                <w:sz w:val="28"/>
                <w:szCs w:val="28"/>
                <w14:textFill>
                  <w14:solidFill>
                    <w14:schemeClr w14:val="tx1"/>
                  </w14:solidFill>
                </w14:textFill>
              </w:rPr>
              <w:t>的措施</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6</w:t>
            </w:r>
            <w:r>
              <w:rPr>
                <w:rFonts w:hint="eastAsia" w:ascii="宋体" w:hAnsi="宋体"/>
                <w:color w:val="000000" w:themeColor="text1"/>
                <w:kern w:val="0"/>
                <w:sz w:val="28"/>
                <w:szCs w:val="28"/>
                <w14:textFill>
                  <w14:solidFill>
                    <w14:schemeClr w14:val="tx1"/>
                  </w14:solidFill>
                </w14:textFill>
              </w:rPr>
              <w:t>9.8</w:t>
            </w:r>
          </w:p>
        </w:tc>
      </w:tr>
    </w:tbl>
    <w:p>
      <w:pPr>
        <w:rPr>
          <w:rFonts w:ascii="仿宋" w:hAnsi="仿宋" w:eastAsia="仿宋" w:cs="宋体"/>
          <w:color w:val="000000" w:themeColor="text1"/>
          <w:kern w:val="0"/>
          <w:sz w:val="32"/>
          <w:szCs w:val="32"/>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（三）居民健康素养</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健康素养是指个人获取和理解健康信息，并运用这些信息维护和促进自身健康的能力，一般包括基本知识和理念、健康生活方式与行为、基本技能等三方面内容。提升城乡居民健康素养，有利于提高广大人民群众发现和解决自身健康问题的能力，是提升人民群众健康水平的重要策略和措施。</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调查工具方法采用由庄润森等人开发的《城市公众健康素养快速评估系统（Rapid Estimate of Health Literacy,REHL）》。具体测评判断标准参照健康素养水平评估标准，选定60分、75分为截值位点划分低健康素养、边际健康素养和高健康素养三个水平。其中高健康素养水平者可认为具备健康素养，边际健康素养水平者及低健康素养者则被认为临界健康素养不足，以及完全不具备健康素养，后两者需进行分策略重点人群干预。</w:t>
      </w:r>
    </w:p>
    <w:p>
      <w:pPr>
        <w:spacing w:line="580" w:lineRule="exact"/>
        <w:ind w:firstLine="640" w:firstLineChars="200"/>
        <w:rPr>
          <w:rFonts w:ascii="仿宋" w:hAnsi="仿宋" w:eastAsia="仿宋" w:cs="宋体"/>
          <w:color w:val="000000" w:themeColor="text1"/>
          <w:kern w:val="0"/>
          <w:sz w:val="32"/>
          <w:szCs w:val="32"/>
          <w:highlight w:val="none"/>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本次调查发现（见表2</w:t>
      </w:r>
      <w:r>
        <w:rPr>
          <w:rFonts w:hint="eastAsia" w:ascii="仿宋" w:hAnsi="仿宋" w:eastAsia="仿宋" w:cs="宋体"/>
          <w:color w:val="000000" w:themeColor="text1"/>
          <w:kern w:val="0"/>
          <w:sz w:val="32"/>
          <w:szCs w:val="32"/>
          <w:lang w:val="en-US" w:eastAsia="zh-CN"/>
          <w14:textFill>
            <w14:solidFill>
              <w14:schemeClr w14:val="tx1"/>
            </w14:solidFill>
          </w14:textFill>
        </w:rPr>
        <w:t>4</w:t>
      </w:r>
      <w:r>
        <w:rPr>
          <w:rFonts w:hint="eastAsia" w:ascii="仿宋" w:hAnsi="仿宋" w:eastAsia="仿宋" w:cs="宋体"/>
          <w:color w:val="000000" w:themeColor="text1"/>
          <w:kern w:val="0"/>
          <w:sz w:val="32"/>
          <w:szCs w:val="32"/>
          <w14:textFill>
            <w14:solidFill>
              <w14:schemeClr w14:val="tx1"/>
            </w14:solidFill>
          </w14:textFill>
        </w:rPr>
        <w:t>），阳城县城乡居民具备健康素养总体偏低，</w:t>
      </w:r>
      <w:r>
        <w:rPr>
          <w:rFonts w:hint="eastAsia" w:ascii="仿宋" w:hAnsi="仿宋" w:eastAsia="仿宋" w:cs="宋体"/>
          <w:color w:val="FF0000"/>
          <w:kern w:val="0"/>
          <w:sz w:val="32"/>
          <w:szCs w:val="32"/>
        </w:rPr>
        <w:t>具备健康素养的居民比例为</w:t>
      </w:r>
      <w:r>
        <w:rPr>
          <w:rFonts w:hint="eastAsia" w:ascii="仿宋" w:hAnsi="仿宋" w:eastAsia="仿宋" w:cs="宋体"/>
          <w:color w:val="FF0000"/>
          <w:kern w:val="0"/>
          <w:sz w:val="32"/>
          <w:szCs w:val="32"/>
          <w:lang w:val="en-US" w:eastAsia="zh-CN"/>
        </w:rPr>
        <w:t>32.2</w:t>
      </w:r>
      <w:r>
        <w:rPr>
          <w:rFonts w:hint="eastAsia" w:ascii="仿宋" w:hAnsi="仿宋" w:eastAsia="仿宋" w:cs="宋体"/>
          <w:color w:val="FF0000"/>
          <w:kern w:val="0"/>
          <w:sz w:val="32"/>
          <w:szCs w:val="32"/>
        </w:rPr>
        <w:t>%</w:t>
      </w:r>
      <w:r>
        <w:rPr>
          <w:rFonts w:hint="eastAsia"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1220</w:t>
      </w:r>
      <w:r>
        <w:rPr>
          <w:rFonts w:hint="eastAsia" w:ascii="仿宋" w:hAnsi="仿宋" w:eastAsia="仿宋" w:cs="宋体"/>
          <w:color w:val="000000" w:themeColor="text1"/>
          <w:kern w:val="0"/>
          <w:sz w:val="32"/>
          <w:szCs w:val="32"/>
          <w14:textFill>
            <w14:solidFill>
              <w14:schemeClr w14:val="tx1"/>
            </w14:solidFill>
          </w14:textFill>
        </w:rPr>
        <w:t>/3788），有</w:t>
      </w:r>
      <w:r>
        <w:rPr>
          <w:rFonts w:hint="eastAsia" w:ascii="仿宋" w:hAnsi="仿宋" w:eastAsia="仿宋" w:cs="宋体"/>
          <w:color w:val="000000" w:themeColor="text1"/>
          <w:kern w:val="0"/>
          <w:sz w:val="32"/>
          <w:szCs w:val="32"/>
          <w:lang w:val="en-US" w:eastAsia="zh-CN"/>
          <w14:textFill>
            <w14:solidFill>
              <w14:schemeClr w14:val="tx1"/>
            </w14:solidFill>
          </w14:textFill>
        </w:rPr>
        <w:t>42.2</w:t>
      </w:r>
      <w:r>
        <w:rPr>
          <w:rFonts w:hint="eastAsia" w:ascii="仿宋" w:hAnsi="仿宋" w:eastAsia="仿宋" w:cs="宋体"/>
          <w:color w:val="000000" w:themeColor="text1"/>
          <w:kern w:val="0"/>
          <w:sz w:val="32"/>
          <w:szCs w:val="32"/>
          <w14:textFill>
            <w14:solidFill>
              <w14:schemeClr w14:val="tx1"/>
            </w14:solidFill>
          </w14:textFill>
        </w:rPr>
        <w:t>%的居民处于边际健康素养水平，另外</w:t>
      </w:r>
      <w:r>
        <w:rPr>
          <w:rFonts w:hint="eastAsia" w:ascii="仿宋" w:hAnsi="仿宋" w:eastAsia="仿宋" w:cs="宋体"/>
          <w:color w:val="000000" w:themeColor="text1"/>
          <w:kern w:val="0"/>
          <w:sz w:val="32"/>
          <w:szCs w:val="32"/>
          <w:lang w:val="en-US" w:eastAsia="zh-CN"/>
          <w14:textFill>
            <w14:solidFill>
              <w14:schemeClr w14:val="tx1"/>
            </w14:solidFill>
          </w14:textFill>
        </w:rPr>
        <w:t>25.6</w:t>
      </w:r>
      <w:r>
        <w:rPr>
          <w:rFonts w:hint="eastAsia"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的</w:t>
      </w:r>
      <w:r>
        <w:rPr>
          <w:rFonts w:hint="eastAsia" w:ascii="仿宋" w:hAnsi="仿宋" w:eastAsia="仿宋" w:cs="宋体"/>
          <w:color w:val="000000" w:themeColor="text1"/>
          <w:kern w:val="0"/>
          <w:sz w:val="32"/>
          <w:szCs w:val="32"/>
          <w14:textFill>
            <w14:solidFill>
              <w14:schemeClr w14:val="tx1"/>
            </w14:solidFill>
          </w14:textFill>
        </w:rPr>
        <w:t>居民则处于低健康素养水平。</w:t>
      </w:r>
      <w:r>
        <w:rPr>
          <w:rFonts w:hint="eastAsia" w:eastAsia="仿宋"/>
          <w:sz w:val="32"/>
          <w:szCs w:val="32"/>
          <w:lang w:val="en-US" w:eastAsia="zh-CN"/>
        </w:rPr>
        <w:t>三个维度</w:t>
      </w:r>
      <w:r>
        <w:rPr>
          <w:rFonts w:hint="eastAsia" w:eastAsia="仿宋"/>
          <w:sz w:val="32"/>
          <w:szCs w:val="32"/>
        </w:rPr>
        <w:t>中，具备</w:t>
      </w:r>
      <w:r>
        <w:rPr>
          <w:rFonts w:hint="eastAsia" w:eastAsia="仿宋"/>
          <w:sz w:val="32"/>
          <w:szCs w:val="32"/>
          <w:lang w:val="en-US" w:eastAsia="zh-CN"/>
        </w:rPr>
        <w:t>健康</w:t>
      </w:r>
      <w:r>
        <w:rPr>
          <w:rFonts w:hint="eastAsia" w:eastAsia="仿宋"/>
          <w:sz w:val="32"/>
          <w:szCs w:val="32"/>
        </w:rPr>
        <w:t>知识</w:t>
      </w:r>
      <w:r>
        <w:rPr>
          <w:rFonts w:hint="eastAsia" w:eastAsia="仿宋"/>
          <w:sz w:val="32"/>
          <w:szCs w:val="32"/>
          <w:lang w:val="en-US" w:eastAsia="zh-CN"/>
        </w:rPr>
        <w:t>素养</w:t>
      </w:r>
      <w:r>
        <w:rPr>
          <w:rFonts w:hint="eastAsia" w:eastAsia="仿宋"/>
          <w:sz w:val="32"/>
          <w:szCs w:val="32"/>
        </w:rPr>
        <w:t>、健康行为素养、基本技能素养的比</w:t>
      </w:r>
      <w:r>
        <w:rPr>
          <w:rFonts w:hint="eastAsia" w:eastAsia="仿宋"/>
          <w:sz w:val="32"/>
          <w:szCs w:val="32"/>
          <w:highlight w:val="none"/>
        </w:rPr>
        <w:t>例分别是</w:t>
      </w:r>
      <w:r>
        <w:rPr>
          <w:rFonts w:hint="eastAsia" w:eastAsia="仿宋"/>
          <w:sz w:val="32"/>
          <w:szCs w:val="32"/>
          <w:highlight w:val="none"/>
          <w:lang w:val="en-US" w:eastAsia="zh-CN"/>
        </w:rPr>
        <w:t>37.6</w:t>
      </w:r>
      <w:r>
        <w:rPr>
          <w:rFonts w:eastAsia="仿宋"/>
          <w:sz w:val="32"/>
          <w:szCs w:val="32"/>
          <w:highlight w:val="none"/>
        </w:rPr>
        <w:t>%（</w:t>
      </w:r>
      <w:r>
        <w:rPr>
          <w:rFonts w:hint="eastAsia" w:eastAsia="仿宋"/>
          <w:sz w:val="32"/>
          <w:szCs w:val="32"/>
          <w:highlight w:val="none"/>
          <w:lang w:val="en-US" w:eastAsia="zh-CN"/>
        </w:rPr>
        <w:t>1428</w:t>
      </w:r>
      <w:r>
        <w:rPr>
          <w:rFonts w:eastAsia="仿宋"/>
          <w:sz w:val="32"/>
          <w:szCs w:val="32"/>
          <w:highlight w:val="none"/>
        </w:rPr>
        <w:t>/</w:t>
      </w:r>
      <w:r>
        <w:rPr>
          <w:rFonts w:hint="eastAsia" w:eastAsia="仿宋"/>
          <w:sz w:val="32"/>
          <w:szCs w:val="32"/>
          <w:highlight w:val="none"/>
        </w:rPr>
        <w:t>3788</w:t>
      </w:r>
      <w:r>
        <w:rPr>
          <w:rFonts w:eastAsia="仿宋"/>
          <w:sz w:val="32"/>
          <w:szCs w:val="32"/>
          <w:highlight w:val="none"/>
        </w:rPr>
        <w:t>）</w:t>
      </w:r>
      <w:r>
        <w:rPr>
          <w:rFonts w:hint="eastAsia" w:eastAsia="仿宋"/>
          <w:sz w:val="32"/>
          <w:szCs w:val="32"/>
          <w:highlight w:val="none"/>
        </w:rPr>
        <w:t>、</w:t>
      </w:r>
      <w:r>
        <w:rPr>
          <w:rFonts w:hint="eastAsia" w:eastAsia="仿宋"/>
          <w:sz w:val="32"/>
          <w:szCs w:val="32"/>
          <w:highlight w:val="none"/>
          <w:lang w:val="en-US" w:eastAsia="zh-CN"/>
        </w:rPr>
        <w:t>36.2</w:t>
      </w:r>
      <w:r>
        <w:rPr>
          <w:rFonts w:hint="eastAsia" w:eastAsia="仿宋"/>
          <w:sz w:val="32"/>
          <w:szCs w:val="32"/>
          <w:highlight w:val="none"/>
        </w:rPr>
        <w:t>%（</w:t>
      </w:r>
      <w:r>
        <w:rPr>
          <w:rFonts w:hint="eastAsia" w:eastAsia="仿宋"/>
          <w:sz w:val="32"/>
          <w:szCs w:val="32"/>
          <w:highlight w:val="none"/>
          <w:lang w:val="en-US" w:eastAsia="zh-CN"/>
        </w:rPr>
        <w:t>1372</w:t>
      </w:r>
      <w:r>
        <w:rPr>
          <w:rFonts w:hint="eastAsia" w:eastAsia="仿宋"/>
          <w:sz w:val="32"/>
          <w:szCs w:val="32"/>
          <w:highlight w:val="none"/>
        </w:rPr>
        <w:t>/3788）、</w:t>
      </w:r>
      <w:r>
        <w:rPr>
          <w:rFonts w:hint="eastAsia" w:eastAsia="仿宋"/>
          <w:sz w:val="32"/>
          <w:szCs w:val="32"/>
          <w:highlight w:val="none"/>
          <w:lang w:val="en-US" w:eastAsia="zh-CN"/>
        </w:rPr>
        <w:t>0.6</w:t>
      </w:r>
      <w:r>
        <w:rPr>
          <w:rFonts w:hint="eastAsia" w:eastAsia="仿宋"/>
          <w:sz w:val="32"/>
          <w:szCs w:val="32"/>
          <w:highlight w:val="none"/>
        </w:rPr>
        <w:t>%（</w:t>
      </w:r>
      <w:r>
        <w:rPr>
          <w:rFonts w:hint="eastAsia" w:eastAsia="仿宋"/>
          <w:sz w:val="32"/>
          <w:szCs w:val="32"/>
          <w:highlight w:val="none"/>
          <w:lang w:val="en-US" w:eastAsia="zh-CN"/>
        </w:rPr>
        <w:t>23</w:t>
      </w:r>
      <w:r>
        <w:rPr>
          <w:rFonts w:hint="eastAsia" w:eastAsia="仿宋"/>
          <w:sz w:val="32"/>
          <w:szCs w:val="32"/>
          <w:highlight w:val="none"/>
        </w:rPr>
        <w:t>/3788），尤以健康技能素养比例最低。</w:t>
      </w:r>
    </w:p>
    <w:p>
      <w:pPr>
        <w:spacing w:line="580" w:lineRule="exact"/>
        <w:jc w:val="center"/>
        <w:rPr>
          <w:rFonts w:ascii="仿宋" w:hAnsi="仿宋" w:eastAsia="仿宋"/>
          <w:b/>
          <w:sz w:val="28"/>
          <w:szCs w:val="28"/>
          <w:highlight w:val="none"/>
        </w:rPr>
      </w:pPr>
      <w:r>
        <w:rPr>
          <w:rFonts w:ascii="仿宋" w:hAnsi="仿宋" w:eastAsia="仿宋"/>
          <w:b/>
          <w:sz w:val="28"/>
          <w:szCs w:val="28"/>
          <w:highlight w:val="none"/>
        </w:rPr>
        <w:t>表2</w:t>
      </w:r>
      <w:r>
        <w:rPr>
          <w:rFonts w:hint="eastAsia" w:ascii="仿宋" w:hAnsi="仿宋" w:eastAsia="仿宋"/>
          <w:b/>
          <w:sz w:val="28"/>
          <w:szCs w:val="28"/>
          <w:highlight w:val="none"/>
          <w:lang w:val="en-US" w:eastAsia="zh-CN"/>
        </w:rPr>
        <w:t>4</w:t>
      </w:r>
      <w:r>
        <w:rPr>
          <w:rFonts w:ascii="仿宋" w:hAnsi="仿宋" w:eastAsia="仿宋"/>
          <w:b/>
          <w:sz w:val="28"/>
          <w:szCs w:val="28"/>
          <w:highlight w:val="none"/>
        </w:rPr>
        <w:t xml:space="preserve"> </w:t>
      </w:r>
      <w:r>
        <w:rPr>
          <w:rFonts w:hint="eastAsia" w:ascii="仿宋" w:hAnsi="仿宋" w:eastAsia="仿宋"/>
          <w:b/>
          <w:sz w:val="28"/>
          <w:szCs w:val="28"/>
          <w:highlight w:val="none"/>
        </w:rPr>
        <w:t>阳城县</w:t>
      </w:r>
      <w:r>
        <w:rPr>
          <w:rFonts w:ascii="仿宋" w:hAnsi="仿宋" w:eastAsia="仿宋"/>
          <w:b/>
          <w:sz w:val="28"/>
          <w:szCs w:val="28"/>
          <w:highlight w:val="none"/>
        </w:rPr>
        <w:t>居民具备健康素养的比例（%）</w:t>
      </w:r>
    </w:p>
    <w:tbl>
      <w:tblPr>
        <w:tblStyle w:val="9"/>
        <w:tblW w:w="6510"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61"/>
        <w:gridCol w:w="1606"/>
        <w:gridCol w:w="1696"/>
        <w:gridCol w:w="1347"/>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bottom w:val="single" w:color="auto" w:sz="6" w:space="0"/>
            </w:tcBorders>
            <w:shd w:val="clear" w:color="auto" w:fill="auto"/>
            <w:vAlign w:val="center"/>
          </w:tcPr>
          <w:p>
            <w:pPr>
              <w:textAlignment w:val="center"/>
              <w:rPr>
                <w:rFonts w:ascii="仿宋" w:hAnsi="仿宋" w:eastAsia="仿宋" w:cs="宋体"/>
                <w:color w:val="000000"/>
                <w:szCs w:val="21"/>
                <w:highlight w:val="none"/>
              </w:rPr>
            </w:pPr>
          </w:p>
        </w:tc>
        <w:tc>
          <w:tcPr>
            <w:tcW w:w="1606" w:type="dxa"/>
            <w:tcBorders>
              <w:bottom w:val="single" w:color="auto" w:sz="6" w:space="0"/>
            </w:tcBorders>
            <w:shd w:val="clear" w:color="auto" w:fill="auto"/>
            <w:vAlign w:val="center"/>
          </w:tcPr>
          <w:p>
            <w:pPr>
              <w:rPr>
                <w:rFonts w:ascii="仿宋" w:hAnsi="仿宋" w:eastAsia="仿宋" w:cs="宋体"/>
                <w:color w:val="000000"/>
                <w:szCs w:val="21"/>
                <w:highlight w:val="none"/>
              </w:rPr>
            </w:pPr>
          </w:p>
        </w:tc>
        <w:tc>
          <w:tcPr>
            <w:tcW w:w="1696" w:type="dxa"/>
            <w:tcBorders>
              <w:bottom w:val="single" w:color="auto" w:sz="6" w:space="0"/>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例数</w:t>
            </w:r>
          </w:p>
        </w:tc>
        <w:tc>
          <w:tcPr>
            <w:tcW w:w="1347" w:type="dxa"/>
            <w:tcBorders>
              <w:bottom w:val="single" w:color="auto" w:sz="6" w:space="0"/>
            </w:tcBorders>
            <w:shd w:val="clear" w:color="auto" w:fill="auto"/>
            <w:vAlign w:val="bottom"/>
          </w:tcPr>
          <w:p>
            <w:pPr>
              <w:textAlignment w:val="bottom"/>
              <w:rPr>
                <w:rFonts w:ascii="仿宋" w:hAnsi="仿宋" w:eastAsia="仿宋" w:cs="Arial"/>
                <w:color w:val="000000"/>
                <w:szCs w:val="21"/>
                <w:highlight w:val="none"/>
              </w:rPr>
            </w:pPr>
            <w:r>
              <w:rPr>
                <w:rFonts w:ascii="仿宋" w:hAnsi="仿宋" w:eastAsia="仿宋" w:cs="Arial"/>
                <w:color w:val="000000"/>
                <w:szCs w:val="21"/>
                <w:highlight w:val="none"/>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op w:val="single" w:color="auto" w:sz="6" w:space="0"/>
              <w:tl2br w:val="nil"/>
              <w:tr2bl w:val="nil"/>
            </w:tcBorders>
            <w:shd w:val="clear" w:color="auto" w:fill="auto"/>
            <w:vAlign w:val="center"/>
          </w:tcPr>
          <w:p>
            <w:pPr>
              <w:rPr>
                <w:rFonts w:ascii="仿宋" w:hAnsi="仿宋" w:eastAsia="仿宋" w:cs="宋体"/>
                <w:color w:val="000000"/>
                <w:szCs w:val="21"/>
                <w:highlight w:val="none"/>
              </w:rPr>
            </w:pPr>
            <w:r>
              <w:rPr>
                <w:rFonts w:hint="eastAsia" w:ascii="仿宋" w:hAnsi="仿宋" w:eastAsia="仿宋" w:cs="宋体"/>
                <w:color w:val="000000"/>
                <w:szCs w:val="21"/>
                <w:highlight w:val="none"/>
              </w:rPr>
              <w:t>总体健康素养</w:t>
            </w:r>
          </w:p>
        </w:tc>
        <w:tc>
          <w:tcPr>
            <w:tcW w:w="1606" w:type="dxa"/>
            <w:tcBorders>
              <w:top w:val="single" w:color="auto" w:sz="6" w:space="0"/>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op w:val="single" w:color="auto" w:sz="6" w:space="0"/>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970</w:t>
            </w:r>
          </w:p>
        </w:tc>
        <w:tc>
          <w:tcPr>
            <w:tcW w:w="1347" w:type="dxa"/>
            <w:tcBorders>
              <w:top w:val="single" w:color="auto" w:sz="6" w:space="0"/>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25.6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center"/>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1598</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42.2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center"/>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1220</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32.2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健康知识</w:t>
            </w: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985</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25.9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1383</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36.5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1428</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37.6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健康行为</w:t>
            </w: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864</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22.8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1552</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41.0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1372</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36.2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397" w:hRule="atLeast"/>
          <w:jc w:val="center"/>
        </w:trPr>
        <w:tc>
          <w:tcPr>
            <w:tcW w:w="1861" w:type="dxa"/>
            <w:tcBorders>
              <w:tl2br w:val="nil"/>
              <w:tr2bl w:val="nil"/>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健康技能</w:t>
            </w: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1652</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43.5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2121</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55.9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23</w:t>
            </w:r>
          </w:p>
        </w:tc>
        <w:tc>
          <w:tcPr>
            <w:tcW w:w="1347" w:type="dxa"/>
            <w:tcBorders>
              <w:tl2br w:val="nil"/>
              <w:tr2bl w:val="nil"/>
            </w:tcBorders>
            <w:shd w:val="clear" w:color="auto" w:fill="auto"/>
            <w:vAlign w:val="bottom"/>
          </w:tcPr>
          <w:p>
            <w:pPr>
              <w:textAlignment w:val="bottom"/>
              <w:rPr>
                <w:rFonts w:ascii="仿宋" w:hAnsi="仿宋" w:eastAsia="仿宋" w:cs="Arial"/>
                <w:color w:val="000000"/>
                <w:sz w:val="24"/>
                <w:highlight w:val="none"/>
              </w:rPr>
            </w:pPr>
            <w:r>
              <w:rPr>
                <w:rFonts w:hint="eastAsia" w:ascii="仿宋" w:hAnsi="仿宋" w:eastAsia="仿宋" w:cs="Arial"/>
                <w:color w:val="000000"/>
                <w:szCs w:val="21"/>
                <w:highlight w:val="none"/>
              </w:rPr>
              <w:t>0.6</w:t>
            </w:r>
          </w:p>
        </w:tc>
      </w:tr>
    </w:tbl>
    <w:p>
      <w:pPr>
        <w:widowControl/>
        <w:spacing w:line="360" w:lineRule="auto"/>
        <w:jc w:val="center"/>
        <w:rPr>
          <w:rFonts w:ascii="宋体" w:hAnsi="宋体"/>
          <w:color w:val="000000"/>
          <w:kern w:val="0"/>
          <w:sz w:val="24"/>
          <w:highlight w:val="none"/>
        </w:rPr>
      </w:pPr>
    </w:p>
    <w:p>
      <w:pPr>
        <w:pStyle w:val="2"/>
        <w:jc w:val="center"/>
        <w:rPr>
          <w:rFonts w:ascii="黑体" w:hAnsi="黑体" w:eastAsia="黑体"/>
          <w:b w:val="0"/>
          <w:sz w:val="30"/>
          <w:szCs w:val="30"/>
        </w:rPr>
      </w:pPr>
      <w:bookmarkStart w:id="12" w:name="_Toc42801667"/>
      <w:bookmarkStart w:id="13" w:name="_Toc42800540"/>
      <w:r>
        <w:rPr>
          <w:rFonts w:hint="eastAsia" w:ascii="黑体" w:hAnsi="黑体" w:eastAsia="黑体"/>
          <w:b w:val="0"/>
          <w:sz w:val="30"/>
          <w:szCs w:val="30"/>
        </w:rPr>
        <w:t>六、现有健康（疾病防治）政策</w:t>
      </w:r>
      <w:bookmarkEnd w:id="12"/>
      <w:bookmarkEnd w:id="13"/>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（一）政策措施</w:t>
      </w:r>
    </w:p>
    <w:p>
      <w:pPr>
        <w:spacing w:line="600" w:lineRule="exact"/>
        <w:ind w:firstLine="561"/>
        <w:rPr>
          <w:rFonts w:hint="eastAsia" w:ascii="仿宋" w:hAnsi="仿宋" w:eastAsia="仿宋" w:cs="宋体"/>
          <w:color w:val="FF0000"/>
          <w:kern w:val="0"/>
          <w:sz w:val="32"/>
          <w:szCs w:val="32"/>
          <w:lang w:val="en-US" w:eastAsia="zh-CN"/>
        </w:rPr>
      </w:pPr>
      <w:r>
        <w:rPr>
          <w:rFonts w:hint="eastAsia" w:ascii="仿宋" w:hAnsi="仿宋" w:eastAsia="仿宋" w:cs="宋体"/>
          <w:color w:val="000000" w:themeColor="text1"/>
          <w:kern w:val="0"/>
          <w:sz w:val="32"/>
          <w:szCs w:val="32"/>
          <w14:textFill>
            <w14:solidFill>
              <w14:schemeClr w14:val="tx1"/>
            </w14:solidFill>
          </w14:textFill>
        </w:rPr>
        <w:t>阳城县委县政府高度重视“慢性非传染性疾病综合防控示范区”工作，在人力财力物力等方面给予大力投入。为加强组织和人力保障，阳城县着重加强了慢性非传染性疾病防治区、街道/乡镇、社区居委会/村委会三级网络建设工作。在阳城县层面，以多部门合作机制，组织卫体、财政、教育、医保等部门作为成员单位,成立了阳城县“创建慢性非传染性疾病综合防控示范区”领导组,下设办公室在县疾控中心；在行业机构层面，县卫体局创慢办负责慢病社区综合防治工作的组织领导、技术指导和决策咨询；县疾控中心组织专业技术人员开展调查和收集资料以及整理分析,专人负责慢病防治工作；在各乡镇/街道办事处层面，全县12镇3乡也分别成立了相应的工作组织，由分管乡镇/街道分管领导担任组长，并指定专人负责慢病防治工作。</w:t>
      </w:r>
      <w:r>
        <w:rPr>
          <w:rFonts w:hint="eastAsia" w:ascii="仿宋" w:hAnsi="仿宋" w:eastAsia="仿宋" w:cs="宋体"/>
          <w:color w:val="FF0000"/>
          <w:kern w:val="0"/>
          <w:sz w:val="32"/>
          <w:szCs w:val="32"/>
          <w:lang w:val="en-US" w:eastAsia="zh-CN"/>
        </w:rPr>
        <w:t>县</w:t>
      </w:r>
      <w:r>
        <w:rPr>
          <w:rFonts w:hint="eastAsia" w:ascii="仿宋" w:hAnsi="仿宋" w:eastAsia="仿宋" w:cs="宋体"/>
          <w:color w:val="FF0000"/>
          <w:kern w:val="0"/>
          <w:sz w:val="32"/>
          <w:szCs w:val="32"/>
        </w:rPr>
        <w:t>政府</w:t>
      </w:r>
      <w:r>
        <w:rPr>
          <w:rFonts w:hint="eastAsia" w:ascii="仿宋" w:hAnsi="仿宋" w:eastAsia="仿宋" w:cs="宋体"/>
          <w:color w:val="FF0000"/>
          <w:kern w:val="0"/>
          <w:sz w:val="32"/>
          <w:szCs w:val="32"/>
          <w:lang w:val="en-US" w:eastAsia="zh-CN"/>
        </w:rPr>
        <w:t>每5年一次</w:t>
      </w:r>
      <w:r>
        <w:rPr>
          <w:rFonts w:hint="eastAsia" w:ascii="仿宋" w:hAnsi="仿宋" w:eastAsia="仿宋" w:cs="宋体"/>
          <w:color w:val="FF0000"/>
          <w:kern w:val="0"/>
          <w:sz w:val="32"/>
          <w:szCs w:val="32"/>
        </w:rPr>
        <w:t>定期发布慢性病及社会影响因素状况报告</w:t>
      </w:r>
      <w:r>
        <w:rPr>
          <w:rFonts w:hint="eastAsia" w:ascii="仿宋" w:hAnsi="仿宋" w:eastAsia="仿宋" w:cs="宋体"/>
          <w:color w:val="FF0000"/>
          <w:kern w:val="0"/>
          <w:sz w:val="32"/>
          <w:szCs w:val="32"/>
          <w:lang w:eastAsia="zh-CN"/>
        </w:rPr>
        <w:t>，</w:t>
      </w:r>
      <w:r>
        <w:rPr>
          <w:rFonts w:hint="eastAsia" w:ascii="仿宋" w:hAnsi="仿宋" w:eastAsia="仿宋" w:cs="宋体"/>
          <w:color w:val="FF0000"/>
          <w:kern w:val="0"/>
          <w:sz w:val="32"/>
          <w:szCs w:val="32"/>
          <w:lang w:val="en-US" w:eastAsia="zh-CN"/>
        </w:rPr>
        <w:t>并将</w:t>
      </w:r>
      <w:r>
        <w:rPr>
          <w:rFonts w:hint="eastAsia" w:ascii="仿宋" w:hAnsi="仿宋" w:eastAsia="仿宋" w:cs="宋体"/>
          <w:color w:val="FF0000"/>
          <w:kern w:val="0"/>
          <w:sz w:val="32"/>
          <w:szCs w:val="32"/>
        </w:rPr>
        <w:t>报告主要结果用于政府工作报告</w:t>
      </w:r>
      <w:r>
        <w:rPr>
          <w:rFonts w:hint="eastAsia" w:ascii="仿宋" w:hAnsi="仿宋" w:eastAsia="仿宋" w:cs="宋体"/>
          <w:color w:val="FF0000"/>
          <w:kern w:val="0"/>
          <w:sz w:val="32"/>
          <w:szCs w:val="32"/>
          <w:lang w:val="en-US" w:eastAsia="zh-CN"/>
        </w:rPr>
        <w:t>中。</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（二）经费投入</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近年来，阳城县社会经济持续快速发展，综合经济实力有了显著增强，2021年地区生产总值已达324.62亿元（增长11.9%），全县完成财政总收入59.94亿元（增长38.5%），经济社会保持健康平稳持续发展。慢性非传染性疾病综合防控示范建设工作纳入阳城县委县政府议事日程和工作任务，县委县政府已将相应工作经费纳入县级财政预算，建立健全了经费保障机制。 </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（三）健康促进</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为普及健康知识、提升公民健康素养、倡导健康生活方式，近年来阳城县积极开展健康社区、健康单位、健康餐厅/食堂、健康主题公园等9类健康支持性环境创建工作，积极利用9.1全民健康生活方式活动日 、10.8世界高血压日、10.29脑卒中日、11.14联合国糖尿病日等以各种形式进行慢性病防控宣传活动5次，每年有多部门组织、群众参与的集体性健身活动2次。</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（四）全民健身</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文化体育工程、群众体育活动等社区人居文化环境建设工作，作为社区居民健康促进的重要手段，可以促使反映社区居民健康水平的各项指标，特别是减低慢性非传染性疾病患病率不断改善。</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近年来，阳城县强化组织领导、加强队伍建设，加大财政投入、改善基础建设，积极推进全民健身工程。全民健身组织更加健全，全民健身指导更加科学，全民健身服务体系更加完善。同时加强群众体育运动技能培训，使科学的体育运动在防病和康复两个健康维度发挥作用，形成“体育+医疗+体育”的健康理念。尤其是围绕“体育进乡村”开展的群众体育活动和动感阳城品牌志愿服务活动，进一步增强了广大城乡居民群众主动参与体育健身的意识，吸引更多的人加入健身运动行列，为全县上下形成崇尚健身、参与健身、追求健康文明生活方式的良好环境奠定基础的同时，也为阳城县慢病防控工作创造了良好的健康教育和健康促进支持性环境。</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p>
    <w:p>
      <w:pPr>
        <w:pStyle w:val="2"/>
        <w:spacing w:line="600" w:lineRule="exact"/>
        <w:jc w:val="center"/>
        <w:rPr>
          <w:rFonts w:ascii="黑体" w:hAnsi="黑体" w:eastAsia="黑体"/>
          <w:b w:val="0"/>
          <w:sz w:val="30"/>
          <w:szCs w:val="30"/>
        </w:rPr>
      </w:pPr>
      <w:bookmarkStart w:id="14" w:name="_Toc42800541"/>
      <w:bookmarkStart w:id="15" w:name="_Toc42801668"/>
      <w:r>
        <w:rPr>
          <w:rFonts w:hint="eastAsia" w:ascii="黑体" w:hAnsi="黑体" w:eastAsia="黑体"/>
          <w:b w:val="0"/>
          <w:sz w:val="30"/>
          <w:szCs w:val="30"/>
        </w:rPr>
        <w:t>七、主要卫生问题</w:t>
      </w:r>
      <w:bookmarkEnd w:id="14"/>
      <w:bookmarkEnd w:id="15"/>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（一）需优先解决的主要健康问题</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通过慢病社会因素调查发现，高血压、糖尿病、冠心病、脑卒中、慢性骨关节疾病、恶性肿瘤、COPD、神经精神类疾病等慢性非传染性疾病在阳城县城乡居民慢性病现患率中排名靠前。其中，高血压、糖尿病、冠心病、脑卒中粗患病率最高（分别达到34.6%、10.8%、5.8%和4.9%），是阳城县城乡居民可能罹患的最主要慢性疾病。而从居民死因监测资料看，属严重危害我国居民健康的恶性肿瘤和心脑血管疾病这两类慢性病占阳城县居民全部死因的81.25%，其中心脑血管疾病共占全部死亡原因的53.98%</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心脑血管疾病标化死亡率</w:t>
      </w:r>
      <w:r>
        <w:rPr>
          <w:rFonts w:hint="eastAsia" w:ascii="仿宋" w:hAnsi="仿宋" w:eastAsia="仿宋" w:cs="宋体"/>
          <w:color w:val="000000" w:themeColor="text1"/>
          <w:kern w:val="0"/>
          <w:sz w:val="32"/>
          <w:szCs w:val="32"/>
          <w:lang w:val="en-US" w:eastAsia="zh-CN"/>
          <w14:textFill>
            <w14:solidFill>
              <w14:schemeClr w14:val="tx1"/>
            </w14:solidFill>
          </w14:textFill>
        </w:rPr>
        <w:t>处在较高水平（369.11/10万）</w:t>
      </w:r>
      <w:r>
        <w:rPr>
          <w:rFonts w:hint="eastAsia" w:ascii="仿宋" w:hAnsi="仿宋" w:eastAsia="仿宋" w:cs="宋体"/>
          <w:color w:val="000000" w:themeColor="text1"/>
          <w:kern w:val="0"/>
          <w:sz w:val="32"/>
          <w:szCs w:val="32"/>
          <w14:textFill>
            <w14:solidFill>
              <w14:schemeClr w14:val="tx1"/>
            </w14:solidFill>
          </w14:textFill>
        </w:rPr>
        <w:t>。</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与《中国居民营养与慢性病状况报告（2020）》报道 “18岁以上成人高血压患病率27.5%、糖尿病患病率11.9%”的我国平均相比，阳城县城乡居民高血压、糖尿病、脑卒中、冠心病分别为26.43%、8.20%、3.18%、4.02%的标化患病率中，高血压、糖尿病均属于明显的高发慢性病。</w:t>
      </w:r>
    </w:p>
    <w:p>
      <w:pPr>
        <w:spacing w:line="600" w:lineRule="exact"/>
        <w:ind w:firstLine="561"/>
        <w:rPr>
          <w:rFonts w:ascii="仿宋" w:hAnsi="仿宋" w:eastAsia="仿宋" w:cs="宋体"/>
          <w:kern w:val="0"/>
          <w:sz w:val="32"/>
          <w:szCs w:val="32"/>
        </w:rPr>
      </w:pPr>
      <w:r>
        <w:rPr>
          <w:rFonts w:hint="eastAsia" w:ascii="仿宋" w:hAnsi="仿宋" w:eastAsia="仿宋" w:cs="宋体"/>
          <w:kern w:val="0"/>
          <w:sz w:val="32"/>
          <w:szCs w:val="32"/>
        </w:rPr>
        <w:t>对比2016年基期调研所发现的结果变化具体情况，高血压流行情况虽略低于全国同期平均水平（26.43%</w:t>
      </w:r>
      <w:r>
        <w:rPr>
          <w:rFonts w:hint="eastAsia" w:ascii="黑体" w:hAnsi="黑体" w:eastAsia="黑体" w:cs="黑体"/>
          <w:kern w:val="0"/>
          <w:sz w:val="32"/>
          <w:szCs w:val="32"/>
        </w:rPr>
        <w:t>&lt;</w:t>
      </w:r>
      <w:r>
        <w:rPr>
          <w:rFonts w:ascii="仿宋" w:hAnsi="仿宋" w:eastAsia="仿宋" w:cs="宋体"/>
          <w:kern w:val="0"/>
          <w:sz w:val="32"/>
          <w:szCs w:val="32"/>
        </w:rPr>
        <w:t>2</w:t>
      </w:r>
      <w:r>
        <w:rPr>
          <w:rFonts w:hint="eastAsia" w:ascii="仿宋" w:hAnsi="仿宋" w:eastAsia="仿宋" w:cs="宋体"/>
          <w:kern w:val="0"/>
          <w:sz w:val="32"/>
          <w:szCs w:val="32"/>
        </w:rPr>
        <w:t>7.5</w:t>
      </w:r>
      <w:r>
        <w:rPr>
          <w:rFonts w:ascii="仿宋" w:hAnsi="仿宋" w:eastAsia="仿宋" w:cs="宋体"/>
          <w:kern w:val="0"/>
          <w:sz w:val="32"/>
          <w:szCs w:val="32"/>
        </w:rPr>
        <w:t>%</w:t>
      </w:r>
      <w:r>
        <w:rPr>
          <w:rFonts w:hint="eastAsia" w:ascii="仿宋" w:hAnsi="仿宋" w:eastAsia="仿宋" w:cs="宋体"/>
          <w:kern w:val="0"/>
          <w:sz w:val="32"/>
          <w:szCs w:val="32"/>
        </w:rPr>
        <w:t>），但仍增加4.5个百分点；糖尿病流行情况同样略低于全国同期平均水平（8.20%</w:t>
      </w:r>
      <w:r>
        <w:rPr>
          <w:rFonts w:hint="eastAsia" w:ascii="黑体" w:hAnsi="黑体" w:eastAsia="黑体" w:cs="黑体"/>
          <w:kern w:val="0"/>
          <w:sz w:val="32"/>
          <w:szCs w:val="32"/>
        </w:rPr>
        <w:t>&lt;</w:t>
      </w:r>
      <w:r>
        <w:rPr>
          <w:rFonts w:hint="eastAsia" w:ascii="仿宋" w:hAnsi="仿宋" w:eastAsia="仿宋" w:cs="宋体"/>
          <w:kern w:val="0"/>
          <w:sz w:val="32"/>
          <w:szCs w:val="32"/>
        </w:rPr>
        <w:t>11.9%），但却大幅上升4.9个百分点。</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考虑到高血压既可以作为独立疾病影响居民健康,又是心脑血管疾病患病和致死的危险因素,而糖尿病并发症又可对患者健康和生活质量带来的巨大影响。再考虑到高血压、糖尿病均是通过健康干预和健康促进是能够有效控制管理的，同时也是可以获得较高成本效益比的疾病。因此，未来一个阶段仍将高血压、糖尿病两项慢病确定为阳城县城乡居民需要面对的主要健康问题。</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（二）需优先干预的危险因素</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bookmarkStart w:id="16" w:name="_Toc42800542"/>
      <w:bookmarkStart w:id="17" w:name="_Toc42801669"/>
      <w:r>
        <w:rPr>
          <w:rFonts w:hint="eastAsia" w:ascii="仿宋" w:hAnsi="仿宋" w:eastAsia="仿宋" w:cs="宋体"/>
          <w:color w:val="000000" w:themeColor="text1"/>
          <w:kern w:val="0"/>
          <w:sz w:val="32"/>
          <w:szCs w:val="32"/>
          <w14:textFill>
            <w14:solidFill>
              <w14:schemeClr w14:val="tx1"/>
            </w14:solidFill>
          </w14:textFill>
        </w:rPr>
        <w:t>按照优先干预那些“流行率高、与主要健康问题相关性高、成本效益比高”的流行危险因素的原则，应把健康干预重点放在控制体重、加强体育运动锻炼、改善膳食结构、控制食盐摄入、控制食用油摄入、限制二手烟危害等方面。通过针对需优先干预的慢性病危险因素，以健康教育和健康促进的方式开展多项健康干预工作,可以减少阳城县城乡居民慢性非传染性疾病的发生和发展。</w:t>
      </w:r>
    </w:p>
    <w:p>
      <w:pPr>
        <w:pStyle w:val="2"/>
        <w:spacing w:line="600" w:lineRule="exact"/>
        <w:jc w:val="center"/>
        <w:rPr>
          <w:rFonts w:ascii="黑体" w:hAnsi="黑体" w:eastAsia="黑体"/>
          <w:b w:val="0"/>
          <w:sz w:val="30"/>
          <w:szCs w:val="30"/>
        </w:rPr>
      </w:pPr>
      <w:r>
        <w:rPr>
          <w:rFonts w:hint="eastAsia" w:ascii="黑体" w:hAnsi="黑体" w:eastAsia="黑体"/>
          <w:b w:val="0"/>
          <w:sz w:val="30"/>
          <w:szCs w:val="30"/>
        </w:rPr>
        <w:t>八、重点防控人群</w:t>
      </w:r>
      <w:bookmarkEnd w:id="16"/>
      <w:bookmarkEnd w:id="17"/>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经阳城县慢病防控需优先解决的健康问题（高血压、糖尿病）分析，发现不同年龄组、性别组、居住地组差异有统计学意义（其中，农村居民、35岁以上居民均显著高于总体患病水平）；经需优先干预的危险因素分析，发现年龄、居住地除自身影响之外，不同年龄组别、不同居住地组别又在超重、食盐摄入等危险因素流行程度上存在有统计学意义的差异。综合考虑，拟将成年人特别是35岁以上尤其是生活在农村，同时又在体重控制、食盐摄入等生活行为因素存在暴露的人群，作为慢病重点防控人群。</w:t>
      </w:r>
    </w:p>
    <w:p>
      <w:pPr>
        <w:pStyle w:val="2"/>
        <w:spacing w:line="600" w:lineRule="exact"/>
        <w:jc w:val="center"/>
        <w:rPr>
          <w:rFonts w:ascii="黑体" w:hAnsi="黑体" w:eastAsia="黑体"/>
          <w:b w:val="0"/>
          <w:sz w:val="30"/>
          <w:szCs w:val="30"/>
        </w:rPr>
      </w:pPr>
      <w:bookmarkStart w:id="18" w:name="_Toc42800543"/>
      <w:bookmarkStart w:id="19" w:name="_Toc42801670"/>
      <w:r>
        <w:rPr>
          <w:rFonts w:hint="eastAsia" w:ascii="黑体" w:hAnsi="黑体" w:eastAsia="黑体"/>
          <w:b w:val="0"/>
          <w:sz w:val="30"/>
          <w:szCs w:val="30"/>
        </w:rPr>
        <w:t>九、优先策略</w:t>
      </w:r>
      <w:bookmarkEnd w:id="18"/>
      <w:bookmarkEnd w:id="19"/>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（一）体重控制</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阳城县城乡居民体重控制不理想，体质指数BMI的15.4%肥胖率略低于全国18岁及以上成人平均水平（16.4%），而39.3%的超重率较全国平均水平（34.3%）高出许多。</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（二）加强体育运动锻炼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日常缺乏主动性运动锻炼，基本不进行体育锻炼者占调查人群的42.2%，而每天运动量达到6000步以上的只有42.1%。尤其需要注意的是，阳城县城乡居民普遍腰围超标，存在高达56.7%的向心性肥胖发生率。这种由于体内脂肪沉积以心脏、腹部为中心而开始发展的肥胖，极有可能因体重正常而被忽视。一旦不能及时加以干预，现在低于全国平均水平的糖尿病等代谢性疾病和心血管疾病的发病率，在未来较短时间内很有可能会快速上升。而加强主动性体育锻炼，特别保持每天运动量达到6000步以上的中等强度运动，将可以有效控制阳城县城乡居民慢病发生率。</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（三）平衡膳食结构</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合理营养是健康的物质基础，而平衡膳食是合理营养的唯一途径。阳城县城乡居民日常食物结构不够合理，新鲜蔬菜、水果、奶制品、水产品、畜禽肉类摄入不足，谷物类摄入过多。导致碳水化合物摄入量过多，蛋白质、铁、维生素A、D等部分营养素的摄入不足。</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（四）控制食盐和食用油的摄入</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w:t>
      </w:r>
      <w:r>
        <w:rPr>
          <w:rFonts w:hint="eastAsia" w:ascii="仿宋" w:hAnsi="仿宋" w:eastAsia="仿宋" w:cs="宋体"/>
          <w:color w:val="000000" w:themeColor="text1"/>
          <w:kern w:val="0"/>
          <w:sz w:val="32"/>
          <w:szCs w:val="32"/>
          <w:lang w:val="en-US" w:eastAsia="zh-CN"/>
          <w14:textFill>
            <w14:solidFill>
              <w14:schemeClr w14:val="tx1"/>
            </w14:solidFill>
          </w14:textFill>
        </w:rPr>
        <w:t>食盐</w:t>
      </w:r>
      <w:r>
        <w:rPr>
          <w:rFonts w:hint="eastAsia" w:ascii="仿宋" w:hAnsi="仿宋" w:eastAsia="仿宋" w:cs="宋体"/>
          <w:color w:val="000000" w:themeColor="text1"/>
          <w:kern w:val="0"/>
          <w:sz w:val="32"/>
          <w:szCs w:val="32"/>
          <w14:textFill>
            <w14:solidFill>
              <w14:schemeClr w14:val="tx1"/>
            </w14:solidFill>
          </w14:textFill>
        </w:rPr>
        <w:t>平均日摄入量6.18克/人（超标率达39.9%），且有食用腌制食品（如咸菜等）饮食习惯；</w:t>
      </w:r>
      <w:r>
        <w:rPr>
          <w:rFonts w:hint="eastAsia" w:ascii="仿宋" w:hAnsi="仿宋" w:eastAsia="仿宋" w:cs="宋体"/>
          <w:color w:val="000000" w:themeColor="text1"/>
          <w:kern w:val="0"/>
          <w:sz w:val="32"/>
          <w:szCs w:val="32"/>
          <w:lang w:val="en-US" w:eastAsia="zh-CN"/>
          <w14:textFill>
            <w14:solidFill>
              <w14:schemeClr w14:val="tx1"/>
            </w14:solidFill>
          </w14:textFill>
        </w:rPr>
        <w:t>而</w:t>
      </w:r>
      <w:r>
        <w:rPr>
          <w:rFonts w:hint="eastAsia" w:ascii="仿宋" w:hAnsi="仿宋" w:eastAsia="仿宋" w:cs="宋体"/>
          <w:color w:val="000000" w:themeColor="text1"/>
          <w:kern w:val="0"/>
          <w:sz w:val="32"/>
          <w:szCs w:val="32"/>
          <w14:textFill>
            <w14:solidFill>
              <w14:schemeClr w14:val="tx1"/>
            </w14:solidFill>
          </w14:textFill>
        </w:rPr>
        <w:t>对比《中国居民膳食指南》推荐的日均食用油摄入25g标准，</w:t>
      </w:r>
      <w:r>
        <w:rPr>
          <w:rFonts w:hint="eastAsia" w:ascii="仿宋" w:hAnsi="仿宋" w:eastAsia="仿宋" w:cs="宋体"/>
          <w:color w:val="000000" w:themeColor="text1"/>
          <w:kern w:val="0"/>
          <w:sz w:val="32"/>
          <w:szCs w:val="32"/>
          <w:lang w:val="en-US" w:eastAsia="zh-CN"/>
          <w14:textFill>
            <w14:solidFill>
              <w14:schemeClr w14:val="tx1"/>
            </w14:solidFill>
          </w14:textFill>
        </w:rPr>
        <w:t>阳城县居民食用油摄入</w:t>
      </w:r>
      <w:r>
        <w:rPr>
          <w:rFonts w:hint="eastAsia" w:ascii="仿宋" w:hAnsi="仿宋" w:eastAsia="仿宋" w:cs="宋体"/>
          <w:color w:val="000000" w:themeColor="text1"/>
          <w:kern w:val="0"/>
          <w:sz w:val="32"/>
          <w:szCs w:val="32"/>
          <w14:textFill>
            <w14:solidFill>
              <w14:schemeClr w14:val="tx1"/>
            </w14:solidFill>
          </w14:textFill>
        </w:rPr>
        <w:t>超标率达到48.4%。</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（五）推动戒烟限酒</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烟草使用率不高，但被动吸烟率却达到30.4%，应将公共场合禁止吸烟，创建无烟场所持之以恒严格开展下去；阳城县城乡居民饮酒率（23.9%）不高，经常过量饮酒比率仅为2.6%，但应注意将饮酒习惯从高度烈性白酒为主调整为以啤酒、红酒等低度酒为主。</w:t>
      </w:r>
    </w:p>
    <w:p>
      <w:pPr>
        <w:pStyle w:val="2"/>
        <w:spacing w:line="600" w:lineRule="exact"/>
        <w:jc w:val="center"/>
        <w:rPr>
          <w:rFonts w:ascii="黑体" w:hAnsi="黑体" w:eastAsia="黑体"/>
          <w:b w:val="0"/>
          <w:sz w:val="30"/>
          <w:szCs w:val="30"/>
        </w:rPr>
      </w:pPr>
      <w:bookmarkStart w:id="20" w:name="_Toc42801671"/>
      <w:bookmarkStart w:id="21" w:name="_Toc42800544"/>
      <w:r>
        <w:rPr>
          <w:rFonts w:hint="eastAsia" w:ascii="黑体" w:hAnsi="黑体" w:eastAsia="黑体"/>
          <w:b w:val="0"/>
          <w:sz w:val="30"/>
          <w:szCs w:val="30"/>
        </w:rPr>
        <w:t>十、行动措施</w:t>
      </w:r>
      <w:bookmarkEnd w:id="20"/>
      <w:bookmarkEnd w:id="21"/>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（一）防控目标</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建立完善政府主导、多部门合作、专业机构支持、全社会参与的慢病综合防控工作机制，强化慢病防治队伍建设，提高专业人员技术水平和服务能力，将各部门在慢性病综合防治中的职责落到实处，探索适合阳城县地方特点的慢病防控策略、措施和管理模式。</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对健康人群、高危人群和患病人群开展健康管理和有针对性的干预活动，有效控制阳城县城乡居民慢性非传染性疾病患病率，降低城乡居民因心脑血管疾病、恶性肿瘤、慢性呼吸系统疾病和糖尿病等导致死亡和失能的发生，提高城乡居民健康水平和生活质量。</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3、针对阳城县城乡居民慢病流行的主要相关危险因素，综合运用健康教育和健康促进各种手段，倡导推动全民健康生活方式形成，降低慢病相关危险因素流行水平。</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4、继续强化阳城县城乡医疗卫生资源建设，着重提高社区卫生服务对居民健康需求变化的适应和满足，实现工作重点向强化慢病高危人群预防干预和规范慢病患者管理的转移。</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（二）具体行动</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县政府将慢性病防控工作纳入本县经济社会发展规划，慢性病防控工作经费纳入政府年度预算、决算管理。辖区政府按规划、计划提供示范区建设专项工作经费，专款专用。领导小组建立工作督导制度，开展示范区建设的多部门联合督导。</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建立完善慢性病防控服务体系和分工明确、上下联动、信息共享、互联互通的工作机制。慢性病防控融入各部门政策规章制度，建立并完善烟草控制、降低有害饮酒、减盐、控油、控制体重、全民健身等慢性病危险因素干预、疾病管理相关的政策规章制度。将示范区建设实施方案相关工作纳入各相关部门年度目标管理和绩效考核，落实问责制。采用多种形式获取群众对辖区慢性病综合防控的参与度和满意度。在上级和县委县政府的领导支持下,相关部门通力合作,努力落实示范县工作所需的政策、经费、组织和队伍等保障措施，积极强化城乡社区卫生服务能力建设，深入推广全科医疗服务模式,有效开展城乡社区慢病综合防治工作。</w:t>
      </w:r>
    </w:p>
    <w:p>
      <w:pPr>
        <w:spacing w:line="600" w:lineRule="exact"/>
        <w:ind w:firstLine="561"/>
        <w:rPr>
          <w:rFonts w:ascii="仿宋" w:hAnsi="仿宋" w:eastAsia="仿宋" w:cs="仿宋"/>
          <w:color w:val="000000"/>
          <w:kern w:val="0"/>
          <w:sz w:val="24"/>
        </w:rPr>
      </w:pPr>
      <w:r>
        <w:rPr>
          <w:rFonts w:ascii="仿宋" w:hAnsi="仿宋" w:eastAsia="仿宋" w:cs="宋体"/>
          <w:color w:val="000000" w:themeColor="text1"/>
          <w:kern w:val="0"/>
          <w:sz w:val="32"/>
          <w:szCs w:val="32"/>
          <w14:textFill>
            <w14:solidFill>
              <w14:schemeClr w14:val="tx1"/>
            </w14:solidFill>
          </w14:textFill>
        </w:rPr>
        <w:t>3</w:t>
      </w:r>
      <w:r>
        <w:rPr>
          <w:rFonts w:hint="eastAsia" w:ascii="仿宋" w:hAnsi="仿宋" w:eastAsia="仿宋" w:cs="宋体"/>
          <w:color w:val="000000" w:themeColor="text1"/>
          <w:kern w:val="0"/>
          <w:sz w:val="32"/>
          <w:szCs w:val="32"/>
          <w14:textFill>
            <w14:solidFill>
              <w14:schemeClr w14:val="tx1"/>
            </w14:solidFill>
          </w14:textFill>
        </w:rPr>
        <w:t>、逐步建立和完善覆盖全人群的慢性病监测系统，</w:t>
      </w:r>
      <w:r>
        <w:rPr>
          <w:rFonts w:ascii="仿宋" w:hAnsi="仿宋" w:eastAsia="仿宋" w:cs="仿宋"/>
          <w:color w:val="000000"/>
          <w:kern w:val="0"/>
          <w:sz w:val="24"/>
        </w:rPr>
        <w:t xml:space="preserve"> </w:t>
      </w:r>
      <w:r>
        <w:rPr>
          <w:rFonts w:hint="eastAsia" w:ascii="仿宋" w:hAnsi="仿宋" w:eastAsia="仿宋" w:cs="宋体"/>
          <w:color w:val="000000" w:themeColor="text1"/>
          <w:kern w:val="0"/>
          <w:sz w:val="32"/>
          <w:szCs w:val="32"/>
          <w14:textFill>
            <w14:solidFill>
              <w14:schemeClr w14:val="tx1"/>
            </w14:solidFill>
          </w14:textFill>
        </w:rPr>
        <w:t>强化居民健康档案使用管理，应用互联网+、健康大数据提供便捷、高效的健康管理服务。努力实现阳城县区域范围内慢性病信息管理平台的信息互联互通，及时掌握阳城县居民死因监测、慢性病及危险因素监测、肿瘤登记、心血管事件报告等的最新情况，定期发布全县慢性病预防控制相关信息。</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14:textFill>
            <w14:solidFill>
              <w14:schemeClr w14:val="tx1"/>
            </w14:solidFill>
          </w14:textFill>
        </w:rPr>
        <w:t>、大力加强健康知识相关印刷音像资料开发，利用传统媒体和新媒体开展健康生活方式</w:t>
      </w:r>
      <w:r>
        <w:rPr>
          <w:rFonts w:hint="eastAsia" w:ascii="仿宋" w:hAnsi="仿宋" w:eastAsia="仿宋" w:cs="宋体"/>
          <w:color w:val="000000" w:themeColor="text1"/>
          <w:kern w:val="0"/>
          <w:sz w:val="32"/>
          <w:szCs w:val="32"/>
          <w:lang w:val="en-US" w:eastAsia="zh-CN"/>
          <w14:textFill>
            <w14:solidFill>
              <w14:schemeClr w14:val="tx1"/>
            </w14:solidFill>
          </w14:textFill>
        </w:rPr>
        <w:t>和</w:t>
      </w:r>
      <w:r>
        <w:rPr>
          <w:rFonts w:hint="eastAsia" w:ascii="仿宋" w:hAnsi="仿宋" w:eastAsia="仿宋" w:cs="宋体"/>
          <w:color w:val="000000" w:themeColor="text1"/>
          <w:kern w:val="0"/>
          <w:sz w:val="32"/>
          <w:szCs w:val="32"/>
          <w14:textFill>
            <w14:solidFill>
              <w14:schemeClr w14:val="tx1"/>
            </w14:solidFill>
          </w14:textFill>
        </w:rPr>
        <w:t>重点慢性病核心知识的日常宣传。积极利用社区宣传、学校教育等形式，围绕推动合理平衡饮食、促进全民健身活动、控制体重、强化慢病防控知识、限制烟草烈性白酒消费等重点内容，广泛开展健康教育和健康促进活动。 提高居民重点慢性病核心知识知晓率和居民健康素养水平。</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14:textFill>
            <w14:solidFill>
              <w14:schemeClr w14:val="tx1"/>
            </w14:solidFill>
          </w14:textFill>
        </w:rPr>
        <w:t>、面向全人群深入开展全民健康生活方式行动，推广简便技术和适宜工具（如限盐勺、控油壶等），开展健康生活方式主题日（周）主题宣传，招募、培训健康生活方式指导员，开展特色五进活动。通过辖区机关企事业单位工作场所干预、群众社区集体性健身、膳食平衡、烟草控制、示范创建等活动，提高和强化城乡居民自我管理健康的技能。开展幼儿园、中小学校健康行为方式教育。</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重视慢性病高危人群，采取预防性干预措施。要求辖区开展学生、老年人等重点人群和职工定期健康体检和健康指导，及早发现慢性病高危人群和患者。在有条件的场所建立健康指标自助检测点，提供体格测量简易设备；在辖区内各级各类医疗机构落实35岁以上人群首诊测血压制度，提供测量身高、体重、腰围、血糖等服务；对超重肥胖、血压正常高值、糖调节受损、血脂异常和吸烟者等慢性病高危人群实施管理和健康指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7</w:t>
      </w:r>
      <w:r>
        <w:rPr>
          <w:rFonts w:hint="eastAsia" w:ascii="仿宋" w:hAnsi="仿宋" w:eastAsia="仿宋" w:cs="宋体"/>
          <w:color w:val="000000" w:themeColor="text1"/>
          <w:kern w:val="0"/>
          <w:sz w:val="32"/>
          <w:szCs w:val="32"/>
          <w14:textFill>
            <w14:solidFill>
              <w14:schemeClr w14:val="tx1"/>
            </w14:solidFill>
          </w14:textFill>
        </w:rPr>
        <w:t>、加强基层慢性病防治，规范慢性病患者管理。落实国家基本公共卫生服务规范，加强慢性病患者规范化管理。尤其是针对阳城县慢病重点——高血压（发生率高，但多数处于对靶器官尚未发生损害的I级高血压）的流行特点，重点针对60岁以上、农村人口，提高社区高血压和糖尿病管理率。不断完善慢性病管理信息系统，积极开展慢性病管理效果评估。强化慢性病患者自我管理作用，推广“慢性病患者自我管理小组”等模式。针对高血压、糖尿病、脑卒中康复期等慢性病人，以城乡社区居委会（村委会）为单元，组织患者学习慢性病知识，交流防治经验，逐步提高慢性病患者自我管理能力。</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8、加强慢性病防控队伍建设。包括疾病预防控制机构慢性病防控专业技术人员、二级以上医院公共卫生专业人员能力的提升，以及加强基层医疗卫生机构公共卫生服务能力建设，承担所在区域慢性病防控工作。</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9、动员社会力量参与慢性病防控工作，在政府引导、市场驱动下，为慢性病患者提供健康管理服务。促进慢性病全程防治管理服务与社区居家养老和机构养老服务融合。</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10</w:t>
      </w:r>
      <w:r>
        <w:rPr>
          <w:rFonts w:hint="eastAsia" w:ascii="仿宋" w:hAnsi="仿宋" w:eastAsia="仿宋" w:cs="宋体"/>
          <w:color w:val="000000" w:themeColor="text1"/>
          <w:kern w:val="0"/>
          <w:sz w:val="32"/>
          <w:szCs w:val="32"/>
          <w14:textFill>
            <w14:solidFill>
              <w14:schemeClr w14:val="tx1"/>
            </w14:solidFill>
          </w14:textFill>
        </w:rPr>
        <w:t>、构建全方位健康支持性环境，按照国家标准开展健康社区、单位、学校、食堂、餐厅/酒店、主题公园、步道、小屋、健康街区等健康支持性环境建设，数量逐年增加。辖区室内公共场所、工作场所和公共交通工具设置禁止吸烟警语和标识。禁止烟草广告。建设无烟党政机关、无烟医疗卫生机构、无烟学校。辖区各级医疗机构开展简短戒烟服务培训并提供简短戒烟服务。为群众提供方便、可及的自助式健康检测服务，社区卫生服务中心和乡镇卫生院设置自助式健康检测点，并提供个体化健康指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w:t>
      </w:r>
      <w:r>
        <w:rPr>
          <w:rFonts w:ascii="仿宋" w:hAnsi="仿宋" w:eastAsia="仿宋" w:cs="宋体"/>
          <w:color w:val="000000" w:themeColor="text1"/>
          <w:kern w:val="0"/>
          <w:sz w:val="32"/>
          <w:szCs w:val="32"/>
          <w14:textFill>
            <w14:solidFill>
              <w14:schemeClr w14:val="tx1"/>
            </w14:solidFill>
          </w14:textFill>
        </w:rPr>
        <w:t>1</w:t>
      </w:r>
      <w:r>
        <w:rPr>
          <w:rFonts w:hint="eastAsia" w:ascii="仿宋" w:hAnsi="仿宋" w:eastAsia="仿宋" w:cs="宋体"/>
          <w:color w:val="000000" w:themeColor="text1"/>
          <w:kern w:val="0"/>
          <w:sz w:val="32"/>
          <w:szCs w:val="32"/>
          <w14:textFill>
            <w14:solidFill>
              <w14:schemeClr w14:val="tx1"/>
            </w14:solidFill>
          </w14:textFill>
        </w:rPr>
        <w:t>、开展全民健身运动，普及公共体育设施，提高经常参加体育锻炼人口比例。社区建设15分钟健身圈，居民健身设施完好，提高人均体育场地面积。公共体育场地、有条件的企事业和学校的体育场地免费或低收费向社区居民开放。机关、企事业单位开展工间健身活动，组织符合单位特点的健身和竞赛活动。实施青少年体育活动促进计划。</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（三）评价标准</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1、监测标准</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死因监测、肿瘤登记、心脑血管疾病事件辖区内医疗机构报告覆盖率100%，每年完成1次全人群慢病及危险因素核心指标监测调查。</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2、健康教育和健康促进</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每年为阳城县全县慢病防控提供印刷资料、宣传栏模版分别不少于8种，音像资料不少于3分钟，每年提供不少于6次的公众健康咨询活动核心信息和不少于8次的健康知识讲座核心信息；每年慢性病防控宣传专栏电视台至少2次，户外广告2块；健身场所、健康教育活动室和宣传栏以社区（村）为单位覆盖率达到90%以上，举办50人以上参加的社区健康讲座4次以上；中小学校、幼儿园为单位开设慢性病健康教育课覆盖率不低于60％，3年内达到100％；每年组织300人以上参加的宣传日活动3场以上。</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3、全民健康生活方式引导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辖区内示范社区、示范单位、示范食堂和示范餐厅创建工作每年递增5家以上，工作场所工间操健身活动覆盖30%以上机关企事业单位，每天主动运动锻炼量达6000步以上成年人达50%以上，居民人均每日食盐摄入量控制在6克以下、食用油摄入量控制在25-30可以内。</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4、高危人群发现干预</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辖区内所有医院、社区卫生服务机构、乡镇卫生院、村卫生室等各级医疗机构35岁以上首诊血压检测率达到95%以上，辖区内机关企事业单位工作人员每2年1次体检率不低于70%，人群身体健康相关指标自知率不断提高（腰围、体重、血压均达到90%以上，血糖、血脂均达到30%以上），慢病知识知晓率和掌握率分别达到80%和50%以上，慢病高危人群标准知晓率以基线调查为基础年递增30%以上。</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5、患者管理</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高血压、糖尿病登记率达到60%，规范化管理率分别达到95%以上，控制率显著提高；干预人群重点癌症早诊率不低于50%；以社区为单位推广慢性病患者自我管理模式，覆盖率达30%以上。</w:t>
      </w:r>
    </w:p>
    <w:p>
      <w:pPr>
        <w:ind w:firstLine="640" w:firstLineChars="200"/>
        <w:rPr>
          <w:rFonts w:ascii="仿宋" w:hAnsi="仿宋" w:eastAsia="仿宋" w:cs="宋体"/>
          <w:color w:val="000000"/>
          <w:kern w:val="0"/>
          <w:sz w:val="32"/>
          <w:szCs w:val="32"/>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rFonts w:eastAsia="仿宋_GB2312"/>
          <w:sz w:val="28"/>
          <w:szCs w:val="28"/>
        </w:rPr>
      </w:pPr>
      <w:bookmarkStart w:id="22" w:name="_Toc42800545"/>
      <w:bookmarkStart w:id="23" w:name="_Toc42801672"/>
      <w:r>
        <w:rPr>
          <w:rFonts w:hint="eastAsia" w:ascii="黑体" w:hAnsi="黑体" w:eastAsia="黑体"/>
          <w:sz w:val="30"/>
          <w:szCs w:val="30"/>
        </w:rPr>
        <w:t>附录：</w:t>
      </w:r>
      <w:bookmarkEnd w:id="22"/>
      <w:bookmarkEnd w:id="23"/>
      <w:r>
        <w:rPr>
          <w:rFonts w:hint="eastAsia" w:ascii="黑体" w:hAnsi="黑体" w:eastAsia="黑体"/>
          <w:sz w:val="30"/>
          <w:szCs w:val="30"/>
        </w:rPr>
        <w:t xml:space="preserve"> </w:t>
      </w:r>
      <w:r>
        <w:rPr>
          <w:rFonts w:ascii="黑体" w:hAnsi="黑体" w:eastAsia="黑体"/>
          <w:sz w:val="30"/>
          <w:szCs w:val="30"/>
        </w:rPr>
        <w:t xml:space="preserve">                             </w:t>
      </w:r>
      <w:r>
        <w:rPr>
          <w:rFonts w:eastAsia="仿宋_GB2312"/>
          <w:sz w:val="28"/>
          <w:szCs w:val="28"/>
        </w:rPr>
        <w:t>编号：</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p>
    <w:p>
      <w:pPr>
        <w:tabs>
          <w:tab w:val="left" w:pos="855"/>
        </w:tabs>
        <w:jc w:val="center"/>
        <w:rPr>
          <w:rFonts w:eastAsia="黑体"/>
          <w:kern w:val="0"/>
          <w:sz w:val="36"/>
          <w:szCs w:val="36"/>
        </w:rPr>
      </w:pPr>
    </w:p>
    <w:p>
      <w:pPr>
        <w:tabs>
          <w:tab w:val="left" w:pos="855"/>
        </w:tabs>
        <w:jc w:val="center"/>
        <w:rPr>
          <w:rFonts w:eastAsia="黑体"/>
          <w:kern w:val="0"/>
          <w:sz w:val="36"/>
          <w:szCs w:val="36"/>
        </w:rPr>
      </w:pPr>
      <w:r>
        <w:rPr>
          <w:rFonts w:hint="eastAsia" w:eastAsia="黑体"/>
          <w:kern w:val="0"/>
          <w:sz w:val="36"/>
          <w:szCs w:val="36"/>
        </w:rPr>
        <w:t>阳城县慢性病</w:t>
      </w:r>
      <w:r>
        <w:rPr>
          <w:rFonts w:eastAsia="黑体"/>
          <w:kern w:val="0"/>
          <w:sz w:val="36"/>
          <w:szCs w:val="36"/>
        </w:rPr>
        <w:t>居民</w:t>
      </w:r>
      <w:r>
        <w:rPr>
          <w:rFonts w:hint="eastAsia" w:eastAsia="黑体"/>
          <w:kern w:val="0"/>
          <w:sz w:val="36"/>
          <w:szCs w:val="36"/>
        </w:rPr>
        <w:t>健康</w:t>
      </w:r>
      <w:r>
        <w:rPr>
          <w:rFonts w:eastAsia="黑体"/>
          <w:kern w:val="0"/>
          <w:sz w:val="36"/>
          <w:szCs w:val="36"/>
        </w:rPr>
        <w:t>调查问卷</w:t>
      </w:r>
    </w:p>
    <w:p>
      <w:pPr>
        <w:tabs>
          <w:tab w:val="left" w:pos="855"/>
        </w:tabs>
        <w:jc w:val="center"/>
        <w:rPr>
          <w:rFonts w:eastAsia="黑体"/>
          <w:sz w:val="36"/>
          <w:szCs w:val="36"/>
        </w:rPr>
      </w:pPr>
      <w:r>
        <w:rPr>
          <w:rFonts w:eastAsia="黑体"/>
          <w:kern w:val="0"/>
          <w:sz w:val="36"/>
          <w:szCs w:val="36"/>
        </w:rPr>
        <w:t>（18岁及以上常住人口填答）</w:t>
      </w:r>
    </w:p>
    <w:p>
      <w:pPr>
        <w:tabs>
          <w:tab w:val="left" w:pos="1215"/>
        </w:tabs>
        <w:spacing w:line="440" w:lineRule="exact"/>
        <w:ind w:firstLine="480" w:firstLineChars="200"/>
        <w:rPr>
          <w:rFonts w:eastAsia="仿宋_GB2312"/>
          <w:sz w:val="24"/>
        </w:rPr>
      </w:pPr>
      <w:r>
        <w:rPr>
          <w:rFonts w:eastAsia="仿宋_GB2312"/>
          <w:sz w:val="24"/>
        </w:rPr>
        <w:t>您好！我们是阳城县慢性病防控小组工作人员</w:t>
      </w:r>
      <w:r>
        <w:rPr>
          <w:rFonts w:hint="eastAsia" w:eastAsia="仿宋_GB2312"/>
          <w:sz w:val="24"/>
        </w:rPr>
        <w:t>。</w:t>
      </w:r>
      <w:r>
        <w:rPr>
          <w:rFonts w:eastAsia="仿宋_GB2312"/>
          <w:sz w:val="24"/>
        </w:rPr>
        <w:t>本次入户调查是由阳城县政府统一组织，旨在了解本县居民主要健康问题、慢病患病情况及危险影响因素，</w:t>
      </w:r>
      <w:r>
        <w:rPr>
          <w:rFonts w:hint="eastAsia" w:eastAsia="仿宋_GB2312"/>
          <w:sz w:val="24"/>
        </w:rPr>
        <w:t>为</w:t>
      </w:r>
      <w:r>
        <w:rPr>
          <w:rFonts w:eastAsia="仿宋_GB2312"/>
          <w:sz w:val="24"/>
        </w:rPr>
        <w:t>阳城县</w:t>
      </w:r>
      <w:r>
        <w:rPr>
          <w:rFonts w:hint="eastAsia" w:eastAsia="仿宋_GB2312"/>
          <w:sz w:val="24"/>
        </w:rPr>
        <w:t>进一步推进国家慢性病综合防控示范区的建设工作和开展</w:t>
      </w:r>
      <w:r>
        <w:rPr>
          <w:rFonts w:eastAsia="仿宋_GB2312"/>
          <w:sz w:val="24"/>
        </w:rPr>
        <w:t>慢性病综合防治规划提供科学依据。所调查内容仅用于相关分析，希望配合我们完成以下问卷，谢谢您的参与。</w:t>
      </w:r>
    </w:p>
    <w:p>
      <w:pPr>
        <w:tabs>
          <w:tab w:val="left" w:pos="1215"/>
        </w:tabs>
        <w:spacing w:line="440" w:lineRule="exact"/>
        <w:rPr>
          <w:rFonts w:eastAsia="仿宋_GB2312"/>
          <w:sz w:val="22"/>
          <w:szCs w:val="22"/>
          <w:u w:val="single"/>
        </w:rPr>
      </w:pPr>
      <w:r>
        <w:rPr>
          <w:rFonts w:eastAsia="仿宋_GB2312"/>
          <w:sz w:val="22"/>
          <w:szCs w:val="22"/>
        </w:rPr>
        <w:t>a. 户籍住址：</w:t>
      </w:r>
      <w:r>
        <w:rPr>
          <w:rFonts w:eastAsia="仿宋_GB2312"/>
          <w:sz w:val="22"/>
          <w:szCs w:val="22"/>
          <w:u w:val="single"/>
        </w:rPr>
        <w:t xml:space="preserve">                                       </w:t>
      </w:r>
    </w:p>
    <w:p>
      <w:pPr>
        <w:tabs>
          <w:tab w:val="left" w:pos="1215"/>
        </w:tabs>
        <w:spacing w:line="440" w:lineRule="exact"/>
        <w:rPr>
          <w:rFonts w:eastAsia="仿宋_GB2312"/>
          <w:sz w:val="22"/>
          <w:szCs w:val="22"/>
          <w:u w:val="single"/>
        </w:rPr>
      </w:pPr>
      <w:r>
        <w:rPr>
          <w:rFonts w:eastAsia="仿宋_GB2312"/>
          <w:sz w:val="22"/>
          <w:szCs w:val="22"/>
        </w:rPr>
        <w:t>b. 联系电话:</w:t>
      </w:r>
      <w:r>
        <w:rPr>
          <w:rFonts w:eastAsia="仿宋_GB2312"/>
          <w:sz w:val="22"/>
          <w:szCs w:val="22"/>
          <w:u w:val="single"/>
        </w:rPr>
        <w:t xml:space="preserve">          </w:t>
      </w:r>
    </w:p>
    <w:p>
      <w:pPr>
        <w:tabs>
          <w:tab w:val="left" w:pos="1215"/>
        </w:tabs>
        <w:spacing w:line="440" w:lineRule="exact"/>
        <w:rPr>
          <w:rFonts w:eastAsia="仿宋_GB2312"/>
          <w:sz w:val="22"/>
          <w:szCs w:val="22"/>
        </w:rPr>
      </w:pPr>
      <w:r>
        <w:rPr>
          <w:rFonts w:eastAsia="仿宋_GB2312"/>
          <w:sz w:val="22"/>
          <w:szCs w:val="22"/>
        </w:rPr>
        <w:t>c. 调查问题由谁回答？</w:t>
      </w:r>
    </w:p>
    <w:p>
      <w:pPr>
        <w:tabs>
          <w:tab w:val="left" w:pos="1215"/>
        </w:tabs>
        <w:spacing w:line="440" w:lineRule="exact"/>
        <w:rPr>
          <w:rFonts w:eastAsia="仿宋_GB2312"/>
          <w:sz w:val="22"/>
          <w:szCs w:val="22"/>
        </w:rPr>
      </w:pPr>
      <w:r>
        <w:rPr>
          <w:rFonts w:eastAsia="仿宋_GB2312"/>
          <w:sz w:val="22"/>
          <w:szCs w:val="22"/>
        </w:rPr>
        <w:t>①本人回答  ②他人代答</w:t>
      </w:r>
    </w:p>
    <w:p>
      <w:pPr>
        <w:tabs>
          <w:tab w:val="left" w:pos="1215"/>
        </w:tabs>
        <w:spacing w:line="440" w:lineRule="exact"/>
        <w:rPr>
          <w:rFonts w:eastAsia="仿宋_GB2312"/>
          <w:sz w:val="22"/>
          <w:szCs w:val="22"/>
        </w:rPr>
      </w:pPr>
      <w:r>
        <w:rPr>
          <w:rFonts w:eastAsia="仿宋_GB2312"/>
          <w:sz w:val="22"/>
          <w:szCs w:val="22"/>
        </w:rPr>
        <w:t>d. 若为他人代答，原因是什么？</w:t>
      </w:r>
    </w:p>
    <w:p>
      <w:pPr>
        <w:tabs>
          <w:tab w:val="left" w:pos="1215"/>
        </w:tabs>
        <w:spacing w:line="440" w:lineRule="exact"/>
        <w:rPr>
          <w:rFonts w:eastAsia="仿宋_GB2312"/>
          <w:sz w:val="22"/>
          <w:szCs w:val="22"/>
          <w:u w:val="single"/>
        </w:rPr>
      </w:pPr>
      <w:r>
        <w:rPr>
          <w:rFonts w:eastAsia="仿宋_GB2312"/>
          <w:sz w:val="22"/>
          <w:szCs w:val="22"/>
        </w:rPr>
        <w:t>①本人外出 ②本人无应答能力 ③本人不愿回答  ④其他</w:t>
      </w:r>
      <w:r>
        <w:rPr>
          <w:rFonts w:eastAsia="仿宋_GB2312"/>
          <w:sz w:val="22"/>
          <w:szCs w:val="22"/>
          <w:u w:val="single"/>
        </w:rPr>
        <w:t xml:space="preserve">          </w:t>
      </w:r>
    </w:p>
    <w:p>
      <w:pPr>
        <w:tabs>
          <w:tab w:val="left" w:pos="1215"/>
        </w:tabs>
        <w:spacing w:line="440" w:lineRule="exact"/>
        <w:rPr>
          <w:rFonts w:eastAsia="黑体"/>
          <w:sz w:val="24"/>
        </w:rPr>
      </w:pPr>
      <w:r>
        <w:rPr>
          <w:rFonts w:eastAsia="黑体"/>
          <w:sz w:val="24"/>
        </w:rPr>
        <w:t>第一部分、居民</w:t>
      </w:r>
      <w:r>
        <w:rPr>
          <w:rFonts w:hint="eastAsia" w:eastAsia="黑体"/>
          <w:sz w:val="24"/>
        </w:rPr>
        <w:t>基本</w:t>
      </w:r>
      <w:r>
        <w:rPr>
          <w:rFonts w:eastAsia="黑体"/>
          <w:sz w:val="24"/>
        </w:rPr>
        <w:t>资料</w:t>
      </w:r>
    </w:p>
    <w:p>
      <w:pPr>
        <w:tabs>
          <w:tab w:val="left" w:pos="1215"/>
        </w:tabs>
        <w:spacing w:line="440" w:lineRule="exact"/>
        <w:ind w:firstLine="120" w:firstLineChars="50"/>
        <w:rPr>
          <w:rFonts w:eastAsia="仿宋_GB2312"/>
          <w:sz w:val="24"/>
        </w:rPr>
      </w:pPr>
      <w:r>
        <w:rPr>
          <w:rFonts w:eastAsia="仿宋_GB2312"/>
          <w:sz w:val="24"/>
        </w:rPr>
        <w:t xml:space="preserve">101.姓名：__________ </w:t>
      </w:r>
    </w:p>
    <w:p>
      <w:pPr>
        <w:tabs>
          <w:tab w:val="left" w:pos="1215"/>
        </w:tabs>
        <w:spacing w:line="440" w:lineRule="exact"/>
        <w:ind w:firstLine="120" w:firstLineChars="50"/>
        <w:rPr>
          <w:rFonts w:eastAsia="仿宋_GB2312"/>
          <w:sz w:val="24"/>
        </w:rPr>
      </w:pPr>
      <w:r>
        <w:rPr>
          <w:rFonts w:eastAsia="仿宋_GB2312"/>
          <w:sz w:val="24"/>
        </w:rPr>
        <w:t>102.性别：①男  ②女</w:t>
      </w:r>
    </w:p>
    <w:p>
      <w:pPr>
        <w:tabs>
          <w:tab w:val="left" w:pos="1215"/>
        </w:tabs>
        <w:spacing w:line="440" w:lineRule="exact"/>
        <w:ind w:firstLine="120" w:firstLineChars="50"/>
        <w:rPr>
          <w:rFonts w:eastAsia="仿宋_GB2312"/>
          <w:sz w:val="24"/>
        </w:rPr>
      </w:pPr>
      <w:r>
        <w:rPr>
          <w:rFonts w:eastAsia="仿宋_GB2312"/>
          <w:sz w:val="24"/>
        </w:rPr>
        <w:t>103.年龄:_________周岁</w:t>
      </w:r>
    </w:p>
    <w:p>
      <w:pPr>
        <w:tabs>
          <w:tab w:val="left" w:pos="1215"/>
        </w:tabs>
        <w:spacing w:line="440" w:lineRule="exact"/>
        <w:ind w:firstLine="120" w:firstLineChars="50"/>
        <w:rPr>
          <w:rFonts w:eastAsia="仿宋_GB2312"/>
          <w:sz w:val="24"/>
        </w:rPr>
      </w:pPr>
      <w:r>
        <w:rPr>
          <w:rFonts w:eastAsia="仿宋_GB2312"/>
          <w:sz w:val="24"/>
        </w:rPr>
        <w:t xml:space="preserve">104.民族：①汉  ②少数民族 </w:t>
      </w:r>
      <w:r>
        <w:rPr>
          <w:rFonts w:eastAsia="仿宋_GB2312"/>
          <w:sz w:val="24"/>
          <w:u w:val="single"/>
        </w:rPr>
        <w:t xml:space="preserve">      </w:t>
      </w:r>
      <w:r>
        <w:rPr>
          <w:rFonts w:eastAsia="仿宋_GB2312"/>
          <w:sz w:val="24"/>
        </w:rPr>
        <w:t>族</w:t>
      </w:r>
    </w:p>
    <w:p>
      <w:pPr>
        <w:tabs>
          <w:tab w:val="left" w:pos="4620"/>
        </w:tabs>
        <w:spacing w:line="440" w:lineRule="exact"/>
        <w:ind w:firstLine="120" w:firstLineChars="50"/>
        <w:rPr>
          <w:rFonts w:eastAsia="仿宋_GB2312"/>
          <w:sz w:val="24"/>
        </w:rPr>
      </w:pPr>
      <w:r>
        <w:rPr>
          <w:rFonts w:eastAsia="仿宋_GB2312"/>
          <w:sz w:val="24"/>
        </w:rPr>
        <w:t>105.婚姻状况（ ）  ①未婚  ②已婚   ③丧偶  ④离异  ⑤其他</w:t>
      </w:r>
    </w:p>
    <w:p>
      <w:pPr>
        <w:tabs>
          <w:tab w:val="left" w:pos="4620"/>
        </w:tabs>
        <w:spacing w:line="440" w:lineRule="exact"/>
        <w:ind w:firstLine="120" w:firstLineChars="50"/>
        <w:rPr>
          <w:rFonts w:eastAsia="仿宋_GB2312"/>
          <w:sz w:val="24"/>
        </w:rPr>
      </w:pPr>
      <w:r>
        <w:rPr>
          <w:rFonts w:eastAsia="仿宋_GB2312"/>
          <w:sz w:val="24"/>
        </w:rPr>
        <w:t>106.文化程度（ ）</w:t>
      </w:r>
    </w:p>
    <w:p>
      <w:pPr>
        <w:tabs>
          <w:tab w:val="left" w:pos="4620"/>
        </w:tabs>
        <w:spacing w:line="440" w:lineRule="exact"/>
        <w:ind w:left="360" w:hanging="360" w:hangingChars="150"/>
        <w:rPr>
          <w:rFonts w:eastAsia="仿宋_GB2312"/>
          <w:sz w:val="24"/>
        </w:rPr>
      </w:pPr>
      <w:r>
        <w:rPr>
          <w:rFonts w:eastAsia="仿宋_GB2312"/>
          <w:sz w:val="24"/>
        </w:rPr>
        <w:t xml:space="preserve"> ①小学及以下  ②初中  ③高中/中专  ④大专/本科及以上  </w:t>
      </w:r>
    </w:p>
    <w:p>
      <w:pPr>
        <w:tabs>
          <w:tab w:val="left" w:pos="4620"/>
        </w:tabs>
        <w:spacing w:line="440" w:lineRule="exact"/>
        <w:ind w:firstLine="120" w:firstLineChars="50"/>
        <w:rPr>
          <w:rFonts w:eastAsia="仿宋_GB2312"/>
          <w:sz w:val="24"/>
        </w:rPr>
      </w:pPr>
      <w:r>
        <w:rPr>
          <w:rFonts w:eastAsia="仿宋_GB2312"/>
          <w:sz w:val="24"/>
        </w:rPr>
        <w:t>107.您目前是否在业（ ）</w:t>
      </w:r>
    </w:p>
    <w:p>
      <w:pPr>
        <w:tabs>
          <w:tab w:val="left" w:pos="4620"/>
        </w:tabs>
        <w:spacing w:line="440" w:lineRule="exact"/>
        <w:ind w:left="480" w:hanging="480" w:hangingChars="200"/>
        <w:rPr>
          <w:rFonts w:eastAsia="仿宋_GB2312"/>
          <w:color w:val="FF0000"/>
          <w:sz w:val="24"/>
        </w:rPr>
      </w:pPr>
      <w:r>
        <w:rPr>
          <w:rFonts w:eastAsia="仿宋_GB2312"/>
          <w:sz w:val="24"/>
        </w:rPr>
        <w:t xml:space="preserve"> ①在业  ②离退休  ③务农  ④无业或失业  ⑤其他</w:t>
      </w:r>
      <w:r>
        <w:rPr>
          <w:rFonts w:eastAsia="仿宋_GB2312"/>
          <w:sz w:val="24"/>
          <w:u w:val="single"/>
        </w:rPr>
        <w:t xml:space="preserve">      </w:t>
      </w:r>
    </w:p>
    <w:p>
      <w:pPr>
        <w:tabs>
          <w:tab w:val="left" w:pos="4620"/>
        </w:tabs>
        <w:spacing w:line="440" w:lineRule="exact"/>
        <w:ind w:firstLine="120" w:firstLineChars="50"/>
        <w:rPr>
          <w:rFonts w:eastAsia="仿宋_GB2312"/>
          <w:sz w:val="24"/>
        </w:rPr>
      </w:pPr>
      <w:r>
        <w:rPr>
          <w:rFonts w:eastAsia="仿宋_GB2312"/>
          <w:sz w:val="24"/>
        </w:rPr>
        <w:t>108.家庭每人平均可支配年收入（   ）元/人/年</w:t>
      </w:r>
    </w:p>
    <w:p>
      <w:pPr>
        <w:tabs>
          <w:tab w:val="left" w:pos="4620"/>
        </w:tabs>
        <w:spacing w:line="440" w:lineRule="exact"/>
        <w:ind w:left="501" w:leftChars="67" w:hanging="360" w:hangingChars="150"/>
        <w:rPr>
          <w:rFonts w:eastAsia="仿宋_GB2312"/>
          <w:sz w:val="24"/>
        </w:rPr>
      </w:pPr>
      <w:r>
        <w:rPr>
          <w:rFonts w:eastAsia="仿宋_GB2312"/>
          <w:sz w:val="24"/>
        </w:rPr>
        <w:t>①5000元及以下      ②5000-20000元</w:t>
      </w:r>
    </w:p>
    <w:p>
      <w:pPr>
        <w:tabs>
          <w:tab w:val="left" w:pos="4620"/>
        </w:tabs>
        <w:spacing w:line="440" w:lineRule="exact"/>
        <w:ind w:left="501" w:leftChars="67" w:hanging="360" w:hangingChars="150"/>
        <w:rPr>
          <w:rFonts w:eastAsia="仿宋_GB2312"/>
          <w:sz w:val="24"/>
        </w:rPr>
      </w:pPr>
      <w:r>
        <w:rPr>
          <w:rFonts w:eastAsia="仿宋_GB2312"/>
          <w:sz w:val="24"/>
        </w:rPr>
        <w:t xml:space="preserve">③20000-500000元    </w:t>
      </w:r>
      <w:r>
        <w:rPr>
          <w:rFonts w:hint="eastAsia" w:eastAsia="仿宋_GB2312"/>
          <w:sz w:val="24"/>
        </w:rPr>
        <w:t xml:space="preserve"> </w:t>
      </w:r>
      <w:r>
        <w:rPr>
          <w:rFonts w:eastAsia="仿宋_GB2312"/>
          <w:sz w:val="24"/>
        </w:rPr>
        <w:t xml:space="preserve">④50000元以上 </w:t>
      </w:r>
    </w:p>
    <w:p>
      <w:pPr>
        <w:tabs>
          <w:tab w:val="left" w:pos="4620"/>
          <w:tab w:val="left" w:pos="6954"/>
        </w:tabs>
        <w:spacing w:line="440" w:lineRule="exact"/>
        <w:ind w:firstLine="120" w:firstLineChars="50"/>
        <w:rPr>
          <w:rFonts w:eastAsia="仿宋_GB2312"/>
          <w:sz w:val="24"/>
        </w:rPr>
      </w:pPr>
      <w:r>
        <w:rPr>
          <w:rFonts w:eastAsia="仿宋_GB2312"/>
          <w:sz w:val="24"/>
        </w:rPr>
        <w:t>109.您目前参加了何种医疗保险（ ）</w:t>
      </w:r>
      <w:r>
        <w:rPr>
          <w:rFonts w:eastAsia="仿宋_GB2312"/>
          <w:sz w:val="24"/>
        </w:rPr>
        <w:tab/>
      </w:r>
    </w:p>
    <w:p>
      <w:pPr>
        <w:tabs>
          <w:tab w:val="left" w:pos="4620"/>
        </w:tabs>
        <w:spacing w:line="440" w:lineRule="exact"/>
        <w:ind w:left="501" w:leftChars="67" w:hanging="360" w:hangingChars="150"/>
        <w:rPr>
          <w:rFonts w:eastAsia="仿宋_GB2312"/>
          <w:sz w:val="24"/>
        </w:rPr>
      </w:pPr>
      <w:r>
        <w:rPr>
          <w:rFonts w:eastAsia="仿宋_GB2312"/>
          <w:sz w:val="24"/>
        </w:rPr>
        <w:t>①城镇职工医保            ②城乡居民医保</w:t>
      </w:r>
    </w:p>
    <w:p>
      <w:pPr>
        <w:tabs>
          <w:tab w:val="left" w:pos="4620"/>
        </w:tabs>
        <w:spacing w:line="440" w:lineRule="exact"/>
        <w:ind w:left="501" w:leftChars="67" w:hanging="360" w:hangingChars="150"/>
        <w:rPr>
          <w:rFonts w:eastAsia="仿宋_GB2312"/>
          <w:sz w:val="24"/>
        </w:rPr>
      </w:pPr>
      <w:r>
        <w:rPr>
          <w:rFonts w:eastAsia="仿宋_GB2312"/>
          <w:sz w:val="24"/>
        </w:rPr>
        <w:t>③未参加任何医疗保险      ④其他________</w:t>
      </w:r>
    </w:p>
    <w:p>
      <w:pPr>
        <w:tabs>
          <w:tab w:val="left" w:pos="1215"/>
        </w:tabs>
        <w:spacing w:line="440" w:lineRule="exact"/>
        <w:rPr>
          <w:rFonts w:eastAsia="黑体"/>
          <w:sz w:val="24"/>
        </w:rPr>
      </w:pPr>
    </w:p>
    <w:p>
      <w:pPr>
        <w:tabs>
          <w:tab w:val="left" w:pos="1215"/>
        </w:tabs>
        <w:spacing w:line="440" w:lineRule="exact"/>
        <w:rPr>
          <w:rFonts w:eastAsia="黑体"/>
          <w:sz w:val="24"/>
        </w:rPr>
      </w:pPr>
      <w:r>
        <w:rPr>
          <w:rFonts w:eastAsia="黑体"/>
          <w:sz w:val="24"/>
        </w:rPr>
        <w:t>第二部分、慢性病患病情况</w:t>
      </w:r>
    </w:p>
    <w:p>
      <w:pPr>
        <w:tabs>
          <w:tab w:val="left" w:pos="4620"/>
        </w:tabs>
        <w:spacing w:line="440" w:lineRule="exact"/>
        <w:ind w:left="1" w:firstLine="153" w:firstLineChars="64"/>
        <w:rPr>
          <w:rFonts w:eastAsia="仿宋_GB2312"/>
          <w:sz w:val="24"/>
        </w:rPr>
      </w:pPr>
      <w:r>
        <w:rPr>
          <w:rFonts w:eastAsia="仿宋_GB2312"/>
          <w:sz w:val="24"/>
        </w:rPr>
        <w:t>201.您是否患有经医生诊断的慢性疾病（  ）</w:t>
      </w:r>
    </w:p>
    <w:p>
      <w:pPr>
        <w:tabs>
          <w:tab w:val="left" w:pos="4620"/>
        </w:tabs>
        <w:spacing w:line="440" w:lineRule="exact"/>
        <w:ind w:left="501" w:leftChars="67" w:hanging="360" w:hangingChars="150"/>
        <w:rPr>
          <w:rFonts w:eastAsia="仿宋_GB2312"/>
          <w:b/>
          <w:sz w:val="24"/>
        </w:rPr>
      </w:pPr>
      <w:r>
        <w:rPr>
          <w:rFonts w:eastAsia="仿宋_GB2312"/>
          <w:sz w:val="24"/>
        </w:rPr>
        <w:t xml:space="preserve">①是  ②否    </w:t>
      </w:r>
      <w:r>
        <w:rPr>
          <w:rFonts w:eastAsia="仿宋_GB2312"/>
          <w:b/>
          <w:sz w:val="24"/>
        </w:rPr>
        <w:t>若回答②否，直接跳转至问题</w:t>
      </w:r>
      <w:r>
        <w:rPr>
          <w:rFonts w:hint="eastAsia" w:eastAsia="仿宋_GB2312"/>
          <w:b/>
          <w:sz w:val="24"/>
        </w:rPr>
        <w:t>3</w:t>
      </w:r>
      <w:r>
        <w:rPr>
          <w:rFonts w:eastAsia="仿宋_GB2312"/>
          <w:b/>
          <w:sz w:val="24"/>
        </w:rPr>
        <w:t>01</w:t>
      </w:r>
    </w:p>
    <w:p>
      <w:pPr>
        <w:tabs>
          <w:tab w:val="left" w:pos="4620"/>
        </w:tabs>
        <w:spacing w:line="440" w:lineRule="exact"/>
        <w:ind w:left="501" w:leftChars="67" w:hanging="360" w:hangingChars="150"/>
        <w:rPr>
          <w:rFonts w:eastAsia="仿宋_GB2312"/>
          <w:sz w:val="24"/>
        </w:rPr>
      </w:pPr>
      <w:r>
        <w:rPr>
          <w:rFonts w:eastAsia="仿宋_GB2312"/>
          <w:sz w:val="24"/>
        </w:rPr>
        <w:t>202.您罹患的慢性病包括以下哪几种？（此题可多选）</w:t>
      </w:r>
    </w:p>
    <w:p>
      <w:pPr>
        <w:tabs>
          <w:tab w:val="left" w:pos="4620"/>
        </w:tabs>
        <w:spacing w:line="440" w:lineRule="exact"/>
        <w:ind w:left="501" w:leftChars="67" w:hanging="360" w:hangingChars="150"/>
        <w:rPr>
          <w:rFonts w:eastAsia="仿宋_GB2312"/>
          <w:sz w:val="24"/>
        </w:rPr>
      </w:pPr>
      <w:r>
        <w:rPr>
          <w:rFonts w:eastAsia="仿宋_GB2312"/>
          <w:sz w:val="24"/>
        </w:rPr>
        <w:t xml:space="preserve">①高血压 ②脑卒中 ③冠心病 ④糖尿病 ⑤慢性阻塞性肺疾患  </w:t>
      </w:r>
    </w:p>
    <w:p>
      <w:pPr>
        <w:tabs>
          <w:tab w:val="left" w:pos="4620"/>
        </w:tabs>
        <w:spacing w:line="440" w:lineRule="exact"/>
        <w:ind w:left="501" w:leftChars="67" w:hanging="360" w:hangingChars="150"/>
        <w:rPr>
          <w:rFonts w:eastAsia="仿宋_GB2312"/>
          <w:sz w:val="24"/>
        </w:rPr>
      </w:pPr>
      <w:r>
        <w:rPr>
          <w:rFonts w:eastAsia="仿宋_GB2312"/>
          <w:sz w:val="24"/>
        </w:rPr>
        <w:t>⑥肿瘤 ⑦慢性骨关节疾病 ⑧神经精神类疾病 ⑨其他</w:t>
      </w:r>
      <w:r>
        <w:rPr>
          <w:rFonts w:hint="eastAsia" w:eastAsia="仿宋_GB2312"/>
          <w:sz w:val="24"/>
        </w:rPr>
        <w:t>_____</w:t>
      </w:r>
    </w:p>
    <w:p>
      <w:pPr>
        <w:tabs>
          <w:tab w:val="left" w:pos="4620"/>
        </w:tabs>
        <w:spacing w:line="440" w:lineRule="exact"/>
        <w:ind w:left="501" w:leftChars="67" w:right="-349" w:rightChars="-166" w:hanging="360" w:hangingChars="150"/>
        <w:rPr>
          <w:rFonts w:eastAsia="仿宋_GB2312"/>
          <w:sz w:val="24"/>
        </w:rPr>
      </w:pPr>
      <w:r>
        <w:rPr>
          <w:rFonts w:eastAsia="仿宋_GB2312"/>
          <w:sz w:val="24"/>
        </w:rPr>
        <w:t>203.您罹患的</w:t>
      </w:r>
      <w:r>
        <w:rPr>
          <w:rFonts w:hint="eastAsia" w:eastAsia="仿宋_GB2312"/>
          <w:sz w:val="24"/>
        </w:rPr>
        <w:t>肿瘤是否为食道癌？</w:t>
      </w:r>
      <w:r>
        <w:rPr>
          <w:rFonts w:eastAsia="仿宋_GB2312"/>
          <w:sz w:val="24"/>
        </w:rPr>
        <w:t xml:space="preserve">①是  ②否    </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20</w:t>
      </w:r>
      <w:r>
        <w:rPr>
          <w:rFonts w:hint="eastAsia" w:eastAsia="仿宋_GB2312"/>
          <w:sz w:val="24"/>
        </w:rPr>
        <w:t>4</w:t>
      </w:r>
      <w:r>
        <w:rPr>
          <w:rFonts w:eastAsia="仿宋_GB2312"/>
          <w:sz w:val="24"/>
        </w:rPr>
        <w:t>.您的祖(外祖)父母、父母和兄弟姐妹中是否有人被医生诊断患有您所患的慢性病（  ）①有  ②没有  ③不清楚</w:t>
      </w:r>
    </w:p>
    <w:p>
      <w:pPr>
        <w:tabs>
          <w:tab w:val="left" w:pos="1215"/>
        </w:tabs>
        <w:spacing w:line="440" w:lineRule="exact"/>
        <w:rPr>
          <w:rFonts w:eastAsia="黑体"/>
          <w:sz w:val="24"/>
        </w:rPr>
      </w:pPr>
      <w:r>
        <w:rPr>
          <w:rFonts w:eastAsia="黑体"/>
          <w:sz w:val="24"/>
        </w:rPr>
        <w:t>第三部分、行为生活方式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301.过去一年中，您家通常在一起就餐的人数____人？通常每个月吃_____克盐？每个月吃____斤油？ （</w:t>
      </w:r>
      <w:r>
        <w:rPr>
          <w:rFonts w:eastAsia="仿宋_GB2312"/>
          <w:b/>
          <w:sz w:val="24"/>
        </w:rPr>
        <w:t>该题请家庭中负责安排日常饮食的人进行估算，其他人无需回答</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302.您平均</w:t>
      </w:r>
      <w:r>
        <w:rPr>
          <w:rFonts w:eastAsia="仿宋_GB2312"/>
          <w:b/>
          <w:sz w:val="24"/>
        </w:rPr>
        <w:t>每天</w:t>
      </w:r>
      <w:r>
        <w:rPr>
          <w:rFonts w:eastAsia="仿宋_GB2312"/>
          <w:sz w:val="24"/>
        </w:rPr>
        <w:t>吃多少谷类粮食（大米、面粉、小米等）？（请根据日常饮食估算）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color w:val="000000"/>
          <w:sz w:val="24"/>
        </w:rPr>
      </w:pPr>
      <w:r>
        <w:rPr>
          <w:rFonts w:eastAsia="仿宋_GB2312"/>
          <w:sz w:val="24"/>
        </w:rPr>
        <w:t xml:space="preserve"> </w:t>
      </w:r>
      <w:r>
        <w:rPr>
          <w:rFonts w:eastAsia="仿宋_GB2312"/>
          <w:color w:val="000000"/>
          <w:sz w:val="24"/>
        </w:rPr>
        <w:t xml:space="preserve">①很少吃或不吃     ②不足250克    ③ 250-400克  </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④400—1000克     ⑤1000克以上</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303.您平均</w:t>
      </w:r>
      <w:r>
        <w:rPr>
          <w:rFonts w:eastAsia="仿宋_GB2312"/>
          <w:b/>
          <w:sz w:val="24"/>
        </w:rPr>
        <w:t>每天</w:t>
      </w:r>
      <w:r>
        <w:rPr>
          <w:rFonts w:eastAsia="仿宋_GB2312"/>
          <w:sz w:val="24"/>
        </w:rPr>
        <w:t>吃多少新鲜蔬菜（生重）？（请根据日常饮食估算）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①很少吃或不吃  ②不足300克   ③300—500克</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304.您平均</w:t>
      </w:r>
      <w:r>
        <w:rPr>
          <w:rFonts w:eastAsia="仿宋_GB2312"/>
          <w:b/>
          <w:sz w:val="24"/>
        </w:rPr>
        <w:t>每天</w:t>
      </w:r>
      <w:r>
        <w:rPr>
          <w:rFonts w:eastAsia="仿宋_GB2312"/>
          <w:sz w:val="24"/>
        </w:rPr>
        <w:t>吃多少水果？（请根据日常饮食估算）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②不足200克  ③200—350克  ④350克以上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305.您平均</w:t>
      </w:r>
      <w:r>
        <w:rPr>
          <w:rFonts w:eastAsia="仿宋_GB2312"/>
          <w:b/>
          <w:sz w:val="24"/>
        </w:rPr>
        <w:t>每天</w:t>
      </w:r>
      <w:r>
        <w:rPr>
          <w:rFonts w:eastAsia="仿宋_GB2312"/>
          <w:sz w:val="24"/>
        </w:rPr>
        <w:t>吃多少奶及奶制品？（请根据日常饮食估算）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①250克及以上  ②不足250克  ③基本不吃</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306.您平均</w:t>
      </w:r>
      <w:r>
        <w:rPr>
          <w:rFonts w:eastAsia="仿宋_GB2312"/>
          <w:b/>
          <w:sz w:val="24"/>
        </w:rPr>
        <w:t>每周</w:t>
      </w:r>
      <w:r>
        <w:rPr>
          <w:rFonts w:eastAsia="仿宋_GB2312"/>
          <w:sz w:val="24"/>
        </w:rPr>
        <w:t>摄入的水产品情况？</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②不足250克  ③250—500克  ④500克以上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307.您平均</w:t>
      </w:r>
      <w:r>
        <w:rPr>
          <w:rFonts w:eastAsia="仿宋_GB2312"/>
          <w:b/>
          <w:sz w:val="24"/>
        </w:rPr>
        <w:t>每周</w:t>
      </w:r>
      <w:r>
        <w:rPr>
          <w:rFonts w:eastAsia="仿宋_GB2312"/>
          <w:sz w:val="24"/>
        </w:rPr>
        <w:t>摄入的畜禽肉类情况？</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②不足250克  ③250—500克  ④500克以上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308.您平均</w:t>
      </w:r>
      <w:r>
        <w:rPr>
          <w:rFonts w:eastAsia="仿宋_GB2312"/>
          <w:b/>
          <w:sz w:val="24"/>
        </w:rPr>
        <w:t>每周</w:t>
      </w:r>
      <w:r>
        <w:rPr>
          <w:rFonts w:eastAsia="仿宋_GB2312"/>
          <w:sz w:val="24"/>
        </w:rPr>
        <w:t>摄入的蛋类情况？</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②不足250克  ③250—500克  ④500克以上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309.您</w:t>
      </w:r>
      <w:r>
        <w:rPr>
          <w:rFonts w:eastAsia="仿宋_GB2312"/>
          <w:b/>
          <w:sz w:val="24"/>
        </w:rPr>
        <w:t>每周</w:t>
      </w:r>
      <w:r>
        <w:rPr>
          <w:rFonts w:eastAsia="仿宋_GB2312"/>
          <w:sz w:val="24"/>
        </w:rPr>
        <w:t>吃豆类或豆制品的情况是？</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①每天都吃  ②偶尔吃（每周3次以上）  ③很少吃（每周2次以下）</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310.您</w:t>
      </w:r>
      <w:r>
        <w:rPr>
          <w:rFonts w:eastAsia="仿宋_GB2312"/>
          <w:b/>
          <w:sz w:val="24"/>
        </w:rPr>
        <w:t>每天</w:t>
      </w:r>
      <w:r>
        <w:rPr>
          <w:rFonts w:eastAsia="仿宋_GB2312"/>
          <w:sz w:val="24"/>
        </w:rPr>
        <w:t>的饮水量的情况是？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w:t>
      </w:r>
      <w:bookmarkStart w:id="24" w:name="OLE_LINK2"/>
      <w:r>
        <w:rPr>
          <w:rFonts w:eastAsia="仿宋_GB2312"/>
          <w:sz w:val="24"/>
        </w:rPr>
        <w:t>1700毫升/天以上</w:t>
      </w:r>
      <w:bookmarkEnd w:id="24"/>
      <w:r>
        <w:rPr>
          <w:rFonts w:eastAsia="仿宋_GB2312"/>
          <w:sz w:val="24"/>
        </w:rPr>
        <w:t>（7-8杯）  ②1500-1700毫升/天</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③1500毫升/天以下    ④基本不喝</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311.您</w:t>
      </w:r>
      <w:r>
        <w:rPr>
          <w:rFonts w:eastAsia="仿宋_GB2312"/>
          <w:b/>
          <w:sz w:val="24"/>
        </w:rPr>
        <w:t>每天</w:t>
      </w:r>
      <w:r>
        <w:rPr>
          <w:rFonts w:eastAsia="仿宋_GB2312"/>
          <w:sz w:val="24"/>
        </w:rPr>
        <w:t>添加糖（指人工加入到食品中的糖类，包括饮料中的糖）的摄入情况是？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①基本不吃（25克以下）  ②25-50克/天  ③50克/天以上</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312.您饮酒的现状是？（过量饮酒：成年男（女）性每日饮酒超过葡萄酒250（150）毫升或啤酒750（450）毫升或38度白酒75g (50g)或高度白酒50g（30g））</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①不喝酒  ②偶尔喝但不过量饮酒  ③经常过量饮酒</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313.过去30天，您平均</w:t>
      </w:r>
      <w:r>
        <w:rPr>
          <w:rFonts w:eastAsia="仿宋_GB2312"/>
          <w:b/>
          <w:sz w:val="24"/>
        </w:rPr>
        <w:t>每周</w:t>
      </w:r>
      <w:r>
        <w:rPr>
          <w:rFonts w:eastAsia="仿宋_GB2312"/>
          <w:sz w:val="24"/>
        </w:rPr>
        <w:t>实用腌制或熏制食品的天数是？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①基本不吃（1天及以下）      ②2—4天    ③5天及以上</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314.您平均</w:t>
      </w:r>
      <w:r>
        <w:rPr>
          <w:rFonts w:eastAsia="仿宋_GB2312"/>
          <w:b/>
          <w:sz w:val="24"/>
        </w:rPr>
        <w:t>每周</w:t>
      </w:r>
      <w:r>
        <w:rPr>
          <w:rFonts w:eastAsia="仿宋_GB2312"/>
          <w:sz w:val="24"/>
        </w:rPr>
        <w:t>从事锻炼身体（超过30分钟）的活动时间？</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①基本不锻炼（1天及以下）    ②2-4天     ③5天及以上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315.您的主动身体活动情况是？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①10000步/天以上  ②6000-10000步/天</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③3000-6000步/天  ④3000步/天以下</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b/>
          <w:sz w:val="24"/>
        </w:rPr>
      </w:pPr>
      <w:r>
        <w:rPr>
          <w:rFonts w:eastAsia="仿宋_GB2312"/>
          <w:sz w:val="24"/>
        </w:rPr>
        <w:t xml:space="preserve"> 316.您吸烟的现状？（现在吸烟者是指调查前30天内吸过烟，且连续或累积吸烟6个月或以上者）</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①吸，现在仍在吸  ②吸过，但现在戒掉了  ③从未吸过烟 （</w:t>
      </w:r>
      <w:r>
        <w:rPr>
          <w:rFonts w:eastAsia="仿宋_GB2312"/>
          <w:b/>
          <w:sz w:val="24"/>
        </w:rPr>
        <w:t>若回答③从未吸过烟，直接跳转至问题3</w:t>
      </w:r>
      <w:r>
        <w:rPr>
          <w:rFonts w:hint="eastAsia" w:eastAsia="仿宋_GB2312"/>
          <w:b/>
          <w:sz w:val="24"/>
        </w:rPr>
        <w:t>18</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317.您吸烟的频度？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①5支以下/天  ②5-20支/天  ③20支以上/天</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318.您有没有被动吸烟情况？（被动吸烟：不吸烟者吸入吸烟者呼出的烟雾每天至少15分钟）</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①基本没有（小于1天/周）     ②2—4天/周     ③5天/周以上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319.您是否对热烫食物的摄入有主动控制？</w:t>
      </w:r>
      <w:r>
        <w:rPr>
          <w:rFonts w:eastAsia="仿宋_GB2312"/>
          <w:sz w:val="24"/>
        </w:rPr>
        <w:t xml:space="preserve">①是  ②否    </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w:t>
      </w:r>
      <w:r>
        <w:rPr>
          <w:rFonts w:hint="eastAsia" w:eastAsia="仿宋_GB2312"/>
          <w:sz w:val="24"/>
        </w:rPr>
        <w:t>20</w:t>
      </w:r>
      <w:r>
        <w:rPr>
          <w:rFonts w:eastAsia="仿宋_GB2312"/>
          <w:sz w:val="24"/>
        </w:rPr>
        <w:t>.</w:t>
      </w:r>
      <w:r>
        <w:rPr>
          <w:rFonts w:hint="eastAsia" w:eastAsia="仿宋_GB2312"/>
          <w:sz w:val="24"/>
        </w:rPr>
        <w:t>您每天食用热烫食物的频次？</w:t>
      </w:r>
      <w:r>
        <w:rPr>
          <w:rFonts w:eastAsia="仿宋_GB2312"/>
          <w:sz w:val="24"/>
        </w:rPr>
        <w:t>①</w:t>
      </w:r>
      <w:r>
        <w:rPr>
          <w:rFonts w:hint="eastAsia" w:eastAsia="仿宋_GB2312"/>
          <w:sz w:val="24"/>
        </w:rPr>
        <w:t>1次</w:t>
      </w:r>
      <w:r>
        <w:rPr>
          <w:rFonts w:eastAsia="仿宋_GB2312"/>
          <w:sz w:val="24"/>
        </w:rPr>
        <w:t xml:space="preserve">  ②2</w:t>
      </w:r>
      <w:r>
        <w:rPr>
          <w:rFonts w:hint="eastAsia" w:eastAsia="仿宋_GB2312"/>
          <w:sz w:val="24"/>
        </w:rPr>
        <w:t>次</w:t>
      </w:r>
      <w:r>
        <w:rPr>
          <w:rFonts w:eastAsia="仿宋_GB2312"/>
          <w:sz w:val="24"/>
        </w:rPr>
        <w:t xml:space="preserve">  ③</w:t>
      </w:r>
      <w:r>
        <w:rPr>
          <w:rFonts w:hint="eastAsia" w:eastAsia="仿宋_GB2312"/>
          <w:sz w:val="24"/>
        </w:rPr>
        <w:t>3次</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321.您是否对较硬食物的摄入有主动控制？</w:t>
      </w:r>
      <w:r>
        <w:rPr>
          <w:rFonts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322.您每天食用较硬食物的频次？</w:t>
      </w:r>
      <w:r>
        <w:rPr>
          <w:rFonts w:eastAsia="仿宋_GB2312"/>
          <w:sz w:val="24"/>
        </w:rPr>
        <w:t>①</w:t>
      </w:r>
      <w:r>
        <w:rPr>
          <w:rFonts w:hint="eastAsia" w:eastAsia="仿宋_GB2312"/>
          <w:sz w:val="24"/>
        </w:rPr>
        <w:t>1次</w:t>
      </w:r>
      <w:r>
        <w:rPr>
          <w:rFonts w:eastAsia="仿宋_GB2312"/>
          <w:sz w:val="24"/>
        </w:rPr>
        <w:t xml:space="preserve">  ②2</w:t>
      </w:r>
      <w:r>
        <w:rPr>
          <w:rFonts w:hint="eastAsia" w:eastAsia="仿宋_GB2312"/>
          <w:sz w:val="24"/>
        </w:rPr>
        <w:t>次</w:t>
      </w:r>
      <w:r>
        <w:rPr>
          <w:rFonts w:eastAsia="仿宋_GB2312"/>
          <w:sz w:val="24"/>
        </w:rPr>
        <w:t xml:space="preserve">  ③</w:t>
      </w:r>
      <w:r>
        <w:rPr>
          <w:rFonts w:hint="eastAsia" w:eastAsia="仿宋_GB2312"/>
          <w:sz w:val="24"/>
        </w:rPr>
        <w:t>3次</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323.</w:t>
      </w:r>
      <w:r>
        <w:rPr>
          <w:rFonts w:eastAsia="仿宋_GB2312"/>
          <w:sz w:val="24"/>
        </w:rPr>
        <w:t>您通常多长时间实行一次体检？</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①1年以内    ②2年以上    ③从未做过</w:t>
      </w:r>
    </w:p>
    <w:p>
      <w:pPr>
        <w:tabs>
          <w:tab w:val="left" w:pos="1680"/>
          <w:tab w:val="left" w:pos="2100"/>
          <w:tab w:val="left" w:pos="3360"/>
          <w:tab w:val="center" w:pos="4153"/>
        </w:tabs>
        <w:spacing w:line="440" w:lineRule="exact"/>
        <w:ind w:firstLine="120" w:firstLineChars="50"/>
        <w:rPr>
          <w:rFonts w:eastAsia="仿宋_GB2312"/>
          <w:sz w:val="24"/>
        </w:rPr>
      </w:pPr>
      <w:r>
        <w:rPr>
          <w:rFonts w:eastAsia="仿宋_GB2312"/>
          <w:sz w:val="24"/>
        </w:rPr>
        <w:t>32</w:t>
      </w:r>
      <w:r>
        <w:rPr>
          <w:rFonts w:hint="eastAsia" w:eastAsia="仿宋_GB2312"/>
          <w:sz w:val="24"/>
        </w:rPr>
        <w:t>4</w:t>
      </w:r>
      <w:r>
        <w:rPr>
          <w:rFonts w:eastAsia="仿宋_GB2312"/>
          <w:sz w:val="24"/>
        </w:rPr>
        <w:t>.近半年来，您以下哪种情绪占最主导地位？</w:t>
      </w:r>
    </w:p>
    <w:p>
      <w:pPr>
        <w:tabs>
          <w:tab w:val="left" w:pos="1680"/>
          <w:tab w:val="left" w:pos="2100"/>
          <w:tab w:val="left" w:pos="3360"/>
          <w:tab w:val="center" w:pos="4153"/>
        </w:tabs>
        <w:spacing w:line="440" w:lineRule="exact"/>
        <w:rPr>
          <w:rFonts w:eastAsia="仿宋_GB2312"/>
          <w:sz w:val="24"/>
        </w:rPr>
      </w:pPr>
      <w:r>
        <w:rPr>
          <w:rFonts w:eastAsia="仿宋_GB2312"/>
          <w:sz w:val="24"/>
        </w:rPr>
        <w:t xml:space="preserve"> ①充满希望  ②愉快  ③焦虑  ④压抑  ⑤易怒  ⑥紧张  ⑦多疑</w:t>
      </w:r>
    </w:p>
    <w:p>
      <w:pPr>
        <w:tabs>
          <w:tab w:val="left" w:pos="1215"/>
        </w:tabs>
        <w:spacing w:line="440" w:lineRule="exact"/>
        <w:rPr>
          <w:rFonts w:eastAsia="黑体"/>
          <w:sz w:val="24"/>
        </w:rPr>
      </w:pPr>
    </w:p>
    <w:p>
      <w:pPr>
        <w:tabs>
          <w:tab w:val="left" w:pos="1215"/>
        </w:tabs>
        <w:spacing w:line="440" w:lineRule="exact"/>
        <w:rPr>
          <w:rFonts w:eastAsia="黑体"/>
          <w:sz w:val="24"/>
        </w:rPr>
      </w:pPr>
    </w:p>
    <w:p>
      <w:pPr>
        <w:tabs>
          <w:tab w:val="left" w:pos="1215"/>
        </w:tabs>
        <w:spacing w:line="440" w:lineRule="exact"/>
        <w:rPr>
          <w:rFonts w:eastAsia="仿宋_GB2312"/>
          <w:sz w:val="24"/>
        </w:rPr>
      </w:pPr>
      <w:r>
        <w:rPr>
          <w:rFonts w:eastAsia="黑体"/>
          <w:sz w:val="24"/>
        </w:rPr>
        <w:t>第四部分、</w:t>
      </w:r>
      <w:r>
        <w:rPr>
          <w:rFonts w:hint="eastAsia" w:eastAsia="黑体"/>
          <w:sz w:val="24"/>
        </w:rPr>
        <w:t>慢性病规范化管理</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401</w:t>
      </w:r>
      <w:r>
        <w:rPr>
          <w:rFonts w:eastAsia="仿宋_GB2312"/>
          <w:sz w:val="24"/>
        </w:rPr>
        <w:t>.您是否有签约家庭医生服务?</w:t>
      </w:r>
      <w:r>
        <w:rPr>
          <w:rFonts w:hint="eastAsia"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402</w:t>
      </w:r>
      <w:r>
        <w:rPr>
          <w:rFonts w:eastAsia="仿宋_GB2312"/>
          <w:sz w:val="24"/>
        </w:rPr>
        <w:t>.在过去12个月的时间</w:t>
      </w:r>
      <w:r>
        <w:rPr>
          <w:rFonts w:hint="eastAsia" w:eastAsia="仿宋_GB2312"/>
          <w:sz w:val="24"/>
        </w:rPr>
        <w:t>，</w:t>
      </w:r>
      <w:r>
        <w:rPr>
          <w:rFonts w:eastAsia="仿宋_GB2312"/>
          <w:sz w:val="24"/>
        </w:rPr>
        <w:t>你是否去过社区医院或其他医院就过诊?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 xml:space="preserve">①是 </w:t>
      </w:r>
      <w:r>
        <w:rPr>
          <w:rFonts w:eastAsia="仿宋_GB2312"/>
          <w:sz w:val="24"/>
        </w:rPr>
        <w:t xml:space="preserve"> </w:t>
      </w:r>
      <w:r>
        <w:rPr>
          <w:rFonts w:hint="eastAsia" w:eastAsia="仿宋_GB2312"/>
          <w:sz w:val="24"/>
        </w:rPr>
        <w:t>②否</w:t>
      </w:r>
      <w:r>
        <w:rPr>
          <w:rFonts w:eastAsia="仿宋_GB2312"/>
          <w:sz w:val="24"/>
        </w:rPr>
        <w:t>(</w:t>
      </w:r>
      <w:r>
        <w:rPr>
          <w:rFonts w:eastAsia="仿宋_GB2312"/>
          <w:b/>
          <w:sz w:val="24"/>
        </w:rPr>
        <w:t>若回答</w:t>
      </w:r>
      <w:r>
        <w:rPr>
          <w:rFonts w:hint="eastAsia" w:eastAsia="仿宋_GB2312"/>
          <w:b/>
          <w:sz w:val="24"/>
        </w:rPr>
        <w:t>②</w:t>
      </w:r>
      <w:r>
        <w:rPr>
          <w:rFonts w:eastAsia="仿宋_GB2312"/>
          <w:b/>
          <w:sz w:val="24"/>
        </w:rPr>
        <w:t>，直接跳转至问题</w:t>
      </w:r>
      <w:r>
        <w:rPr>
          <w:rFonts w:hint="eastAsia" w:eastAsia="仿宋_GB2312"/>
          <w:b/>
          <w:sz w:val="24"/>
        </w:rPr>
        <w:t>404</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403</w:t>
      </w:r>
      <w:r>
        <w:rPr>
          <w:rFonts w:eastAsia="仿宋_GB2312"/>
          <w:sz w:val="24"/>
        </w:rPr>
        <w:t>.您去社区医院或其他医院就诊的时候</w:t>
      </w:r>
      <w:r>
        <w:rPr>
          <w:rFonts w:hint="eastAsia" w:eastAsia="仿宋_GB2312"/>
          <w:sz w:val="24"/>
        </w:rPr>
        <w:t>，</w:t>
      </w:r>
      <w:r>
        <w:rPr>
          <w:rFonts w:eastAsia="仿宋_GB2312"/>
          <w:sz w:val="24"/>
        </w:rPr>
        <w:t>是否被要求测量血压?</w:t>
      </w:r>
      <w:r>
        <w:rPr>
          <w:rFonts w:hint="eastAsia"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404</w:t>
      </w:r>
      <w:r>
        <w:rPr>
          <w:rFonts w:eastAsia="仿宋_GB2312"/>
          <w:sz w:val="24"/>
        </w:rPr>
        <w:t>.医务人员上一次给你测量血压是什么时间?</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①过去</w:t>
      </w:r>
      <w:r>
        <w:rPr>
          <w:rFonts w:eastAsia="仿宋_GB2312"/>
          <w:sz w:val="24"/>
        </w:rPr>
        <w:t>12个月以内②1-5年以内③5年以内未测量过⑨不知道</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.过去是否有医生或其他医务人员曾经告知您有血压升高或患高血压吗?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①是②否</w:t>
      </w:r>
      <w:r>
        <w:rPr>
          <w:rFonts w:eastAsia="仿宋_GB2312"/>
          <w:sz w:val="24"/>
        </w:rPr>
        <w:t>(</w:t>
      </w:r>
      <w:r>
        <w:rPr>
          <w:rFonts w:eastAsia="仿宋_GB2312"/>
          <w:b/>
          <w:sz w:val="24"/>
        </w:rPr>
        <w:t>若回答</w:t>
      </w:r>
      <w:r>
        <w:rPr>
          <w:rFonts w:hint="eastAsia" w:eastAsia="仿宋_GB2312"/>
          <w:b/>
          <w:sz w:val="24"/>
        </w:rPr>
        <w:t>②</w:t>
      </w:r>
      <w:r>
        <w:rPr>
          <w:rFonts w:eastAsia="仿宋_GB2312"/>
          <w:b/>
          <w:sz w:val="24"/>
        </w:rPr>
        <w:t>，直接跳转至问题</w:t>
      </w:r>
      <w:r>
        <w:rPr>
          <w:rFonts w:hint="eastAsia" w:eastAsia="仿宋_GB2312"/>
          <w:b/>
          <w:sz w:val="24"/>
        </w:rPr>
        <w:t>406</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01.</w:t>
      </w:r>
      <w:r>
        <w:rPr>
          <w:rFonts w:eastAsia="仿宋_GB2312"/>
          <w:sz w:val="24"/>
        </w:rPr>
        <w:t>目前医生或其他医务人员给过你下列任何针对血压升高的治疗或建议吗?(多选)</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①过去</w:t>
      </w:r>
      <w:r>
        <w:rPr>
          <w:rFonts w:eastAsia="仿宋_GB2312"/>
          <w:sz w:val="24"/>
        </w:rPr>
        <w:t>2周你使用过药物治疗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②特别的处方膳食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③减低体重的建议或治疗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④戒烟的建议或治疗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⑤开始进行或多做锻炼的建议</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405.02</w:t>
      </w:r>
      <w:r>
        <w:rPr>
          <w:rFonts w:eastAsia="仿宋_GB2312"/>
          <w:sz w:val="24"/>
        </w:rPr>
        <w:t>.过去12个月里,社区医生对您进行高血压病情随访的次数?</w:t>
      </w:r>
      <w:r>
        <w:rPr>
          <w:rFonts w:hint="eastAsia" w:eastAsia="仿宋_GB2312"/>
          <w:sz w:val="24"/>
        </w:rPr>
        <w:t>___次</w:t>
      </w:r>
      <w:r>
        <w:rPr>
          <w:rFonts w:eastAsia="仿宋_GB2312"/>
          <w:sz w:val="24"/>
        </w:rPr>
        <w:t>(</w:t>
      </w:r>
      <w:r>
        <w:rPr>
          <w:rFonts w:eastAsia="仿宋_GB2312"/>
          <w:b/>
          <w:sz w:val="24"/>
        </w:rPr>
        <w:t>若</w:t>
      </w:r>
      <w:r>
        <w:rPr>
          <w:rFonts w:hint="eastAsia" w:eastAsia="仿宋_GB2312"/>
          <w:b/>
          <w:sz w:val="24"/>
        </w:rPr>
        <w:t>无请填0</w:t>
      </w:r>
      <w:r>
        <w:rPr>
          <w:rFonts w:eastAsia="仿宋_GB2312"/>
          <w:b/>
          <w:sz w:val="24"/>
        </w:rPr>
        <w:t>，直接跳转至问题</w:t>
      </w:r>
      <w:r>
        <w:rPr>
          <w:rFonts w:hint="eastAsia" w:eastAsia="仿宋_GB2312"/>
          <w:b/>
          <w:sz w:val="24"/>
        </w:rPr>
        <w:t>406</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03.</w:t>
      </w:r>
      <w:r>
        <w:rPr>
          <w:rFonts w:eastAsia="仿宋_GB2312"/>
          <w:sz w:val="24"/>
        </w:rPr>
        <w:t>社区医生平均每次随访时间?</w:t>
      </w:r>
      <w:r>
        <w:rPr>
          <w:rFonts w:hint="eastAsia" w:eastAsia="仿宋_GB2312"/>
          <w:sz w:val="24"/>
        </w:rPr>
        <w:t>___</w:t>
      </w:r>
      <w:r>
        <w:rPr>
          <w:rFonts w:eastAsia="仿宋_GB2312"/>
          <w:sz w:val="24"/>
        </w:rPr>
        <w:t>分钟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04.</w:t>
      </w:r>
      <w:r>
        <w:rPr>
          <w:rFonts w:eastAsia="仿宋_GB2312"/>
          <w:sz w:val="24"/>
        </w:rPr>
        <w:t>过去12个月里,社区医生为您随访的主要形式?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①入户随访②门诊随访③电话随访④集体随访⑤其他</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05.</w:t>
      </w:r>
      <w:r>
        <w:rPr>
          <w:rFonts w:eastAsia="仿宋_GB2312"/>
          <w:sz w:val="24"/>
        </w:rPr>
        <w:t>您对社区医生的随访是否满意?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①非常满意②满意③一般④不满意⑤非常不满意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w:t>
      </w:r>
      <w:r>
        <w:rPr>
          <w:rFonts w:eastAsia="仿宋_GB2312"/>
          <w:sz w:val="24"/>
        </w:rPr>
        <w:t>.过去是否有医生或其他医务人员曾经告知你患有糖尿病吗?</w:t>
      </w:r>
      <w:r>
        <w:rPr>
          <w:rFonts w:hint="eastAsia" w:eastAsia="仿宋_GB2312"/>
          <w:sz w:val="24"/>
        </w:rPr>
        <w:t>①是  ②否</w:t>
      </w:r>
      <w:r>
        <w:rPr>
          <w:rFonts w:eastAsia="仿宋_GB2312"/>
          <w:sz w:val="24"/>
        </w:rPr>
        <w:t>(</w:t>
      </w:r>
      <w:r>
        <w:rPr>
          <w:rFonts w:eastAsia="仿宋_GB2312"/>
          <w:b/>
          <w:sz w:val="24"/>
        </w:rPr>
        <w:t>若回答</w:t>
      </w:r>
      <w:r>
        <w:rPr>
          <w:rFonts w:hint="eastAsia" w:eastAsia="仿宋_GB2312"/>
          <w:b/>
          <w:sz w:val="24"/>
        </w:rPr>
        <w:t>②</w:t>
      </w:r>
      <w:r>
        <w:rPr>
          <w:rFonts w:eastAsia="仿宋_GB2312"/>
          <w:b/>
          <w:sz w:val="24"/>
        </w:rPr>
        <w:t>，直接跳转至问题</w:t>
      </w:r>
      <w:r>
        <w:rPr>
          <w:rFonts w:hint="eastAsia" w:eastAsia="仿宋_GB2312"/>
          <w:b/>
          <w:sz w:val="24"/>
        </w:rPr>
        <w:t>407</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406.01</w:t>
      </w:r>
      <w:r>
        <w:rPr>
          <w:rFonts w:eastAsia="仿宋_GB2312"/>
          <w:sz w:val="24"/>
        </w:rPr>
        <w:t>.在过去12个月的时间里你曾经测量过血糖吗?</w:t>
      </w:r>
      <w:r>
        <w:rPr>
          <w:rFonts w:hint="eastAsia"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406.02</w:t>
      </w:r>
      <w:r>
        <w:rPr>
          <w:rFonts w:eastAsia="仿宋_GB2312"/>
          <w:sz w:val="24"/>
        </w:rPr>
        <w:t>.目前医生或其他医务人员给过你下列任何针对糖尿病的治疗及建议吗?(多选)</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①过去</w:t>
      </w:r>
      <w:r>
        <w:rPr>
          <w:rFonts w:eastAsia="仿宋_GB2312"/>
          <w:sz w:val="24"/>
        </w:rPr>
        <w:t>2周你使用过口服药物治疗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②特别的处方膳食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③减低体重的建议或治疗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④戒烟的建议或治疗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⑤开始进行或多做锻炼的建议</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406.03</w:t>
      </w:r>
      <w:r>
        <w:rPr>
          <w:rFonts w:eastAsia="仿宋_GB2312"/>
          <w:sz w:val="24"/>
        </w:rPr>
        <w:t>.过去12个月里,社区医生是否对您进行糖尿病病情随访的次数?</w:t>
      </w:r>
      <w:r>
        <w:rPr>
          <w:rFonts w:hint="eastAsia" w:eastAsia="仿宋_GB2312"/>
          <w:sz w:val="24"/>
        </w:rPr>
        <w:t>___次</w:t>
      </w:r>
      <w:r>
        <w:rPr>
          <w:rFonts w:eastAsia="仿宋_GB2312"/>
          <w:sz w:val="24"/>
        </w:rPr>
        <w:t>(</w:t>
      </w:r>
      <w:r>
        <w:rPr>
          <w:rFonts w:eastAsia="仿宋_GB2312"/>
          <w:b/>
          <w:sz w:val="24"/>
        </w:rPr>
        <w:t>若</w:t>
      </w:r>
      <w:r>
        <w:rPr>
          <w:rFonts w:hint="eastAsia" w:eastAsia="仿宋_GB2312"/>
          <w:b/>
          <w:sz w:val="24"/>
        </w:rPr>
        <w:t>无请填0</w:t>
      </w:r>
      <w:r>
        <w:rPr>
          <w:rFonts w:eastAsia="仿宋_GB2312"/>
          <w:b/>
          <w:sz w:val="24"/>
        </w:rPr>
        <w:t>，直接跳转至问题</w:t>
      </w:r>
      <w:r>
        <w:rPr>
          <w:rFonts w:hint="eastAsia" w:eastAsia="仿宋_GB2312"/>
          <w:b/>
          <w:sz w:val="24"/>
        </w:rPr>
        <w:t>407</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406.04</w:t>
      </w:r>
      <w:r>
        <w:rPr>
          <w:rFonts w:eastAsia="仿宋_GB2312"/>
          <w:sz w:val="24"/>
        </w:rPr>
        <w:t>.社区医生平均每次随访时间?</w:t>
      </w:r>
      <w:r>
        <w:rPr>
          <w:rFonts w:hint="eastAsia" w:eastAsia="仿宋_GB2312"/>
          <w:sz w:val="24"/>
        </w:rPr>
        <w:t>___</w:t>
      </w:r>
      <w:r>
        <w:rPr>
          <w:rFonts w:eastAsia="仿宋_GB2312"/>
          <w:sz w:val="24"/>
        </w:rPr>
        <w:t>分钟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406.05</w:t>
      </w:r>
      <w:r>
        <w:rPr>
          <w:rFonts w:eastAsia="仿宋_GB2312"/>
          <w:sz w:val="24"/>
        </w:rPr>
        <w:t>.过去12个月里,社区医生为您随访的主要形式?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 xml:space="preserve">①入户随访 </w:t>
      </w:r>
      <w:r>
        <w:rPr>
          <w:rFonts w:eastAsia="仿宋_GB2312"/>
          <w:sz w:val="24"/>
        </w:rPr>
        <w:t xml:space="preserve"> </w:t>
      </w:r>
      <w:r>
        <w:rPr>
          <w:rFonts w:hint="eastAsia" w:eastAsia="仿宋_GB2312"/>
          <w:sz w:val="24"/>
        </w:rPr>
        <w:t xml:space="preserve">②门诊随访 </w:t>
      </w:r>
      <w:r>
        <w:rPr>
          <w:rFonts w:eastAsia="仿宋_GB2312"/>
          <w:sz w:val="24"/>
        </w:rPr>
        <w:t xml:space="preserve"> </w:t>
      </w:r>
      <w:r>
        <w:rPr>
          <w:rFonts w:hint="eastAsia" w:eastAsia="仿宋_GB2312"/>
          <w:sz w:val="24"/>
        </w:rPr>
        <w:t xml:space="preserve">③电话随访 </w:t>
      </w:r>
      <w:r>
        <w:rPr>
          <w:rFonts w:eastAsia="仿宋_GB2312"/>
          <w:sz w:val="24"/>
        </w:rPr>
        <w:t xml:space="preserve"> </w:t>
      </w:r>
      <w:r>
        <w:rPr>
          <w:rFonts w:hint="eastAsia" w:eastAsia="仿宋_GB2312"/>
          <w:sz w:val="24"/>
        </w:rPr>
        <w:t xml:space="preserve">④集体随访 </w:t>
      </w:r>
      <w:r>
        <w:rPr>
          <w:rFonts w:eastAsia="仿宋_GB2312"/>
          <w:sz w:val="24"/>
        </w:rPr>
        <w:t xml:space="preserve"> </w:t>
      </w:r>
      <w:r>
        <w:rPr>
          <w:rFonts w:hint="eastAsia" w:eastAsia="仿宋_GB2312"/>
          <w:sz w:val="24"/>
        </w:rPr>
        <w:t>⑤其他</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406.06</w:t>
      </w:r>
      <w:r>
        <w:rPr>
          <w:rFonts w:eastAsia="仿宋_GB2312"/>
          <w:sz w:val="24"/>
        </w:rPr>
        <w:t>.您对社区医生的随访是否满意?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①非常满意②满意③一般④不满意⑤非常不满意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407</w:t>
      </w:r>
      <w:r>
        <w:rPr>
          <w:rFonts w:eastAsia="仿宋_GB2312"/>
          <w:sz w:val="24"/>
        </w:rPr>
        <w:t>.(只针对女性)您曾经是否做过宫颈癌筛查,采用醋酸染色肉眼观察法、巴氏涂片法或HPV</w:t>
      </w:r>
      <w:r>
        <w:rPr>
          <w:rFonts w:hint="eastAsia" w:eastAsia="仿宋_GB2312"/>
          <w:sz w:val="24"/>
        </w:rPr>
        <w:t>、</w:t>
      </w:r>
      <w:r>
        <w:rPr>
          <w:rFonts w:eastAsia="仿宋_GB2312"/>
          <w:sz w:val="24"/>
        </w:rPr>
        <w:t>DNA检测等方法?</w:t>
      </w:r>
      <w:r>
        <w:rPr>
          <w:rFonts w:hint="eastAsia" w:eastAsia="仿宋_GB2312"/>
          <w:sz w:val="24"/>
        </w:rPr>
        <w:t>①是②否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8"/>
          <w:szCs w:val="28"/>
        </w:rPr>
      </w:pPr>
      <w:r>
        <w:rPr>
          <w:rFonts w:hint="eastAsia" w:eastAsia="仿宋_GB2312"/>
          <w:sz w:val="24"/>
        </w:rPr>
        <w:t>408</w:t>
      </w:r>
      <w:r>
        <w:rPr>
          <w:rFonts w:eastAsia="仿宋_GB2312"/>
          <w:sz w:val="24"/>
        </w:rPr>
        <w:t>.在过去12个月,您是否接受过肿瘤普查或筛查?</w:t>
      </w:r>
      <w:r>
        <w:rPr>
          <w:rFonts w:hint="eastAsia" w:eastAsia="仿宋_GB2312"/>
          <w:sz w:val="24"/>
        </w:rPr>
        <w:t>①是②否</w:t>
      </w: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ind w:right="260"/>
        <w:rPr>
          <w:sz w:val="18"/>
        </w:rPr>
      </w:pPr>
    </w:p>
    <w:p>
      <w:pPr>
        <w:jc w:val="right"/>
        <w:rPr>
          <w:sz w:val="18"/>
        </w:rPr>
        <w:sectPr>
          <w:headerReference r:id="rId4" w:type="first"/>
          <w:footerReference r:id="rId6" w:type="first"/>
          <w:headerReference r:id="rId3" w:type="default"/>
          <w:footerReference r:id="rId5" w:type="default"/>
          <w:pgSz w:w="11910" w:h="16840"/>
          <w:pgMar w:top="1540" w:right="1540" w:bottom="280" w:left="1680" w:header="720" w:footer="720" w:gutter="0"/>
          <w:cols w:space="720" w:num="1"/>
        </w:sectPr>
      </w:pPr>
    </w:p>
    <w:p>
      <w:pPr>
        <w:tabs>
          <w:tab w:val="left" w:pos="1323"/>
          <w:tab w:val="left" w:pos="2962"/>
          <w:tab w:val="left" w:pos="4603"/>
          <w:tab w:val="left" w:pos="6852"/>
          <w:tab w:val="left" w:pos="10455"/>
          <w:tab w:val="left" w:pos="13697"/>
          <w:tab w:val="left" w:pos="15295"/>
        </w:tabs>
        <w:spacing w:before="14"/>
        <w:ind w:left="221" w:firstLine="560" w:firstLineChars="200"/>
        <w:jc w:val="center"/>
        <w:rPr>
          <w:sz w:val="18"/>
        </w:rPr>
      </w:pPr>
      <w:r>
        <w:rPr>
          <w:rFonts w:eastAsia="黑体"/>
          <w:sz w:val="28"/>
          <w:szCs w:val="28"/>
        </w:rPr>
        <w:t>第五部分、慢性病防控核心信息知晓情况</w:t>
      </w:r>
    </w:p>
    <w:tbl>
      <w:tblPr>
        <w:tblStyle w:val="9"/>
        <w:tblW w:w="0" w:type="auto"/>
        <w:jc w:val="center"/>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
      <w:tblGrid>
        <w:gridCol w:w="2932"/>
        <w:gridCol w:w="3530"/>
        <w:gridCol w:w="3231"/>
        <w:gridCol w:w="3231"/>
        <w:gridCol w:w="3231"/>
      </w:tblGrid>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1011" w:hRule="atLeast"/>
          <w:jc w:val="center"/>
        </w:trPr>
        <w:tc>
          <w:tcPr>
            <w:tcW w:w="2932" w:type="dxa"/>
            <w:shd w:val="clear" w:color="auto" w:fill="DCE3E1"/>
            <w:vAlign w:val="center"/>
          </w:tcPr>
          <w:p>
            <w:pPr>
              <w:pStyle w:val="21"/>
              <w:spacing w:line="240" w:lineRule="exact"/>
              <w:ind w:right="87"/>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501.</w:t>
            </w:r>
            <w:r>
              <w:rPr>
                <w:rFonts w:ascii="Times New Roman" w:hAnsi="Times New Roman" w:eastAsia="仿宋" w:cs="Times New Roman"/>
                <w:b/>
                <w:w w:val="95"/>
                <w:sz w:val="20"/>
                <w:szCs w:val="22"/>
              </w:rPr>
              <w:t>心脑血管病、癌症、糖尿病和慢性呼吸系统疾病严重危害人群健康，给个人、家庭和社会带来沉重负担，对</w:t>
            </w:r>
            <w:r>
              <w:rPr>
                <w:rFonts w:ascii="Times New Roman" w:hAnsi="Times New Roman" w:eastAsia="仿宋" w:cs="Times New Roman"/>
                <w:b/>
                <w:sz w:val="20"/>
                <w:szCs w:val="22"/>
              </w:rPr>
              <w:t>吗？（单选）</w:t>
            </w:r>
          </w:p>
        </w:tc>
        <w:tc>
          <w:tcPr>
            <w:tcW w:w="3530" w:type="dxa"/>
            <w:shd w:val="clear" w:color="auto" w:fill="DCE3E1"/>
            <w:vAlign w:val="center"/>
          </w:tcPr>
          <w:p>
            <w:pPr>
              <w:pStyle w:val="21"/>
              <w:spacing w:before="6" w:line="213" w:lineRule="auto"/>
              <w:ind w:left="107" w:right="84"/>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2.下列哪些生活方式可以有效预防慢</w:t>
            </w:r>
            <w:r>
              <w:rPr>
                <w:rFonts w:ascii="Times New Roman" w:hAnsi="Times New Roman" w:eastAsia="仿宋" w:cs="Times New Roman"/>
                <w:b/>
                <w:sz w:val="20"/>
                <w:szCs w:val="22"/>
              </w:rPr>
              <w:t>性病？（可多选）</w:t>
            </w:r>
          </w:p>
        </w:tc>
        <w:tc>
          <w:tcPr>
            <w:tcW w:w="3231" w:type="dxa"/>
            <w:shd w:val="clear" w:color="auto" w:fill="DCE3E1"/>
            <w:vAlign w:val="center"/>
          </w:tcPr>
          <w:p>
            <w:pPr>
              <w:pStyle w:val="21"/>
              <w:spacing w:before="6" w:line="213" w:lineRule="auto"/>
              <w:ind w:left="107" w:right="85"/>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3.吸烟可能增加下列哪些慢性病</w:t>
            </w:r>
            <w:r>
              <w:rPr>
                <w:rFonts w:ascii="Times New Roman" w:hAnsi="Times New Roman" w:eastAsia="仿宋" w:cs="Times New Roman"/>
                <w:b/>
                <w:sz w:val="20"/>
                <w:szCs w:val="22"/>
              </w:rPr>
              <w:t>的患病风险？（可多选）</w:t>
            </w:r>
          </w:p>
        </w:tc>
        <w:tc>
          <w:tcPr>
            <w:tcW w:w="3231" w:type="dxa"/>
            <w:shd w:val="clear" w:color="auto" w:fill="DCE3E1"/>
            <w:vAlign w:val="center"/>
          </w:tcPr>
          <w:p>
            <w:pPr>
              <w:pStyle w:val="21"/>
              <w:spacing w:before="6" w:line="213" w:lineRule="auto"/>
              <w:ind w:right="29"/>
              <w:rPr>
                <w:rFonts w:ascii="Times New Roman" w:hAnsi="Times New Roman" w:eastAsia="仿宋" w:cs="Times New Roman"/>
                <w:b/>
                <w:sz w:val="20"/>
                <w:szCs w:val="22"/>
              </w:rPr>
            </w:pPr>
            <w:r>
              <w:rPr>
                <w:rFonts w:ascii="Times New Roman" w:hAnsi="Times New Roman" w:eastAsia="仿宋" w:cs="Times New Roman"/>
                <w:b/>
                <w:sz w:val="20"/>
                <w:szCs w:val="22"/>
                <w:lang w:val="en-US"/>
              </w:rPr>
              <w:t>50</w:t>
            </w:r>
            <w:r>
              <w:rPr>
                <w:rFonts w:ascii="Times New Roman" w:hAnsi="Times New Roman" w:eastAsia="仿宋" w:cs="Times New Roman"/>
                <w:b/>
                <w:sz w:val="20"/>
                <w:szCs w:val="22"/>
              </w:rPr>
              <w:t>4.合理膳食的要点有哪些？（可多选）</w:t>
            </w:r>
          </w:p>
        </w:tc>
        <w:tc>
          <w:tcPr>
            <w:tcW w:w="3231" w:type="dxa"/>
            <w:shd w:val="clear" w:color="auto" w:fill="DCE3E1"/>
            <w:vAlign w:val="center"/>
          </w:tcPr>
          <w:p>
            <w:pPr>
              <w:pStyle w:val="21"/>
              <w:spacing w:before="6" w:line="213" w:lineRule="auto"/>
              <w:ind w:right="86"/>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5.目前我国健康成年人每日食盐推</w:t>
            </w:r>
            <w:r>
              <w:rPr>
                <w:rFonts w:ascii="Times New Roman" w:hAnsi="Times New Roman" w:eastAsia="仿宋" w:cs="Times New Roman"/>
                <w:b/>
                <w:sz w:val="20"/>
                <w:szCs w:val="22"/>
              </w:rPr>
              <w:t>荐摄入量是多少克？（单选）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1440" w:hRule="atLeast"/>
          <w:jc w:val="center"/>
        </w:trPr>
        <w:tc>
          <w:tcPr>
            <w:tcW w:w="2932" w:type="dxa"/>
            <w:shd w:val="clear" w:color="auto" w:fill="FDFDFD"/>
            <w:vAlign w:val="center"/>
          </w:tcPr>
          <w:p>
            <w:pPr>
              <w:pStyle w:val="21"/>
              <w:spacing w:before="12"/>
              <w:rPr>
                <w:rFonts w:ascii="Times New Roman" w:hAnsi="Times New Roman" w:eastAsia="仿宋" w:cs="Times New Roman"/>
                <w:sz w:val="18"/>
              </w:rPr>
            </w:pPr>
            <w:r>
              <w:rPr>
                <w:rFonts w:hint="eastAsia" w:ascii="Times New Roman" w:hAnsi="Times New Roman" w:eastAsia="仿宋" w:cs="Times New Roman"/>
                <w:sz w:val="18"/>
                <w:lang w:val="en-US"/>
              </w:rPr>
              <w:t>①</w:t>
            </w:r>
            <w:r>
              <w:rPr>
                <w:rFonts w:ascii="Times New Roman" w:hAnsi="Times New Roman" w:eastAsia="仿宋" w:cs="Times New Roman"/>
                <w:sz w:val="18"/>
              </w:rPr>
              <w:t xml:space="preserve"> 对</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rPr>
              <w:t xml:space="preserve"> 不对</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lang w:val="en-US"/>
              </w:rPr>
              <w:t>③</w:t>
            </w:r>
            <w:r>
              <w:rPr>
                <w:rFonts w:ascii="Times New Roman" w:hAnsi="Times New Roman" w:eastAsia="仿宋" w:cs="Times New Roman"/>
                <w:sz w:val="18"/>
              </w:rPr>
              <w:t xml:space="preserve"> 不知道</w:t>
            </w:r>
          </w:p>
        </w:tc>
        <w:tc>
          <w:tcPr>
            <w:tcW w:w="3530" w:type="dxa"/>
            <w:shd w:val="clear" w:color="auto" w:fill="EFEFEF"/>
            <w:vAlign w:val="center"/>
          </w:tcPr>
          <w:p>
            <w:pPr>
              <w:pStyle w:val="21"/>
              <w:spacing w:before="12"/>
              <w:ind w:left="107"/>
              <w:rPr>
                <w:rFonts w:ascii="Times New Roman" w:hAnsi="Times New Roman" w:eastAsia="仿宋" w:cs="Times New Roman"/>
                <w:sz w:val="18"/>
              </w:rPr>
            </w:pPr>
            <w:r>
              <w:rPr>
                <w:rFonts w:hint="eastAsia" w:ascii="Times New Roman" w:hAnsi="Times New Roman" w:eastAsia="仿宋" w:cs="Times New Roman"/>
                <w:sz w:val="18"/>
                <w:lang w:val="en-US"/>
              </w:rPr>
              <w:t>①</w:t>
            </w:r>
            <w:r>
              <w:rPr>
                <w:rFonts w:ascii="Times New Roman" w:hAnsi="Times New Roman" w:eastAsia="仿宋" w:cs="Times New Roman"/>
                <w:sz w:val="18"/>
              </w:rPr>
              <w:t xml:space="preserve"> 不吸烟或避免二手烟</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rPr>
              <w:t xml:space="preserve"> 不饮酒</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规律运动</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保持心理健康</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合理膳食</w:t>
            </w:r>
          </w:p>
        </w:tc>
        <w:tc>
          <w:tcPr>
            <w:tcW w:w="3231" w:type="dxa"/>
            <w:shd w:val="clear" w:color="auto" w:fill="FDFDFD"/>
            <w:vAlign w:val="center"/>
          </w:tcPr>
          <w:p>
            <w:pPr>
              <w:pStyle w:val="21"/>
              <w:spacing w:before="12"/>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pacing w:val="4"/>
                <w:sz w:val="18"/>
              </w:rPr>
              <w:t xml:space="preserve"> </w:t>
            </w:r>
            <w:r>
              <w:rPr>
                <w:rFonts w:ascii="Times New Roman" w:hAnsi="Times New Roman" w:eastAsia="仿宋" w:cs="Times New Roman"/>
                <w:sz w:val="18"/>
              </w:rPr>
              <w:t>脑血管疾病</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心血管疾病</w:t>
            </w:r>
          </w:p>
          <w:p>
            <w:pPr>
              <w:pStyle w:val="21"/>
              <w:spacing w:before="10" w:line="249" w:lineRule="auto"/>
              <w:ind w:left="107" w:right="95"/>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哮喘、慢性阻塞性肺疾病等慢性呼吸系统疾病</w:t>
            </w:r>
          </w:p>
          <w:p>
            <w:pPr>
              <w:pStyle w:val="21"/>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2型糖尿病</w:t>
            </w:r>
          </w:p>
          <w:p>
            <w:pPr>
              <w:pStyle w:val="21"/>
              <w:spacing w:before="10" w:line="208" w:lineRule="exact"/>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多种癌症</w:t>
            </w:r>
          </w:p>
        </w:tc>
        <w:tc>
          <w:tcPr>
            <w:tcW w:w="3231" w:type="dxa"/>
            <w:shd w:val="clear" w:color="auto" w:fill="EFEFEF"/>
            <w:vAlign w:val="center"/>
          </w:tcPr>
          <w:p>
            <w:pPr>
              <w:pStyle w:val="21"/>
              <w:spacing w:before="12"/>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食物多样</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rPr>
              <w:t xml:space="preserve"> 谷薯类为主</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多吃蔬菜、水果、奶类、豆类</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适量吃鱼、禽、蛋、瘦肉</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少盐少油，控糖限酒</w:t>
            </w:r>
          </w:p>
        </w:tc>
        <w:tc>
          <w:tcPr>
            <w:tcW w:w="3231" w:type="dxa"/>
            <w:shd w:val="clear" w:color="auto" w:fill="FDFDFD"/>
            <w:vAlign w:val="center"/>
          </w:tcPr>
          <w:p>
            <w:pPr>
              <w:pStyle w:val="21"/>
              <w:spacing w:before="12"/>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不高于</w:t>
            </w:r>
            <w:r>
              <w:rPr>
                <w:rFonts w:ascii="Times New Roman" w:hAnsi="Times New Roman" w:eastAsia="仿宋" w:cs="Times New Roman"/>
                <w:sz w:val="18"/>
                <w:lang w:val="en-US"/>
              </w:rPr>
              <w:t>5</w:t>
            </w:r>
            <w:r>
              <w:rPr>
                <w:rFonts w:ascii="Times New Roman" w:hAnsi="Times New Roman" w:eastAsia="仿宋" w:cs="Times New Roman"/>
                <w:sz w:val="18"/>
              </w:rPr>
              <w:t>克</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lang w:val="en-US"/>
              </w:rPr>
              <w:t xml:space="preserve"> 7-8</w:t>
            </w:r>
            <w:r>
              <w:rPr>
                <w:rFonts w:ascii="Times New Roman" w:hAnsi="Times New Roman" w:eastAsia="仿宋" w:cs="Times New Roman"/>
                <w:sz w:val="18"/>
              </w:rPr>
              <w:t>克</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9-10克</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大于10克</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不知道</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720" w:hRule="atLeast"/>
          <w:jc w:val="center"/>
        </w:trPr>
        <w:tc>
          <w:tcPr>
            <w:tcW w:w="2932" w:type="dxa"/>
            <w:shd w:val="clear" w:color="auto" w:fill="EDEBE0"/>
            <w:vAlign w:val="center"/>
          </w:tcPr>
          <w:p>
            <w:pPr>
              <w:pStyle w:val="21"/>
              <w:spacing w:line="240" w:lineRule="exact"/>
              <w:ind w:right="89"/>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6.目前我国健康成年人每日食用油推荐摄入量是多少</w:t>
            </w:r>
            <w:r>
              <w:rPr>
                <w:rFonts w:ascii="Times New Roman" w:hAnsi="Times New Roman" w:eastAsia="仿宋" w:cs="Times New Roman"/>
                <w:b/>
                <w:sz w:val="20"/>
                <w:szCs w:val="22"/>
              </w:rPr>
              <w:t>克？（单选）</w:t>
            </w:r>
          </w:p>
        </w:tc>
        <w:tc>
          <w:tcPr>
            <w:tcW w:w="3530" w:type="dxa"/>
            <w:shd w:val="clear" w:color="auto" w:fill="EDEBE0"/>
            <w:vAlign w:val="center"/>
          </w:tcPr>
          <w:p>
            <w:pPr>
              <w:pStyle w:val="21"/>
              <w:spacing w:before="5" w:line="213" w:lineRule="auto"/>
              <w:ind w:left="107" w:right="84"/>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7.下列关于口腔健康行为的说法哪些</w:t>
            </w:r>
            <w:r>
              <w:rPr>
                <w:rFonts w:ascii="Times New Roman" w:hAnsi="Times New Roman" w:eastAsia="仿宋" w:cs="Times New Roman"/>
                <w:b/>
                <w:sz w:val="20"/>
                <w:szCs w:val="22"/>
              </w:rPr>
              <w:t>是正确的？（可多选）</w:t>
            </w:r>
          </w:p>
        </w:tc>
        <w:tc>
          <w:tcPr>
            <w:tcW w:w="3231" w:type="dxa"/>
            <w:shd w:val="clear" w:color="auto" w:fill="EDEBE0"/>
            <w:vAlign w:val="center"/>
          </w:tcPr>
          <w:p>
            <w:pPr>
              <w:pStyle w:val="21"/>
              <w:spacing w:before="5" w:line="213" w:lineRule="auto"/>
              <w:ind w:left="107" w:right="85"/>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8.下列哪些因素可能增加患骨质</w:t>
            </w:r>
            <w:r>
              <w:rPr>
                <w:rFonts w:ascii="Times New Roman" w:hAnsi="Times New Roman" w:eastAsia="仿宋" w:cs="Times New Roman"/>
                <w:b/>
                <w:sz w:val="20"/>
                <w:szCs w:val="22"/>
              </w:rPr>
              <w:t>疏松的风险？（可多选）</w:t>
            </w:r>
          </w:p>
        </w:tc>
        <w:tc>
          <w:tcPr>
            <w:tcW w:w="3231" w:type="dxa"/>
            <w:shd w:val="clear" w:color="auto" w:fill="EDEBE0"/>
            <w:vAlign w:val="center"/>
          </w:tcPr>
          <w:p>
            <w:pPr>
              <w:pStyle w:val="21"/>
              <w:spacing w:before="5" w:line="213" w:lineRule="auto"/>
              <w:ind w:right="88"/>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9.以下哪个指标不能评价成年人</w:t>
            </w:r>
            <w:r>
              <w:rPr>
                <w:rFonts w:ascii="Times New Roman" w:hAnsi="Times New Roman" w:eastAsia="仿宋" w:cs="Times New Roman"/>
                <w:b/>
                <w:sz w:val="20"/>
                <w:szCs w:val="22"/>
              </w:rPr>
              <w:t>是否肥胖？（单选）</w:t>
            </w:r>
          </w:p>
        </w:tc>
        <w:tc>
          <w:tcPr>
            <w:tcW w:w="3231" w:type="dxa"/>
            <w:shd w:val="clear" w:color="auto" w:fill="EDEBE0"/>
            <w:vAlign w:val="center"/>
          </w:tcPr>
          <w:p>
            <w:pPr>
              <w:pStyle w:val="21"/>
              <w:spacing w:before="5" w:line="213" w:lineRule="auto"/>
              <w:ind w:right="86"/>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10.18 岁及以上成年人的高血压诊断标准是多少?（单选）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1666" w:hRule="atLeast"/>
          <w:jc w:val="center"/>
        </w:trPr>
        <w:tc>
          <w:tcPr>
            <w:tcW w:w="2932" w:type="dxa"/>
            <w:shd w:val="clear" w:color="auto" w:fill="FDFDFD"/>
            <w:vAlign w:val="center"/>
          </w:tcPr>
          <w:p>
            <w:pPr>
              <w:pStyle w:val="21"/>
              <w:spacing w:before="14"/>
              <w:rPr>
                <w:rFonts w:ascii="Times New Roman" w:hAnsi="Times New Roman" w:eastAsia="仿宋" w:cs="Times New Roman"/>
                <w:sz w:val="18"/>
                <w:lang w:val="en-US"/>
              </w:rPr>
            </w:pPr>
            <w:r>
              <w:rPr>
                <w:rFonts w:hint="eastAsia" w:ascii="Times New Roman" w:hAnsi="Times New Roman" w:eastAsia="仿宋" w:cs="Times New Roman"/>
                <w:sz w:val="18"/>
                <w:lang w:val="en-US"/>
              </w:rPr>
              <w:t>①</w:t>
            </w:r>
            <w:r>
              <w:rPr>
                <w:rFonts w:ascii="Times New Roman" w:hAnsi="Times New Roman" w:eastAsia="仿宋" w:cs="Times New Roman"/>
                <w:sz w:val="18"/>
                <w:lang w:val="en-US"/>
              </w:rPr>
              <w:t xml:space="preserve"> </w:t>
            </w:r>
            <w:r>
              <w:rPr>
                <w:rFonts w:ascii="Times New Roman" w:hAnsi="Times New Roman" w:eastAsia="仿宋" w:cs="Times New Roman"/>
                <w:sz w:val="18"/>
              </w:rPr>
              <w:t>不高于</w:t>
            </w:r>
            <w:r>
              <w:rPr>
                <w:rFonts w:ascii="Times New Roman" w:hAnsi="Times New Roman" w:eastAsia="仿宋" w:cs="Times New Roman"/>
                <w:sz w:val="18"/>
                <w:lang w:val="en-US"/>
              </w:rPr>
              <w:t>25-30</w:t>
            </w:r>
            <w:r>
              <w:rPr>
                <w:rFonts w:ascii="Times New Roman" w:hAnsi="Times New Roman" w:eastAsia="仿宋" w:cs="Times New Roman"/>
                <w:sz w:val="18"/>
              </w:rPr>
              <w:t>克</w:t>
            </w:r>
          </w:p>
          <w:p>
            <w:pPr>
              <w:pStyle w:val="21"/>
              <w:spacing w:before="9"/>
              <w:rPr>
                <w:rFonts w:ascii="Times New Roman" w:hAnsi="Times New Roman" w:eastAsia="仿宋" w:cs="Times New Roman"/>
                <w:sz w:val="18"/>
                <w:lang w:val="en-US"/>
              </w:rPr>
            </w:pPr>
            <w:r>
              <w:rPr>
                <w:rFonts w:hint="eastAsia" w:ascii="Times New Roman" w:hAnsi="Times New Roman" w:eastAsia="仿宋" w:cs="Times New Roman"/>
                <w:sz w:val="18"/>
                <w:lang w:val="en-US"/>
              </w:rPr>
              <w:t>②</w:t>
            </w:r>
            <w:r>
              <w:rPr>
                <w:rFonts w:ascii="Times New Roman" w:hAnsi="Times New Roman" w:eastAsia="仿宋" w:cs="Times New Roman"/>
                <w:sz w:val="18"/>
                <w:lang w:val="en-US"/>
              </w:rPr>
              <w:t xml:space="preserve"> 30-40</w:t>
            </w:r>
            <w:r>
              <w:rPr>
                <w:rFonts w:ascii="Times New Roman" w:hAnsi="Times New Roman" w:eastAsia="仿宋" w:cs="Times New Roman"/>
                <w:sz w:val="18"/>
              </w:rPr>
              <w:t>克</w:t>
            </w:r>
          </w:p>
          <w:p>
            <w:pPr>
              <w:pStyle w:val="21"/>
              <w:spacing w:before="9"/>
              <w:rPr>
                <w:rFonts w:ascii="Times New Roman" w:hAnsi="Times New Roman" w:eastAsia="仿宋" w:cs="Times New Roman"/>
                <w:sz w:val="18"/>
                <w:lang w:val="en-US"/>
              </w:rPr>
            </w:pPr>
            <w:r>
              <w:rPr>
                <w:rFonts w:hint="eastAsia" w:ascii="Times New Roman" w:hAnsi="Times New Roman" w:eastAsia="仿宋" w:cs="Times New Roman"/>
                <w:sz w:val="18"/>
                <w:lang w:val="en-US"/>
              </w:rPr>
              <w:t>③</w:t>
            </w:r>
            <w:r>
              <w:rPr>
                <w:rFonts w:ascii="Times New Roman" w:hAnsi="Times New Roman" w:eastAsia="仿宋" w:cs="Times New Roman"/>
                <w:sz w:val="18"/>
                <w:lang w:val="en-US"/>
              </w:rPr>
              <w:t xml:space="preserve"> 40-50</w:t>
            </w:r>
            <w:r>
              <w:rPr>
                <w:rFonts w:ascii="Times New Roman" w:hAnsi="Times New Roman" w:eastAsia="仿宋" w:cs="Times New Roman"/>
                <w:sz w:val="18"/>
              </w:rPr>
              <w:t>克</w:t>
            </w:r>
          </w:p>
          <w:p>
            <w:pPr>
              <w:pStyle w:val="21"/>
              <w:spacing w:before="10"/>
              <w:rPr>
                <w:rFonts w:ascii="Times New Roman" w:hAnsi="Times New Roman" w:eastAsia="仿宋" w:cs="Times New Roman"/>
                <w:sz w:val="18"/>
                <w:lang w:val="en-US"/>
              </w:rPr>
            </w:pPr>
            <w:r>
              <w:rPr>
                <w:rFonts w:hint="eastAsia" w:ascii="Times New Roman" w:hAnsi="Times New Roman" w:eastAsia="仿宋" w:cs="Times New Roman"/>
                <w:sz w:val="18"/>
                <w:lang w:val="en-US"/>
              </w:rPr>
              <w:t>④</w:t>
            </w:r>
            <w:r>
              <w:rPr>
                <w:rFonts w:ascii="Times New Roman" w:hAnsi="Times New Roman" w:eastAsia="仿宋" w:cs="Times New Roman"/>
                <w:sz w:val="18"/>
                <w:lang w:val="en-US"/>
              </w:rPr>
              <w:t xml:space="preserve"> </w:t>
            </w:r>
            <w:r>
              <w:rPr>
                <w:rFonts w:ascii="Times New Roman" w:hAnsi="Times New Roman" w:eastAsia="仿宋" w:cs="Times New Roman"/>
                <w:sz w:val="18"/>
              </w:rPr>
              <w:t>大于</w:t>
            </w:r>
            <w:r>
              <w:rPr>
                <w:rFonts w:ascii="Times New Roman" w:hAnsi="Times New Roman" w:eastAsia="仿宋" w:cs="Times New Roman"/>
                <w:sz w:val="18"/>
                <w:lang w:val="en-US"/>
              </w:rPr>
              <w:t>50</w:t>
            </w:r>
            <w:r>
              <w:rPr>
                <w:rFonts w:ascii="Times New Roman" w:hAnsi="Times New Roman" w:eastAsia="仿宋" w:cs="Times New Roman"/>
                <w:sz w:val="18"/>
              </w:rPr>
              <w:t>克</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不知道</w:t>
            </w:r>
          </w:p>
        </w:tc>
        <w:tc>
          <w:tcPr>
            <w:tcW w:w="3530" w:type="dxa"/>
            <w:shd w:val="clear" w:color="auto" w:fill="EFEFEF"/>
            <w:vAlign w:val="center"/>
          </w:tcPr>
          <w:p>
            <w:pPr>
              <w:pStyle w:val="21"/>
              <w:spacing w:before="14"/>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每日刷牙一次</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每日至少刷牙两次（早晚各一次）</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坚持饭后漱口</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每年至少进行一次口腔检查</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定期洗牙</w:t>
            </w:r>
          </w:p>
        </w:tc>
        <w:tc>
          <w:tcPr>
            <w:tcW w:w="3231" w:type="dxa"/>
            <w:shd w:val="clear" w:color="auto" w:fill="FDFDFD"/>
            <w:vAlign w:val="center"/>
          </w:tcPr>
          <w:p>
            <w:pPr>
              <w:pStyle w:val="21"/>
              <w:spacing w:before="14"/>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钙摄入不足</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缺乏锻炼</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pacing w:val="3"/>
                <w:sz w:val="18"/>
              </w:rPr>
              <w:t xml:space="preserve"> </w:t>
            </w:r>
            <w:r>
              <w:rPr>
                <w:rFonts w:ascii="Times New Roman" w:hAnsi="Times New Roman" w:eastAsia="仿宋" w:cs="Times New Roman"/>
                <w:sz w:val="18"/>
              </w:rPr>
              <w:t>少晒太阳</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妇女绝经期</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缺乏维生素</w:t>
            </w:r>
            <w:r>
              <w:rPr>
                <w:rFonts w:hint="eastAsia" w:ascii="Times New Roman" w:hAnsi="Times New Roman" w:eastAsia="仿宋" w:cs="Times New Roman"/>
                <w:sz w:val="18"/>
                <w:lang w:val="en-US"/>
              </w:rPr>
              <w:t>D</w:t>
            </w:r>
          </w:p>
        </w:tc>
        <w:tc>
          <w:tcPr>
            <w:tcW w:w="3231" w:type="dxa"/>
            <w:shd w:val="clear" w:color="auto" w:fill="EFEFEF"/>
            <w:vAlign w:val="center"/>
          </w:tcPr>
          <w:p>
            <w:pPr>
              <w:pStyle w:val="21"/>
              <w:spacing w:before="14" w:line="249" w:lineRule="auto"/>
              <w:ind w:right="281"/>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体重</w:t>
            </w:r>
          </w:p>
          <w:p>
            <w:pPr>
              <w:pStyle w:val="21"/>
              <w:spacing w:before="14" w:line="249" w:lineRule="auto"/>
              <w:ind w:right="281"/>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腰围</w:t>
            </w:r>
          </w:p>
          <w:p>
            <w:pPr>
              <w:pStyle w:val="21"/>
              <w:spacing w:before="14" w:line="249" w:lineRule="auto"/>
              <w:ind w:right="281"/>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胸围</w:t>
            </w:r>
          </w:p>
          <w:p>
            <w:pPr>
              <w:pStyle w:val="21"/>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体脂率</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w:t>
            </w:r>
            <w:r>
              <w:rPr>
                <w:rFonts w:ascii="Times New Roman" w:hAnsi="Times New Roman" w:eastAsia="仿宋" w:cs="Times New Roman"/>
                <w:bCs/>
                <w:sz w:val="18"/>
              </w:rPr>
              <w:t>BMI</w:t>
            </w:r>
            <w:r>
              <w:rPr>
                <w:rFonts w:ascii="Times New Roman" w:hAnsi="Times New Roman" w:eastAsia="仿宋" w:cs="Times New Roman"/>
                <w:sz w:val="18"/>
              </w:rPr>
              <w:t>=体重(公斤)/(身高(米)×身高(米))，18.5≤BMI＜24</w:t>
            </w:r>
          </w:p>
        </w:tc>
        <w:tc>
          <w:tcPr>
            <w:tcW w:w="3231" w:type="dxa"/>
            <w:shd w:val="clear" w:color="auto" w:fill="FDFDFD"/>
            <w:vAlign w:val="center"/>
          </w:tcPr>
          <w:p>
            <w:pPr>
              <w:pStyle w:val="21"/>
              <w:spacing w:before="14"/>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收缩压＜120mmHg和舒张压＜80mmHg</w:t>
            </w:r>
          </w:p>
          <w:p>
            <w:pPr>
              <w:pStyle w:val="21"/>
              <w:spacing w:before="11"/>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收缩压120</w:t>
            </w:r>
            <w:r>
              <w:rPr>
                <w:rFonts w:ascii="Times New Roman" w:hAnsi="Times New Roman" w:eastAsia="仿宋" w:cs="Times New Roman"/>
                <w:sz w:val="18"/>
                <w:lang w:val="en-US"/>
              </w:rPr>
              <w:t>-</w:t>
            </w:r>
            <w:r>
              <w:rPr>
                <w:rFonts w:ascii="Times New Roman" w:hAnsi="Times New Roman" w:eastAsia="仿宋" w:cs="Times New Roman"/>
                <w:sz w:val="18"/>
              </w:rPr>
              <w:t>139mmHg和(或)舒张压80</w:t>
            </w:r>
            <w:r>
              <w:rPr>
                <w:rFonts w:ascii="Times New Roman" w:hAnsi="Times New Roman" w:eastAsia="仿宋" w:cs="Times New Roman"/>
                <w:sz w:val="18"/>
                <w:lang w:val="en-US"/>
              </w:rPr>
              <w:t>-</w:t>
            </w:r>
            <w:r>
              <w:rPr>
                <w:rFonts w:ascii="Times New Roman" w:hAnsi="Times New Roman" w:eastAsia="仿宋" w:cs="Times New Roman"/>
                <w:sz w:val="18"/>
              </w:rPr>
              <w:t>89mmHg</w:t>
            </w:r>
          </w:p>
          <w:p>
            <w:pPr>
              <w:pStyle w:val="21"/>
              <w:spacing w:before="12"/>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收缩压＜140mmHg和(或)舒张压＜90mmHg</w:t>
            </w:r>
          </w:p>
          <w:p>
            <w:pPr>
              <w:pStyle w:val="21"/>
              <w:spacing w:before="12" w:line="249" w:lineRule="auto"/>
              <w:ind w:right="3"/>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收缩压&gt;140mmHg和(或)舒张压&gt;90mmHg</w:t>
            </w:r>
          </w:p>
          <w:p>
            <w:pPr>
              <w:pStyle w:val="21"/>
              <w:spacing w:line="206"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不知道</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480" w:hRule="atLeast"/>
          <w:jc w:val="center"/>
        </w:trPr>
        <w:tc>
          <w:tcPr>
            <w:tcW w:w="2932" w:type="dxa"/>
            <w:shd w:val="clear" w:color="auto" w:fill="EDEBE0"/>
            <w:vAlign w:val="center"/>
          </w:tcPr>
          <w:p>
            <w:pPr>
              <w:pStyle w:val="21"/>
              <w:spacing w:before="3" w:line="238" w:lineRule="exact"/>
              <w:ind w:right="89"/>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11.下列哪些人容易患高血压？（可多选）</w:t>
            </w:r>
          </w:p>
        </w:tc>
        <w:tc>
          <w:tcPr>
            <w:tcW w:w="3530" w:type="dxa"/>
            <w:shd w:val="clear" w:color="auto" w:fill="EDEBE0"/>
            <w:vAlign w:val="center"/>
          </w:tcPr>
          <w:p>
            <w:pPr>
              <w:pStyle w:val="21"/>
              <w:spacing w:before="3" w:line="238" w:lineRule="exact"/>
              <w:ind w:left="107" w:right="86"/>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w:t>
            </w:r>
            <w:r>
              <w:rPr>
                <w:rFonts w:ascii="Times New Roman" w:hAnsi="Times New Roman" w:eastAsia="仿宋" w:cs="Times New Roman"/>
                <w:b/>
                <w:w w:val="95"/>
                <w:sz w:val="20"/>
                <w:szCs w:val="22"/>
              </w:rPr>
              <w:t>12.为了控制高血压，下面哪个措施不</w:t>
            </w:r>
            <w:r>
              <w:rPr>
                <w:rFonts w:ascii="Times New Roman" w:hAnsi="Times New Roman" w:eastAsia="仿宋" w:cs="Times New Roman"/>
                <w:b/>
                <w:sz w:val="20"/>
                <w:szCs w:val="22"/>
              </w:rPr>
              <w:t>正确？（单选）</w:t>
            </w:r>
          </w:p>
        </w:tc>
        <w:tc>
          <w:tcPr>
            <w:tcW w:w="3231" w:type="dxa"/>
            <w:shd w:val="clear" w:color="auto" w:fill="EDEBE0"/>
            <w:vAlign w:val="center"/>
          </w:tcPr>
          <w:p>
            <w:pPr>
              <w:pStyle w:val="21"/>
              <w:spacing w:line="237" w:lineRule="exact"/>
              <w:ind w:left="107"/>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13.以下哪些人容易患糖尿病？（可多选）</w:t>
            </w:r>
          </w:p>
        </w:tc>
        <w:tc>
          <w:tcPr>
            <w:tcW w:w="3231" w:type="dxa"/>
            <w:shd w:val="clear" w:color="auto" w:fill="EDEBE0"/>
            <w:vAlign w:val="center"/>
          </w:tcPr>
          <w:p>
            <w:pPr>
              <w:pStyle w:val="21"/>
              <w:spacing w:before="3" w:line="238" w:lineRule="exact"/>
              <w:ind w:right="85"/>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w:t>
            </w:r>
            <w:r>
              <w:rPr>
                <w:rFonts w:ascii="Times New Roman" w:hAnsi="Times New Roman" w:eastAsia="仿宋" w:cs="Times New Roman"/>
                <w:b/>
                <w:w w:val="95"/>
                <w:sz w:val="20"/>
                <w:szCs w:val="22"/>
              </w:rPr>
              <w:t>14.出现下面哪些表现可能会发生</w:t>
            </w:r>
            <w:r>
              <w:rPr>
                <w:rFonts w:ascii="Times New Roman" w:hAnsi="Times New Roman" w:eastAsia="仿宋" w:cs="Times New Roman"/>
                <w:b/>
                <w:sz w:val="20"/>
                <w:szCs w:val="22"/>
              </w:rPr>
              <w:t>脑卒中（中风）？（可多选）</w:t>
            </w:r>
          </w:p>
        </w:tc>
        <w:tc>
          <w:tcPr>
            <w:tcW w:w="3231" w:type="dxa"/>
            <w:shd w:val="clear" w:color="auto" w:fill="EDEBE0"/>
            <w:vAlign w:val="center"/>
          </w:tcPr>
          <w:p>
            <w:pPr>
              <w:pStyle w:val="21"/>
              <w:spacing w:before="3" w:line="238" w:lineRule="exact"/>
              <w:ind w:right="86"/>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w:t>
            </w:r>
            <w:r>
              <w:rPr>
                <w:rFonts w:ascii="Times New Roman" w:hAnsi="Times New Roman" w:eastAsia="仿宋" w:cs="Times New Roman"/>
                <w:b/>
                <w:w w:val="95"/>
                <w:sz w:val="20"/>
                <w:szCs w:val="22"/>
              </w:rPr>
              <w:t>15.以下哪些措施有利于糖尿病患</w:t>
            </w:r>
            <w:r>
              <w:rPr>
                <w:rFonts w:ascii="Times New Roman" w:hAnsi="Times New Roman" w:eastAsia="仿宋" w:cs="Times New Roman"/>
                <w:b/>
                <w:sz w:val="20"/>
                <w:szCs w:val="22"/>
              </w:rPr>
              <w:t>者控制血糖水平？（可多选）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1200" w:hRule="atLeast"/>
          <w:jc w:val="center"/>
        </w:trPr>
        <w:tc>
          <w:tcPr>
            <w:tcW w:w="2932" w:type="dxa"/>
            <w:shd w:val="clear" w:color="auto" w:fill="FDFDFD"/>
            <w:vAlign w:val="center"/>
          </w:tcPr>
          <w:p>
            <w:pPr>
              <w:pStyle w:val="21"/>
              <w:spacing w:before="13"/>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超重或肥胖人群</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有高血压家族史的人</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过量饮酒者</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长期高盐饮食者</w:t>
            </w:r>
          </w:p>
          <w:p>
            <w:pPr>
              <w:pStyle w:val="21"/>
              <w:spacing w:before="9" w:line="207"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长期精神紧张</w:t>
            </w:r>
          </w:p>
        </w:tc>
        <w:tc>
          <w:tcPr>
            <w:tcW w:w="3530" w:type="dxa"/>
            <w:shd w:val="clear" w:color="auto" w:fill="EFEFEF"/>
            <w:vAlign w:val="center"/>
          </w:tcPr>
          <w:p>
            <w:pPr>
              <w:pStyle w:val="21"/>
              <w:spacing w:before="13"/>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保持健康生活方式</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定期监测血压</w:t>
            </w:r>
          </w:p>
          <w:p>
            <w:pPr>
              <w:pStyle w:val="21"/>
              <w:spacing w:line="240" w:lineRule="atLeast"/>
              <w:ind w:left="107" w:right="481"/>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按医嘱坚持规律服药</w:t>
            </w:r>
          </w:p>
          <w:p>
            <w:pPr>
              <w:pStyle w:val="21"/>
              <w:spacing w:line="240" w:lineRule="atLeast"/>
              <w:ind w:left="107" w:right="481"/>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血压降低就自行停药</w:t>
            </w:r>
          </w:p>
          <w:p>
            <w:pPr>
              <w:pStyle w:val="21"/>
              <w:spacing w:line="240" w:lineRule="atLeast"/>
              <w:ind w:left="107" w:right="481"/>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定期就诊</w:t>
            </w:r>
          </w:p>
        </w:tc>
        <w:tc>
          <w:tcPr>
            <w:tcW w:w="3231" w:type="dxa"/>
            <w:shd w:val="clear" w:color="auto" w:fill="FDFDFD"/>
            <w:vAlign w:val="center"/>
          </w:tcPr>
          <w:p>
            <w:pPr>
              <w:pStyle w:val="21"/>
              <w:spacing w:before="13"/>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pacing w:val="-2"/>
                <w:sz w:val="18"/>
              </w:rPr>
              <w:t xml:space="preserve"> </w:t>
            </w:r>
            <w:r>
              <w:rPr>
                <w:rFonts w:ascii="Times New Roman" w:hAnsi="Times New Roman" w:eastAsia="仿宋" w:cs="Times New Roman"/>
                <w:sz w:val="18"/>
              </w:rPr>
              <w:t>40岁及以上人群</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超重或肥胖人群</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父母或兄弟姐妹有糖尿病的人</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妊娠期患糖尿病的女性</w:t>
            </w:r>
          </w:p>
          <w:p>
            <w:pPr>
              <w:pStyle w:val="21"/>
              <w:spacing w:before="9" w:line="207" w:lineRule="exact"/>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高血压或血脂异常者</w:t>
            </w:r>
          </w:p>
        </w:tc>
        <w:tc>
          <w:tcPr>
            <w:tcW w:w="3231" w:type="dxa"/>
            <w:shd w:val="clear" w:color="auto" w:fill="EFEFEF"/>
            <w:vAlign w:val="center"/>
          </w:tcPr>
          <w:p>
            <w:pPr>
              <w:pStyle w:val="21"/>
              <w:spacing w:before="2"/>
              <w:rPr>
                <w:rFonts w:ascii="Times New Roman" w:hAnsi="Times New Roman" w:eastAsia="仿宋" w:cs="Times New Roman"/>
                <w:sz w:val="18"/>
              </w:rPr>
            </w:pPr>
            <w:r>
              <w:rPr>
                <w:rFonts w:hint="eastAsia" w:ascii="Times New Roman" w:hAnsi="Times New Roman" w:eastAsia="仿宋" w:cs="Times New Roman"/>
                <w:sz w:val="20"/>
              </w:rPr>
              <w:t>①</w:t>
            </w:r>
            <w:r>
              <w:rPr>
                <w:rFonts w:ascii="Times New Roman" w:hAnsi="Times New Roman" w:eastAsia="仿宋" w:cs="Times New Roman"/>
                <w:sz w:val="20"/>
              </w:rPr>
              <w:t xml:space="preserve"> </w:t>
            </w:r>
            <w:r>
              <w:rPr>
                <w:rFonts w:ascii="Times New Roman" w:hAnsi="Times New Roman" w:eastAsia="仿宋" w:cs="Times New Roman"/>
                <w:sz w:val="18"/>
              </w:rPr>
              <w:t>眼睛一过性发黑</w:t>
            </w:r>
          </w:p>
          <w:p>
            <w:pPr>
              <w:pStyle w:val="21"/>
              <w:spacing w:before="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说话口齿不清</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突然一侧肢体无力或麻木</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头晕、走路不稳</w:t>
            </w:r>
          </w:p>
          <w:p>
            <w:pPr>
              <w:pStyle w:val="21"/>
              <w:spacing w:before="9" w:line="207"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突发一侧面部麻木、口歪斜</w:t>
            </w:r>
          </w:p>
        </w:tc>
        <w:tc>
          <w:tcPr>
            <w:tcW w:w="3231" w:type="dxa"/>
            <w:shd w:val="clear" w:color="auto" w:fill="FDFDFD"/>
            <w:vAlign w:val="center"/>
          </w:tcPr>
          <w:p>
            <w:pPr>
              <w:pStyle w:val="21"/>
              <w:spacing w:before="13"/>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pacing w:val="3"/>
                <w:sz w:val="18"/>
              </w:rPr>
              <w:t xml:space="preserve"> </w:t>
            </w:r>
            <w:r>
              <w:rPr>
                <w:rFonts w:ascii="Times New Roman" w:hAnsi="Times New Roman" w:eastAsia="仿宋" w:cs="Times New Roman"/>
                <w:sz w:val="18"/>
              </w:rPr>
              <w:t>控制饮食</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规律运动</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预防超重和肥胖</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定期监测血糖</w:t>
            </w:r>
          </w:p>
          <w:p>
            <w:pPr>
              <w:pStyle w:val="21"/>
              <w:spacing w:before="9" w:line="207"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按医嘱坚持规律服药</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479" w:hRule="atLeast"/>
          <w:jc w:val="center"/>
        </w:trPr>
        <w:tc>
          <w:tcPr>
            <w:tcW w:w="2932" w:type="dxa"/>
            <w:shd w:val="clear" w:color="auto" w:fill="EDEBE0"/>
            <w:vAlign w:val="center"/>
          </w:tcPr>
          <w:p>
            <w:pPr>
              <w:pStyle w:val="21"/>
              <w:spacing w:line="234" w:lineRule="exact"/>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16.糖尿病患者常见的并发</w:t>
            </w:r>
          </w:p>
          <w:p>
            <w:pPr>
              <w:pStyle w:val="21"/>
              <w:spacing w:line="225" w:lineRule="exact"/>
              <w:rPr>
                <w:rFonts w:ascii="Times New Roman" w:hAnsi="Times New Roman" w:eastAsia="仿宋" w:cs="Times New Roman"/>
                <w:b/>
                <w:sz w:val="20"/>
                <w:szCs w:val="22"/>
              </w:rPr>
            </w:pPr>
            <w:r>
              <w:rPr>
                <w:rFonts w:ascii="Times New Roman" w:hAnsi="Times New Roman" w:eastAsia="仿宋" w:cs="Times New Roman"/>
                <w:b/>
                <w:sz w:val="20"/>
                <w:szCs w:val="22"/>
              </w:rPr>
              <w:t>症有哪些？（可多选）</w:t>
            </w:r>
          </w:p>
        </w:tc>
        <w:tc>
          <w:tcPr>
            <w:tcW w:w="3530" w:type="dxa"/>
            <w:shd w:val="clear" w:color="auto" w:fill="EDEBE0"/>
            <w:vAlign w:val="center"/>
          </w:tcPr>
          <w:p>
            <w:pPr>
              <w:pStyle w:val="21"/>
              <w:spacing w:line="234" w:lineRule="exact"/>
              <w:ind w:left="107"/>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17.在紧急处理急性心梗时，哪个措施不正确？（单选）</w:t>
            </w:r>
          </w:p>
        </w:tc>
        <w:tc>
          <w:tcPr>
            <w:tcW w:w="3231" w:type="dxa"/>
            <w:shd w:val="clear" w:color="auto" w:fill="EDEBE0"/>
            <w:vAlign w:val="center"/>
          </w:tcPr>
          <w:p>
            <w:pPr>
              <w:pStyle w:val="21"/>
              <w:spacing w:line="234" w:lineRule="exact"/>
              <w:ind w:left="107"/>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18.下列哪些因素可能增加癌症发生的危险?（可多选）</w:t>
            </w:r>
          </w:p>
        </w:tc>
        <w:tc>
          <w:tcPr>
            <w:tcW w:w="3231" w:type="dxa"/>
            <w:shd w:val="clear" w:color="auto" w:fill="EDEBE0"/>
            <w:vAlign w:val="center"/>
          </w:tcPr>
          <w:p>
            <w:pPr>
              <w:pStyle w:val="21"/>
              <w:spacing w:line="234" w:lineRule="exact"/>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19.预防慢性呼吸系统疾病的主要</w:t>
            </w:r>
          </w:p>
          <w:p>
            <w:pPr>
              <w:pStyle w:val="21"/>
              <w:spacing w:line="225" w:lineRule="exact"/>
              <w:rPr>
                <w:rFonts w:ascii="Times New Roman" w:hAnsi="Times New Roman" w:eastAsia="仿宋" w:cs="Times New Roman"/>
                <w:b/>
                <w:sz w:val="20"/>
                <w:szCs w:val="22"/>
              </w:rPr>
            </w:pPr>
            <w:r>
              <w:rPr>
                <w:rFonts w:ascii="Times New Roman" w:hAnsi="Times New Roman" w:eastAsia="仿宋" w:cs="Times New Roman"/>
                <w:b/>
                <w:sz w:val="20"/>
                <w:szCs w:val="22"/>
              </w:rPr>
              <w:t>措施有哪些？（可多选）</w:t>
            </w:r>
          </w:p>
        </w:tc>
        <w:tc>
          <w:tcPr>
            <w:tcW w:w="3231" w:type="dxa"/>
            <w:shd w:val="clear" w:color="auto" w:fill="EDEBE0"/>
            <w:vAlign w:val="center"/>
          </w:tcPr>
          <w:p>
            <w:pPr>
              <w:pStyle w:val="21"/>
              <w:spacing w:line="234" w:lineRule="exact"/>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20.对于预防和控制哮喘，以下哪项是错误的？（单选）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CellMar>
            <w:top w:w="0" w:type="dxa"/>
            <w:left w:w="0" w:type="dxa"/>
            <w:bottom w:w="0" w:type="dxa"/>
            <w:right w:w="0" w:type="dxa"/>
          </w:tblCellMar>
        </w:tblPrEx>
        <w:trPr>
          <w:trHeight w:val="1680" w:hRule="atLeast"/>
          <w:jc w:val="center"/>
        </w:trPr>
        <w:tc>
          <w:tcPr>
            <w:tcW w:w="2932" w:type="dxa"/>
            <w:shd w:val="clear" w:color="auto" w:fill="FDFDFD"/>
            <w:vAlign w:val="center"/>
          </w:tcPr>
          <w:p>
            <w:pPr>
              <w:pStyle w:val="21"/>
              <w:spacing w:before="13" w:line="249" w:lineRule="auto"/>
              <w:ind w:right="1738"/>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冠心病</w:t>
            </w:r>
          </w:p>
          <w:p>
            <w:pPr>
              <w:pStyle w:val="21"/>
              <w:spacing w:before="13" w:line="249" w:lineRule="auto"/>
              <w:ind w:right="1738"/>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脑卒中</w:t>
            </w:r>
          </w:p>
          <w:p>
            <w:pPr>
              <w:pStyle w:val="21"/>
              <w:spacing w:before="13" w:line="249" w:lineRule="auto"/>
              <w:ind w:right="1738"/>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pacing w:val="3"/>
                <w:sz w:val="18"/>
              </w:rPr>
              <w:t xml:space="preserve"> </w:t>
            </w:r>
            <w:r>
              <w:rPr>
                <w:rFonts w:ascii="Times New Roman" w:hAnsi="Times New Roman" w:eastAsia="仿宋" w:cs="Times New Roman"/>
                <w:sz w:val="18"/>
              </w:rPr>
              <w:t>糖</w:t>
            </w:r>
            <w:r>
              <w:rPr>
                <w:rFonts w:ascii="Times New Roman" w:hAnsi="Times New Roman" w:eastAsia="仿宋" w:cs="Times New Roman"/>
                <w:spacing w:val="-6"/>
                <w:sz w:val="18"/>
              </w:rPr>
              <w:t>尿病足</w:t>
            </w:r>
          </w:p>
          <w:p>
            <w:pPr>
              <w:pStyle w:val="21"/>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pacing w:val="3"/>
                <w:sz w:val="18"/>
              </w:rPr>
              <w:t xml:space="preserve"> </w:t>
            </w:r>
            <w:r>
              <w:rPr>
                <w:rFonts w:ascii="Times New Roman" w:hAnsi="Times New Roman" w:eastAsia="仿宋" w:cs="Times New Roman"/>
                <w:sz w:val="18"/>
              </w:rPr>
              <w:t>眼底病变</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pacing w:val="2"/>
                <w:sz w:val="18"/>
              </w:rPr>
              <w:t xml:space="preserve"> </w:t>
            </w:r>
            <w:r>
              <w:rPr>
                <w:rFonts w:ascii="Times New Roman" w:hAnsi="Times New Roman" w:eastAsia="仿宋" w:cs="Times New Roman"/>
                <w:sz w:val="18"/>
              </w:rPr>
              <w:t>肾脏病变</w:t>
            </w:r>
          </w:p>
        </w:tc>
        <w:tc>
          <w:tcPr>
            <w:tcW w:w="3530" w:type="dxa"/>
            <w:shd w:val="clear" w:color="auto" w:fill="EFEFEF"/>
            <w:vAlign w:val="center"/>
          </w:tcPr>
          <w:p>
            <w:pPr>
              <w:pStyle w:val="21"/>
              <w:spacing w:before="13" w:line="249" w:lineRule="auto"/>
              <w:ind w:left="107" w:right="96"/>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持续性胸骨后或心前区突感疼痛憋闷，大汗、恶心、呕吐甚至濒死感，需考虑急性心梗的可能</w:t>
            </w:r>
          </w:p>
          <w:p>
            <w:pPr>
              <w:pStyle w:val="21"/>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拨打急救电话并保持电话畅通，安静休息</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立即自驾前往最近的医院</w:t>
            </w:r>
          </w:p>
          <w:p>
            <w:pPr>
              <w:pStyle w:val="21"/>
              <w:spacing w:line="240" w:lineRule="atLeast"/>
              <w:ind w:left="107" w:right="96"/>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拨打急救电话时咨询医生应服用的急救药物（阿司匹林/硝酸甘油）</w:t>
            </w:r>
          </w:p>
        </w:tc>
        <w:tc>
          <w:tcPr>
            <w:tcW w:w="3231" w:type="dxa"/>
            <w:shd w:val="clear" w:color="auto" w:fill="FDFDFD"/>
            <w:vAlign w:val="center"/>
          </w:tcPr>
          <w:p>
            <w:pPr>
              <w:pStyle w:val="21"/>
              <w:spacing w:before="13"/>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吸烟或吸二手烟</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过量饮酒</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某些细菌或病毒感染</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职业有害物质暴露、环境污染</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不健康饮食与缺乏运动</w:t>
            </w:r>
          </w:p>
        </w:tc>
        <w:tc>
          <w:tcPr>
            <w:tcW w:w="3231" w:type="dxa"/>
            <w:shd w:val="clear" w:color="auto" w:fill="EFEFEF"/>
            <w:vAlign w:val="center"/>
          </w:tcPr>
          <w:p>
            <w:pPr>
              <w:pStyle w:val="21"/>
              <w:spacing w:before="13"/>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不吸烟、避免二手烟</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减少室外、室内空气污染</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避免职业粉尘暴露和烹调油烟</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pacing w:val="3"/>
                <w:sz w:val="18"/>
              </w:rPr>
              <w:t xml:space="preserve"> </w:t>
            </w:r>
            <w:r>
              <w:rPr>
                <w:rFonts w:ascii="Times New Roman" w:hAnsi="Times New Roman" w:eastAsia="仿宋" w:cs="Times New Roman"/>
                <w:sz w:val="18"/>
              </w:rPr>
              <w:t>定期肺功能检查</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pacing w:val="2"/>
                <w:sz w:val="18"/>
              </w:rPr>
              <w:t xml:space="preserve"> </w:t>
            </w:r>
            <w:r>
              <w:rPr>
                <w:rFonts w:ascii="Times New Roman" w:hAnsi="Times New Roman" w:eastAsia="仿宋" w:cs="Times New Roman"/>
                <w:sz w:val="18"/>
              </w:rPr>
              <w:t>预防呼吸道感染</w:t>
            </w:r>
          </w:p>
        </w:tc>
        <w:tc>
          <w:tcPr>
            <w:tcW w:w="3231" w:type="dxa"/>
            <w:shd w:val="clear" w:color="auto" w:fill="FDFDFD"/>
            <w:vAlign w:val="center"/>
          </w:tcPr>
          <w:p>
            <w:pPr>
              <w:pStyle w:val="21"/>
              <w:spacing w:before="13" w:line="249" w:lineRule="auto"/>
              <w:ind w:right="96"/>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哮喘是慢性气道疾病，应该长期规范治疗</w:t>
            </w:r>
          </w:p>
          <w:p>
            <w:pPr>
              <w:pStyle w:val="21"/>
              <w:spacing w:line="249" w:lineRule="auto"/>
              <w:ind w:right="61"/>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哮喘多与过敏相关，有家族遗传倾向</w:t>
            </w:r>
          </w:p>
          <w:p>
            <w:pPr>
              <w:pStyle w:val="21"/>
              <w:spacing w:line="249" w:lineRule="auto"/>
              <w:ind w:right="61"/>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哮喘患者和家属应该学会自救措施</w:t>
            </w:r>
          </w:p>
          <w:p>
            <w:pPr>
              <w:pStyle w:val="21"/>
              <w:spacing w:line="249" w:lineRule="auto"/>
              <w:ind w:right="185"/>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哮喘患者不能运动</w:t>
            </w:r>
          </w:p>
          <w:p>
            <w:pPr>
              <w:pStyle w:val="21"/>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吸入激素是目前治疗哮喘首选且有效的药物</w:t>
            </w:r>
          </w:p>
        </w:tc>
      </w:tr>
    </w:tbl>
    <w:p>
      <w:pPr>
        <w:jc w:val="left"/>
        <w:rPr>
          <w:sz w:val="18"/>
        </w:rPr>
        <w:sectPr>
          <w:pgSz w:w="16840" w:h="11910" w:orient="landscape"/>
          <w:pgMar w:top="280" w:right="200" w:bottom="280" w:left="100" w:header="720" w:footer="720" w:gutter="0"/>
          <w:cols w:space="720" w:num="1"/>
        </w:sectPr>
      </w:pPr>
    </w:p>
    <w:p>
      <w:pPr>
        <w:tabs>
          <w:tab w:val="left" w:pos="1215"/>
        </w:tabs>
        <w:spacing w:line="540" w:lineRule="exact"/>
        <w:rPr>
          <w:rFonts w:eastAsia="黑体"/>
          <w:sz w:val="28"/>
          <w:szCs w:val="28"/>
        </w:rPr>
      </w:pPr>
      <w:r>
        <w:rPr>
          <w:rFonts w:eastAsia="黑体"/>
          <w:sz w:val="28"/>
          <w:szCs w:val="28"/>
        </w:rPr>
        <w:t>第六部分、健康素养快速监测</w:t>
      </w:r>
    </w:p>
    <w:p>
      <w:pPr>
        <w:spacing w:line="440" w:lineRule="exact"/>
        <w:rPr>
          <w:rFonts w:eastAsia="仿宋"/>
          <w:b/>
        </w:rPr>
      </w:pPr>
      <w:r>
        <w:rPr>
          <w:rFonts w:eastAsia="仿宋"/>
          <w:b/>
        </w:rPr>
        <w:t>健康知识（每题只选择一个答案）</w:t>
      </w:r>
    </w:p>
    <w:p>
      <w:pPr>
        <w:spacing w:line="440" w:lineRule="exact"/>
        <w:rPr>
          <w:rFonts w:ascii="仿宋" w:hAnsi="仿宋" w:eastAsia="仿宋" w:cs="仿宋"/>
        </w:rPr>
      </w:pPr>
      <w:r>
        <w:rPr>
          <w:rFonts w:hint="eastAsia" w:ascii="仿宋" w:hAnsi="仿宋" w:eastAsia="仿宋" w:cs="仿宋"/>
        </w:rPr>
        <w:t>601.您认为以下哪组数据属于成年人正常血压值（高压低压）范围？</w:t>
      </w:r>
    </w:p>
    <w:p>
      <w:pPr>
        <w:spacing w:line="440" w:lineRule="exact"/>
        <w:rPr>
          <w:rFonts w:ascii="仿宋" w:hAnsi="仿宋" w:eastAsia="仿宋" w:cs="仿宋"/>
        </w:rPr>
      </w:pPr>
      <w:r>
        <w:rPr>
          <w:rFonts w:hint="eastAsia" w:ascii="仿宋" w:hAnsi="仿宋" w:eastAsia="仿宋" w:cs="仿宋"/>
        </w:rPr>
        <w:t>⑴140/95毫米汞柱  ⑵120/80毫米汞柱  ⑶150/100毫米汞柱  ⑷不知道</w:t>
      </w:r>
    </w:p>
    <w:p>
      <w:pPr>
        <w:spacing w:line="440" w:lineRule="exact"/>
        <w:rPr>
          <w:rFonts w:ascii="仿宋" w:hAnsi="仿宋" w:eastAsia="仿宋" w:cs="仿宋"/>
        </w:rPr>
      </w:pPr>
      <w:r>
        <w:rPr>
          <w:rFonts w:hint="eastAsia" w:ascii="仿宋" w:hAnsi="仿宋" w:eastAsia="仿宋" w:cs="仿宋"/>
        </w:rPr>
        <w:t>602.关于吸烟和被动吸烟，下列哪项说法是正确的？</w:t>
      </w:r>
    </w:p>
    <w:p>
      <w:pPr>
        <w:spacing w:line="440" w:lineRule="exact"/>
        <w:ind w:right="-334" w:rightChars="-159"/>
        <w:rPr>
          <w:rFonts w:ascii="仿宋" w:hAnsi="仿宋" w:eastAsia="仿宋" w:cs="仿宋"/>
        </w:rPr>
      </w:pPr>
      <w:r>
        <w:rPr>
          <w:rFonts w:hint="eastAsia" w:ascii="仿宋" w:hAnsi="仿宋" w:eastAsia="仿宋" w:cs="仿宋"/>
        </w:rPr>
        <w:t>⑴只会引发呼吸系统疾病  ⑵只会引发心血管疾病  ⑶可损害体内几乎所有的器官  ⑷不知道</w:t>
      </w:r>
    </w:p>
    <w:p>
      <w:pPr>
        <w:spacing w:line="440" w:lineRule="exact"/>
        <w:rPr>
          <w:rFonts w:ascii="仿宋" w:hAnsi="仿宋" w:eastAsia="仿宋" w:cs="仿宋"/>
        </w:rPr>
      </w:pPr>
      <w:r>
        <w:rPr>
          <w:rFonts w:hint="eastAsia" w:ascii="仿宋" w:hAnsi="仿宋" w:eastAsia="仿宋" w:cs="仿宋"/>
        </w:rPr>
        <w:t>603.下面预防肥胖的饮食方法正确的一项是：</w:t>
      </w:r>
    </w:p>
    <w:p>
      <w:pPr>
        <w:spacing w:line="440" w:lineRule="exact"/>
        <w:rPr>
          <w:rFonts w:ascii="仿宋" w:hAnsi="仿宋" w:eastAsia="仿宋" w:cs="仿宋"/>
        </w:rPr>
      </w:pPr>
      <w:r>
        <w:rPr>
          <w:rFonts w:hint="eastAsia" w:ascii="仿宋" w:hAnsi="仿宋" w:eastAsia="仿宋" w:cs="仿宋"/>
        </w:rPr>
        <w:t>⑴多吃油炸的东西  ⑵多吃植物油，少吃动物油  ⑶饮食清淡，控制食量  ⑷不知道</w:t>
      </w:r>
    </w:p>
    <w:p>
      <w:pPr>
        <w:spacing w:line="440" w:lineRule="exact"/>
        <w:rPr>
          <w:rFonts w:ascii="仿宋" w:hAnsi="仿宋" w:eastAsia="仿宋" w:cs="仿宋"/>
        </w:rPr>
      </w:pPr>
      <w:r>
        <w:rPr>
          <w:rFonts w:hint="eastAsia" w:ascii="仿宋" w:hAnsi="仿宋" w:eastAsia="仿宋" w:cs="仿宋"/>
        </w:rPr>
        <w:t>604.下面哪种行为有传染艾滋病的危险？</w:t>
      </w:r>
    </w:p>
    <w:p>
      <w:pPr>
        <w:spacing w:line="440" w:lineRule="exact"/>
        <w:rPr>
          <w:rFonts w:ascii="仿宋" w:hAnsi="仿宋" w:eastAsia="仿宋" w:cs="仿宋"/>
        </w:rPr>
      </w:pPr>
      <w:r>
        <w:rPr>
          <w:rFonts w:hint="eastAsia" w:ascii="仿宋" w:hAnsi="仿宋" w:eastAsia="仿宋" w:cs="仿宋"/>
        </w:rPr>
        <w:t>⑴蚊虫叮咬  ⑵共用剃须刀  ⑶共用餐具  ⑷不知道</w:t>
      </w:r>
    </w:p>
    <w:p>
      <w:pPr>
        <w:spacing w:line="440" w:lineRule="exact"/>
        <w:rPr>
          <w:rFonts w:ascii="仿宋" w:hAnsi="仿宋" w:eastAsia="仿宋" w:cs="仿宋"/>
        </w:rPr>
      </w:pPr>
      <w:r>
        <w:rPr>
          <w:rFonts w:hint="eastAsia" w:ascii="仿宋" w:hAnsi="仿宋" w:eastAsia="仿宋" w:cs="仿宋"/>
        </w:rPr>
        <w:t>605.您认为预防乙肝最有效的措施是：</w:t>
      </w:r>
    </w:p>
    <w:p>
      <w:pPr>
        <w:spacing w:line="440" w:lineRule="exact"/>
        <w:rPr>
          <w:rFonts w:ascii="仿宋" w:hAnsi="仿宋" w:eastAsia="仿宋" w:cs="仿宋"/>
        </w:rPr>
      </w:pPr>
      <w:r>
        <w:rPr>
          <w:rFonts w:hint="eastAsia" w:ascii="仿宋" w:hAnsi="仿宋" w:eastAsia="仿宋" w:cs="仿宋"/>
        </w:rPr>
        <w:t>⑴注意饭前洗手  ⑵多吃动物肝脏  ⑶注射乙肝疫苗  ⑷不知道</w:t>
      </w:r>
    </w:p>
    <w:p>
      <w:pPr>
        <w:spacing w:line="440" w:lineRule="exact"/>
        <w:rPr>
          <w:rFonts w:ascii="仿宋" w:hAnsi="仿宋" w:eastAsia="仿宋" w:cs="仿宋"/>
        </w:rPr>
      </w:pPr>
      <w:r>
        <w:rPr>
          <w:rFonts w:hint="eastAsia" w:ascii="仿宋" w:hAnsi="仿宋" w:eastAsia="仿宋" w:cs="仿宋"/>
        </w:rPr>
        <w:t>606.—般成年人每天膳食应以什么为主：</w:t>
      </w:r>
    </w:p>
    <w:p>
      <w:pPr>
        <w:spacing w:line="440" w:lineRule="exact"/>
        <w:rPr>
          <w:rFonts w:ascii="仿宋" w:hAnsi="仿宋" w:eastAsia="仿宋" w:cs="仿宋"/>
        </w:rPr>
      </w:pPr>
      <w:r>
        <w:rPr>
          <w:rFonts w:hint="eastAsia" w:ascii="仿宋" w:hAnsi="仿宋" w:eastAsia="仿宋" w:cs="仿宋"/>
        </w:rPr>
        <w:t>⑴以蔬菜、水果为主  ⑵以肉类、蛋类、奶类为主  ⑶以谷类为主  ⑷不知道</w:t>
      </w:r>
    </w:p>
    <w:p>
      <w:pPr>
        <w:spacing w:line="440" w:lineRule="exact"/>
        <w:rPr>
          <w:rFonts w:ascii="仿宋" w:hAnsi="仿宋" w:eastAsia="仿宋" w:cs="仿宋"/>
        </w:rPr>
      </w:pPr>
      <w:r>
        <w:rPr>
          <w:rFonts w:hint="eastAsia" w:ascii="仿宋" w:hAnsi="仿宋" w:eastAsia="仿宋" w:cs="仿宋"/>
        </w:rPr>
        <w:t>607.您认为下列说法正确的是：</w:t>
      </w:r>
    </w:p>
    <w:p>
      <w:pPr>
        <w:spacing w:line="440" w:lineRule="exact"/>
        <w:rPr>
          <w:rFonts w:ascii="仿宋" w:hAnsi="仿宋" w:eastAsia="仿宋" w:cs="仿宋"/>
        </w:rPr>
      </w:pPr>
      <w:r>
        <w:rPr>
          <w:rFonts w:hint="eastAsia" w:ascii="仿宋" w:hAnsi="仿宋" w:eastAsia="仿宋" w:cs="仿宋"/>
        </w:rPr>
        <w:t>⑴生肉应该与熟肉用不同的砧板  ⑵切完生肉的刀，用水冲后可以切熟肉  ⑶切生肉的砧板，用水冲后可以切熟肉  ⑷不知道</w:t>
      </w:r>
    </w:p>
    <w:p>
      <w:pPr>
        <w:spacing w:line="440" w:lineRule="exact"/>
        <w:rPr>
          <w:rFonts w:ascii="仿宋" w:hAnsi="仿宋" w:eastAsia="仿宋" w:cs="仿宋"/>
        </w:rPr>
      </w:pPr>
      <w:r>
        <w:rPr>
          <w:rFonts w:hint="eastAsia" w:ascii="仿宋" w:hAnsi="仿宋" w:eastAsia="仿宋" w:cs="仿宋"/>
        </w:rPr>
        <w:t>608.关于心理健康的认识，您认为正确的是：</w:t>
      </w:r>
    </w:p>
    <w:p>
      <w:pPr>
        <w:spacing w:line="440" w:lineRule="exact"/>
        <w:rPr>
          <w:rFonts w:ascii="仿宋" w:hAnsi="仿宋" w:eastAsia="仿宋" w:cs="仿宋"/>
        </w:rPr>
      </w:pPr>
      <w:r>
        <w:rPr>
          <w:rFonts w:hint="eastAsia" w:ascii="仿宋" w:hAnsi="仿宋" w:eastAsia="仿宋" w:cs="仿宋"/>
        </w:rPr>
        <w:t>⑴有心理问题就是得了精神病  ⑵有心理问题时应主动寻求帮助  ⑶有心理问题憋在心里就可以，无需寻求帮助  ⑷不知道</w:t>
      </w:r>
    </w:p>
    <w:p>
      <w:pPr>
        <w:spacing w:line="440" w:lineRule="exact"/>
        <w:rPr>
          <w:rFonts w:ascii="仿宋" w:hAnsi="仿宋" w:eastAsia="仿宋" w:cs="仿宋"/>
          <w:b/>
        </w:rPr>
      </w:pPr>
      <w:r>
        <w:rPr>
          <w:rFonts w:hint="eastAsia" w:ascii="仿宋" w:hAnsi="仿宋" w:eastAsia="仿宋" w:cs="仿宋"/>
          <w:b/>
        </w:rPr>
        <w:t>健康行为（每题只选择一个答案）</w:t>
      </w:r>
    </w:p>
    <w:p>
      <w:pPr>
        <w:spacing w:line="440" w:lineRule="exact"/>
        <w:rPr>
          <w:rFonts w:ascii="仿宋" w:hAnsi="仿宋" w:eastAsia="仿宋" w:cs="仿宋"/>
        </w:rPr>
      </w:pPr>
      <w:r>
        <w:rPr>
          <w:rFonts w:hint="eastAsia" w:ascii="仿宋" w:hAnsi="仿宋" w:eastAsia="仿宋" w:cs="仿宋"/>
        </w:rPr>
        <w:t>609.您是否每天吸烟1支以上，且连续吸半年以上？⑴是  ⑵否</w:t>
      </w:r>
    </w:p>
    <w:p>
      <w:pPr>
        <w:spacing w:line="440" w:lineRule="exact"/>
        <w:rPr>
          <w:rFonts w:ascii="仿宋" w:hAnsi="仿宋" w:eastAsia="仿宋" w:cs="仿宋"/>
        </w:rPr>
      </w:pPr>
      <w:r>
        <w:rPr>
          <w:rFonts w:hint="eastAsia" w:ascii="仿宋" w:hAnsi="仿宋" w:eastAsia="仿宋" w:cs="仿宋"/>
        </w:rPr>
        <w:t>610.您是否有饭前便后洗手的习惯？⑴从不  ⑵偶尔  ⑶经常  ⑷总是</w:t>
      </w:r>
    </w:p>
    <w:p>
      <w:pPr>
        <w:spacing w:line="440" w:lineRule="exact"/>
        <w:rPr>
          <w:rFonts w:ascii="仿宋" w:hAnsi="仿宋" w:eastAsia="仿宋" w:cs="仿宋"/>
        </w:rPr>
      </w:pPr>
      <w:r>
        <w:rPr>
          <w:rFonts w:hint="eastAsia" w:ascii="仿宋" w:hAnsi="仿宋" w:eastAsia="仿宋" w:cs="仿宋"/>
        </w:rPr>
        <w:t>611.您一般什么时候刷牙？⑴早晨刷  ⑵晚上刷  ⑶早晚都刷  ⑷很少刷</w:t>
      </w:r>
    </w:p>
    <w:p>
      <w:pPr>
        <w:spacing w:line="440" w:lineRule="exact"/>
        <w:rPr>
          <w:rFonts w:ascii="仿宋" w:hAnsi="仿宋" w:eastAsia="仿宋" w:cs="仿宋"/>
        </w:rPr>
      </w:pPr>
      <w:r>
        <w:rPr>
          <w:rFonts w:hint="eastAsia" w:ascii="仿宋" w:hAnsi="仿宋" w:eastAsia="仿宋" w:cs="仿宋"/>
        </w:rPr>
        <w:t>612.您每天的睡眠是几个小时？</w:t>
      </w:r>
    </w:p>
    <w:p>
      <w:pPr>
        <w:tabs>
          <w:tab w:val="left" w:pos="365"/>
        </w:tabs>
        <w:spacing w:line="440" w:lineRule="exact"/>
        <w:rPr>
          <w:rFonts w:ascii="仿宋" w:hAnsi="仿宋" w:eastAsia="仿宋" w:cs="仿宋"/>
        </w:rPr>
      </w:pPr>
      <w:r>
        <w:rPr>
          <w:rFonts w:hint="eastAsia" w:ascii="仿宋" w:hAnsi="仿宋" w:eastAsia="仿宋" w:cs="仿宋"/>
        </w:rPr>
        <w:t>⑴不足6小时  ⑵6-7小时  ⑶7-8小时  ⑷8-9小时  ⑸9小时以上</w:t>
      </w:r>
    </w:p>
    <w:p>
      <w:pPr>
        <w:spacing w:line="440" w:lineRule="exact"/>
        <w:rPr>
          <w:rFonts w:ascii="仿宋" w:hAnsi="仿宋" w:eastAsia="仿宋" w:cs="仿宋"/>
        </w:rPr>
      </w:pPr>
      <w:r>
        <w:rPr>
          <w:rFonts w:hint="eastAsia" w:ascii="仿宋" w:hAnsi="仿宋" w:eastAsia="仿宋" w:cs="仿宋"/>
        </w:rPr>
        <w:t>613.您进行身体锻炼（如跑步、打球、打太极、做操、跳舞、游泳、爬山等等，每次持续半小时以上）的习惯是：⑴很少锻炼  ⑵每月1-3次  ⑶每周1次  ⑷每周2-3次 ⑸每周4-7次</w:t>
      </w:r>
    </w:p>
    <w:p>
      <w:pPr>
        <w:spacing w:line="440" w:lineRule="exact"/>
        <w:rPr>
          <w:rFonts w:ascii="仿宋" w:hAnsi="仿宋" w:eastAsia="仿宋" w:cs="仿宋"/>
        </w:rPr>
      </w:pPr>
      <w:r>
        <w:rPr>
          <w:rFonts w:hint="eastAsia" w:ascii="仿宋" w:hAnsi="仿宋" w:eastAsia="仿宋" w:cs="仿宋"/>
        </w:rPr>
        <w:t>614.没有医生的处方您是否会到药店购买抗生素服用？⑴是  ⑵否</w:t>
      </w:r>
    </w:p>
    <w:p>
      <w:pPr>
        <w:spacing w:line="440" w:lineRule="exact"/>
        <w:rPr>
          <w:rFonts w:ascii="仿宋" w:hAnsi="仿宋" w:eastAsia="仿宋" w:cs="仿宋"/>
        </w:rPr>
      </w:pPr>
      <w:r>
        <w:rPr>
          <w:rFonts w:hint="eastAsia" w:ascii="仿宋" w:hAnsi="仿宋" w:eastAsia="仿宋" w:cs="仿宋"/>
        </w:rPr>
        <w:t>615.您是否每年做1次健康体检？⑴是  ⑵否</w:t>
      </w:r>
    </w:p>
    <w:p>
      <w:pPr>
        <w:spacing w:line="440" w:lineRule="exact"/>
        <w:rPr>
          <w:rFonts w:ascii="仿宋" w:hAnsi="仿宋" w:eastAsia="仿宋" w:cs="仿宋"/>
        </w:rPr>
      </w:pPr>
      <w:r>
        <w:rPr>
          <w:rFonts w:hint="eastAsia" w:ascii="仿宋" w:hAnsi="仿宋" w:eastAsia="仿宋" w:cs="仿宋"/>
        </w:rPr>
        <w:t>616.过去一年内您是否感到压力很大？⑴从不  ⑵偶尔  ⑶经常  ⑷总是</w:t>
      </w:r>
      <w:r>
        <w:rPr>
          <w:rFonts w:hint="eastAsia" w:ascii="仿宋" w:hAnsi="仿宋" w:eastAsia="仿宋" w:cs="仿宋"/>
        </w:rPr>
        <w:tab/>
      </w:r>
    </w:p>
    <w:p>
      <w:pPr>
        <w:spacing w:line="440" w:lineRule="exact"/>
        <w:rPr>
          <w:rFonts w:ascii="仿宋" w:hAnsi="仿宋" w:eastAsia="仿宋" w:cs="仿宋"/>
          <w:b/>
        </w:rPr>
      </w:pPr>
      <w:r>
        <w:rPr>
          <w:rFonts w:hint="eastAsia" w:ascii="仿宋" w:hAnsi="仿宋" w:eastAsia="仿宋" w:cs="仿宋"/>
          <w:b/>
        </w:rPr>
        <w:t>健康技能（1-4题只选择一个答案，第5题排序）</w:t>
      </w:r>
    </w:p>
    <w:p>
      <w:pPr>
        <w:spacing w:line="440" w:lineRule="exact"/>
        <w:rPr>
          <w:rFonts w:ascii="仿宋" w:hAnsi="仿宋" w:eastAsia="仿宋" w:cs="仿宋"/>
        </w:rPr>
      </w:pPr>
      <w:r>
        <w:rPr>
          <w:rFonts w:hint="eastAsia" w:ascii="仿宋" w:hAnsi="仿宋" w:eastAsia="仿宋" w:cs="仿宋"/>
        </w:rPr>
        <w:t>617.当需要紧急医疗救助时，应拨打：⑴120  ⑵119  ⑶122  ⑷不知道</w:t>
      </w:r>
    </w:p>
    <w:p>
      <w:pPr>
        <w:spacing w:line="440" w:lineRule="exact"/>
        <w:rPr>
          <w:rFonts w:ascii="仿宋" w:hAnsi="仿宋" w:eastAsia="仿宋" w:cs="仿宋"/>
        </w:rPr>
      </w:pPr>
      <w:r>
        <w:rPr>
          <w:rFonts w:hint="eastAsia" w:ascii="仿宋" w:hAnsi="仿宋" w:eastAsia="仿宋" w:cs="仿宋"/>
        </w:rPr>
        <w:t xml:space="preserve">618.发生火灾时，你会：⑴用湿毛巾捂住口鼻，俯伏撤离火场  ⑵乘坐电梯尽快逃离  </w:t>
      </w:r>
    </w:p>
    <w:p>
      <w:pPr>
        <w:spacing w:line="440" w:lineRule="exact"/>
        <w:rPr>
          <w:rFonts w:ascii="仿宋" w:hAnsi="仿宋" w:eastAsia="仿宋" w:cs="仿宋"/>
        </w:rPr>
      </w:pPr>
      <w:r>
        <w:rPr>
          <w:rFonts w:hint="eastAsia" w:ascii="仿宋" w:hAnsi="仿宋" w:eastAsia="仿宋" w:cs="仿宋"/>
        </w:rPr>
        <w:t>⑶穿好衣服，带上贵重物品，再逃离现场  ⑷不知道</w:t>
      </w:r>
    </w:p>
    <w:p>
      <w:pPr>
        <w:spacing w:line="440" w:lineRule="exact"/>
        <w:rPr>
          <w:rFonts w:ascii="仿宋" w:hAnsi="仿宋" w:eastAsia="仿宋" w:cs="仿宋"/>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-117475</wp:posOffset>
            </wp:positionH>
            <wp:positionV relativeFrom="paragraph">
              <wp:posOffset>433705</wp:posOffset>
            </wp:positionV>
            <wp:extent cx="5263515" cy="181483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3515" cy="1814830"/>
                    </a:xfrm>
                    <a:prstGeom prst="rect">
                      <a:avLst/>
                    </a:prstGeom>
                    <a:noFill/>
                    <a:ln>
                      <a:noFill/>
                    </a:ln>
                  </pic:spPr>
                </pic:pic>
              </a:graphicData>
            </a:graphic>
          </wp:anchor>
        </w:drawing>
      </w:r>
      <w:r>
        <w:rPr>
          <w:rFonts w:hint="eastAsia" w:ascii="仿宋" w:hAnsi="仿宋" w:eastAsia="仿宋" w:cs="仿宋"/>
        </w:rPr>
        <w:t>619.下图标识代表什么意义，请在相应的选项上打“√”。</w:t>
      </w:r>
    </w:p>
    <w:p>
      <w:pPr>
        <w:spacing w:line="440" w:lineRule="exact"/>
        <w:rPr>
          <w:rFonts w:ascii="仿宋" w:hAnsi="仿宋" w:eastAsia="仿宋" w:cs="仿宋"/>
        </w:rPr>
      </w:pPr>
      <w:r>
        <w:rPr>
          <w:rFonts w:hint="eastAsia" w:ascii="仿宋" w:hAnsi="仿宋" w:eastAsia="仿宋" w:cs="仿宋"/>
        </w:rPr>
        <w:t>620.请将正确洗手的步骤进行排序，并将序号填写在在各图下方的括号中：</w:t>
      </w:r>
    </w:p>
    <w:p>
      <w:pPr>
        <w:jc w:val="center"/>
        <w:rPr>
          <w:rFonts w:ascii="仿宋" w:hAnsi="仿宋" w:eastAsia="仿宋" w:cs="仿宋"/>
        </w:rPr>
      </w:pPr>
      <w:r>
        <w:rPr>
          <w:rFonts w:hint="eastAsia" w:ascii="仿宋" w:hAnsi="仿宋" w:eastAsia="仿宋" w:cs="仿宋"/>
        </w:rPr>
        <w:drawing>
          <wp:inline distT="0" distB="0" distL="0" distR="0">
            <wp:extent cx="5518150" cy="31559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t="2071"/>
                    <a:stretch>
                      <a:fillRect/>
                    </a:stretch>
                  </pic:blipFill>
                  <pic:spPr>
                    <a:xfrm>
                      <a:off x="0" y="0"/>
                      <a:ext cx="5518150" cy="3155950"/>
                    </a:xfrm>
                    <a:prstGeom prst="rect">
                      <a:avLst/>
                    </a:prstGeom>
                    <a:noFill/>
                    <a:ln>
                      <a:noFill/>
                    </a:ln>
                  </pic:spPr>
                </pic:pic>
              </a:graphicData>
            </a:graphic>
          </wp:inline>
        </w:drawing>
      </w:r>
    </w:p>
    <w:p>
      <w:pPr>
        <w:tabs>
          <w:tab w:val="left" w:pos="1215"/>
        </w:tabs>
        <w:spacing w:line="540" w:lineRule="exact"/>
        <w:rPr>
          <w:rFonts w:ascii="仿宋" w:hAnsi="仿宋" w:eastAsia="仿宋" w:cs="仿宋"/>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r>
        <w:rPr>
          <w:rFonts w:eastAsia="黑体"/>
          <w:sz w:val="28"/>
          <w:szCs w:val="28"/>
        </w:rPr>
        <w:t>第七部分、个体测量</w:t>
      </w:r>
    </w:p>
    <w:p>
      <w:pPr>
        <w:shd w:val="solid" w:color="FFFFFF" w:fill="auto"/>
        <w:spacing w:line="500" w:lineRule="exact"/>
        <w:rPr>
          <w:rFonts w:eastAsia="仿宋"/>
          <w:kern w:val="0"/>
          <w:sz w:val="28"/>
          <w:szCs w:val="28"/>
        </w:rPr>
      </w:pPr>
      <w:r>
        <w:rPr>
          <w:rFonts w:eastAsia="仿宋"/>
          <w:kern w:val="0"/>
          <w:sz w:val="28"/>
          <w:szCs w:val="28"/>
        </w:rPr>
        <w:t>（由调查人员根据现场检查结果填写）</w:t>
      </w:r>
    </w:p>
    <w:tbl>
      <w:tblPr>
        <w:tblStyle w:val="10"/>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3"/>
        <w:gridCol w:w="6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463" w:type="dxa"/>
          </w:tcPr>
          <w:p>
            <w:pPr>
              <w:spacing w:line="500" w:lineRule="exact"/>
              <w:rPr>
                <w:rFonts w:eastAsia="仿宋"/>
                <w:kern w:val="0"/>
                <w:sz w:val="28"/>
                <w:szCs w:val="28"/>
              </w:rPr>
            </w:pPr>
            <w:r>
              <w:rPr>
                <w:rFonts w:eastAsia="仿宋"/>
                <w:kern w:val="0"/>
                <w:sz w:val="28"/>
                <w:szCs w:val="28"/>
              </w:rPr>
              <w:t>701.调查对象身高</w:t>
            </w:r>
          </w:p>
        </w:tc>
        <w:tc>
          <w:tcPr>
            <w:tcW w:w="6016" w:type="dxa"/>
          </w:tcPr>
          <w:p>
            <w:pPr>
              <w:spacing w:line="500" w:lineRule="exact"/>
              <w:rPr>
                <w:rFonts w:eastAsia="仿宋"/>
                <w:kern w:val="0"/>
                <w:sz w:val="28"/>
                <w:szCs w:val="28"/>
              </w:rPr>
            </w:pPr>
            <w:r>
              <w:rPr>
                <w:rFonts w:eastAsia="仿宋"/>
                <w:kern w:val="0"/>
                <w:sz w:val="28"/>
                <w:szCs w:val="28"/>
                <w:u w:val="single"/>
              </w:rPr>
              <w:t xml:space="preserve">     .   </w:t>
            </w:r>
            <w:r>
              <w:rPr>
                <w:rFonts w:eastAsia="仿宋"/>
                <w:kern w:val="0"/>
                <w:sz w:val="28"/>
                <w:szCs w:val="28"/>
              </w:rPr>
              <w:t>厘米（保留小数点后一位）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463" w:type="dxa"/>
          </w:tcPr>
          <w:p>
            <w:pPr>
              <w:spacing w:line="500" w:lineRule="exact"/>
              <w:rPr>
                <w:rFonts w:eastAsia="仿宋"/>
                <w:kern w:val="0"/>
                <w:sz w:val="28"/>
                <w:szCs w:val="28"/>
              </w:rPr>
            </w:pPr>
            <w:r>
              <w:rPr>
                <w:rFonts w:eastAsia="仿宋"/>
                <w:kern w:val="0"/>
                <w:sz w:val="28"/>
                <w:szCs w:val="28"/>
              </w:rPr>
              <w:t>702.调查对象体重</w:t>
            </w:r>
          </w:p>
        </w:tc>
        <w:tc>
          <w:tcPr>
            <w:tcW w:w="6016" w:type="dxa"/>
          </w:tcPr>
          <w:p>
            <w:pPr>
              <w:spacing w:line="500" w:lineRule="exact"/>
              <w:rPr>
                <w:rFonts w:eastAsia="仿宋"/>
                <w:kern w:val="0"/>
                <w:sz w:val="28"/>
                <w:szCs w:val="28"/>
              </w:rPr>
            </w:pPr>
            <w:r>
              <w:rPr>
                <w:rFonts w:eastAsia="仿宋"/>
                <w:kern w:val="0"/>
                <w:sz w:val="28"/>
                <w:szCs w:val="28"/>
                <w:u w:val="single"/>
              </w:rPr>
              <w:t xml:space="preserve">     .   </w:t>
            </w:r>
            <w:r>
              <w:rPr>
                <w:rFonts w:eastAsia="仿宋"/>
                <w:kern w:val="0"/>
                <w:sz w:val="28"/>
                <w:szCs w:val="28"/>
              </w:rPr>
              <w:t>公斤（保留小数点后一位）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463" w:type="dxa"/>
          </w:tcPr>
          <w:p>
            <w:pPr>
              <w:spacing w:line="500" w:lineRule="exact"/>
              <w:rPr>
                <w:rFonts w:eastAsia="仿宋"/>
                <w:kern w:val="0"/>
                <w:sz w:val="28"/>
                <w:szCs w:val="28"/>
              </w:rPr>
            </w:pPr>
            <w:r>
              <w:rPr>
                <w:rFonts w:eastAsia="仿宋"/>
                <w:kern w:val="0"/>
                <w:sz w:val="28"/>
                <w:szCs w:val="28"/>
              </w:rPr>
              <w:t>703.调查对象腰围</w:t>
            </w:r>
          </w:p>
        </w:tc>
        <w:tc>
          <w:tcPr>
            <w:tcW w:w="6016" w:type="dxa"/>
          </w:tcPr>
          <w:p>
            <w:pPr>
              <w:spacing w:line="500" w:lineRule="exact"/>
              <w:rPr>
                <w:rFonts w:eastAsia="仿宋"/>
                <w:kern w:val="0"/>
                <w:sz w:val="28"/>
                <w:szCs w:val="28"/>
              </w:rPr>
            </w:pPr>
            <w:r>
              <w:rPr>
                <w:rFonts w:eastAsia="仿宋"/>
                <w:kern w:val="0"/>
                <w:sz w:val="28"/>
                <w:szCs w:val="28"/>
                <w:u w:val="single"/>
              </w:rPr>
              <w:t xml:space="preserve">     .   </w:t>
            </w:r>
            <w:r>
              <w:rPr>
                <w:rFonts w:eastAsia="仿宋"/>
                <w:kern w:val="0"/>
                <w:sz w:val="28"/>
                <w:szCs w:val="28"/>
              </w:rPr>
              <w:t>厘米（保留小数点后一位）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trPr>
        <w:tc>
          <w:tcPr>
            <w:tcW w:w="3463" w:type="dxa"/>
          </w:tcPr>
          <w:p>
            <w:pPr>
              <w:shd w:val="solid" w:color="FFFFFF" w:fill="auto"/>
              <w:spacing w:line="500" w:lineRule="exact"/>
              <w:rPr>
                <w:rFonts w:eastAsia="仿宋"/>
                <w:kern w:val="0"/>
                <w:sz w:val="28"/>
                <w:szCs w:val="28"/>
              </w:rPr>
            </w:pPr>
            <w:r>
              <w:rPr>
                <w:rFonts w:eastAsia="仿宋"/>
                <w:kern w:val="0"/>
                <w:sz w:val="28"/>
                <w:szCs w:val="28"/>
              </w:rPr>
              <w:t>704.调查对象血压</w:t>
            </w:r>
          </w:p>
        </w:tc>
        <w:tc>
          <w:tcPr>
            <w:tcW w:w="6016" w:type="dxa"/>
          </w:tcPr>
          <w:p>
            <w:pPr>
              <w:shd w:val="solid" w:color="FFFFFF" w:fill="auto"/>
              <w:spacing w:line="500" w:lineRule="exact"/>
              <w:rPr>
                <w:rFonts w:eastAsia="仿宋"/>
                <w:kern w:val="0"/>
                <w:sz w:val="28"/>
                <w:szCs w:val="28"/>
              </w:rPr>
            </w:pPr>
            <w:r>
              <w:rPr>
                <w:rFonts w:eastAsia="仿宋"/>
                <w:kern w:val="0"/>
                <w:sz w:val="28"/>
                <w:szCs w:val="28"/>
              </w:rPr>
              <w:t>第一次：</w:t>
            </w:r>
            <w:r>
              <w:rPr>
                <w:rFonts w:eastAsia="仿宋"/>
                <w:kern w:val="0"/>
                <w:sz w:val="28"/>
                <w:szCs w:val="28"/>
                <w:u w:val="single"/>
              </w:rPr>
              <w:t xml:space="preserve">       /      </w:t>
            </w:r>
            <w:r>
              <w:rPr>
                <w:rFonts w:eastAsia="仿宋"/>
                <w:kern w:val="0"/>
                <w:sz w:val="28"/>
                <w:szCs w:val="28"/>
              </w:rPr>
              <w:t xml:space="preserve"> mmHg</w:t>
            </w:r>
          </w:p>
          <w:p>
            <w:pPr>
              <w:shd w:val="solid" w:color="FFFFFF" w:fill="auto"/>
              <w:spacing w:line="500" w:lineRule="exact"/>
              <w:rPr>
                <w:rFonts w:eastAsia="仿宋"/>
                <w:kern w:val="0"/>
                <w:sz w:val="28"/>
                <w:szCs w:val="28"/>
              </w:rPr>
            </w:pPr>
            <w:r>
              <w:rPr>
                <w:rFonts w:eastAsia="仿宋"/>
                <w:kern w:val="0"/>
                <w:sz w:val="28"/>
                <w:szCs w:val="28"/>
              </w:rPr>
              <w:t>第二次：</w:t>
            </w:r>
            <w:r>
              <w:rPr>
                <w:rFonts w:eastAsia="仿宋"/>
                <w:kern w:val="0"/>
                <w:sz w:val="28"/>
                <w:szCs w:val="28"/>
                <w:u w:val="single"/>
              </w:rPr>
              <w:t xml:space="preserve">       /      </w:t>
            </w:r>
            <w:r>
              <w:rPr>
                <w:rFonts w:eastAsia="仿宋"/>
                <w:kern w:val="0"/>
                <w:sz w:val="28"/>
                <w:szCs w:val="28"/>
              </w:rPr>
              <w:t xml:space="preserve"> mmHg</w:t>
            </w:r>
          </w:p>
          <w:p>
            <w:pPr>
              <w:shd w:val="solid" w:color="FFFFFF" w:fill="auto"/>
              <w:spacing w:line="500" w:lineRule="exact"/>
              <w:rPr>
                <w:rFonts w:eastAsia="仿宋"/>
                <w:kern w:val="0"/>
                <w:sz w:val="28"/>
                <w:szCs w:val="28"/>
              </w:rPr>
            </w:pPr>
            <w:r>
              <w:rPr>
                <w:rFonts w:eastAsia="仿宋"/>
                <w:kern w:val="0"/>
                <w:sz w:val="28"/>
                <w:szCs w:val="28"/>
              </w:rPr>
              <w:t>第三次：</w:t>
            </w:r>
            <w:r>
              <w:rPr>
                <w:rFonts w:eastAsia="仿宋"/>
                <w:kern w:val="0"/>
                <w:sz w:val="28"/>
                <w:szCs w:val="28"/>
                <w:u w:val="single"/>
              </w:rPr>
              <w:t xml:space="preserve">       /      </w:t>
            </w:r>
            <w:r>
              <w:rPr>
                <w:rFonts w:eastAsia="仿宋"/>
                <w:kern w:val="0"/>
                <w:sz w:val="28"/>
                <w:szCs w:val="28"/>
              </w:rPr>
              <w:t xml:space="preserve">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463" w:type="dxa"/>
          </w:tcPr>
          <w:p>
            <w:pPr>
              <w:shd w:val="solid" w:color="FFFFFF" w:fill="auto"/>
              <w:spacing w:line="500" w:lineRule="exact"/>
              <w:rPr>
                <w:rFonts w:eastAsia="仿宋"/>
                <w:kern w:val="0"/>
                <w:sz w:val="28"/>
                <w:szCs w:val="28"/>
              </w:rPr>
            </w:pPr>
            <w:r>
              <w:rPr>
                <w:rFonts w:eastAsia="仿宋"/>
                <w:kern w:val="0"/>
                <w:sz w:val="28"/>
                <w:szCs w:val="28"/>
              </w:rPr>
              <w:t>705.调查对象的心率为</w:t>
            </w:r>
          </w:p>
        </w:tc>
        <w:tc>
          <w:tcPr>
            <w:tcW w:w="6016" w:type="dxa"/>
          </w:tcPr>
          <w:p>
            <w:pPr>
              <w:shd w:val="solid" w:color="FFFFFF" w:fill="auto"/>
              <w:spacing w:line="500" w:lineRule="exact"/>
              <w:rPr>
                <w:rFonts w:eastAsia="仿宋"/>
                <w:kern w:val="0"/>
                <w:sz w:val="28"/>
                <w:szCs w:val="28"/>
              </w:rPr>
            </w:pPr>
            <w:r>
              <w:rPr>
                <w:rFonts w:eastAsia="仿宋"/>
                <w:kern w:val="0"/>
                <w:sz w:val="28"/>
                <w:szCs w:val="28"/>
                <w:u w:val="single"/>
              </w:rPr>
              <w:t xml:space="preserve">      </w:t>
            </w:r>
            <w:r>
              <w:rPr>
                <w:rFonts w:eastAsia="仿宋"/>
                <w:kern w:val="0"/>
                <w:sz w:val="28"/>
                <w:szCs w:val="28"/>
              </w:rPr>
              <w:t xml:space="preserve"> 次/分钟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463" w:type="dxa"/>
          </w:tcPr>
          <w:p>
            <w:pPr>
              <w:shd w:val="solid" w:color="FFFFFF" w:fill="auto"/>
              <w:spacing w:line="500" w:lineRule="exact"/>
              <w:rPr>
                <w:rFonts w:eastAsia="仿宋"/>
                <w:kern w:val="0"/>
                <w:sz w:val="28"/>
                <w:szCs w:val="28"/>
              </w:rPr>
            </w:pPr>
            <w:r>
              <w:rPr>
                <w:rFonts w:hint="eastAsia" w:eastAsia="仿宋"/>
                <w:kern w:val="0"/>
                <w:sz w:val="28"/>
                <w:szCs w:val="28"/>
              </w:rPr>
              <w:t>706.调查对象的静脉血浆</w:t>
            </w:r>
          </w:p>
          <w:p>
            <w:pPr>
              <w:shd w:val="solid" w:color="FFFFFF" w:fill="auto"/>
              <w:spacing w:line="500" w:lineRule="exact"/>
              <w:rPr>
                <w:rFonts w:eastAsia="仿宋"/>
                <w:kern w:val="0"/>
                <w:sz w:val="28"/>
                <w:szCs w:val="28"/>
              </w:rPr>
            </w:pPr>
          </w:p>
        </w:tc>
        <w:tc>
          <w:tcPr>
            <w:tcW w:w="6016" w:type="dxa"/>
          </w:tcPr>
          <w:p>
            <w:pPr>
              <w:widowControl/>
              <w:shd w:val="solid" w:color="FFFFFF" w:fill="auto"/>
              <w:spacing w:line="500" w:lineRule="exact"/>
              <w:rPr>
                <w:rFonts w:eastAsia="仿宋"/>
                <w:kern w:val="0"/>
                <w:sz w:val="28"/>
                <w:szCs w:val="28"/>
                <w:shd w:val="clear" w:color="auto" w:fill="FFFFFF"/>
              </w:rPr>
            </w:pPr>
            <w:r>
              <w:rPr>
                <w:rFonts w:hint="eastAsia" w:eastAsia="仿宋"/>
                <w:kern w:val="0"/>
                <w:sz w:val="28"/>
                <w:szCs w:val="28"/>
                <w:shd w:val="clear" w:color="auto" w:fill="FFFFFF"/>
              </w:rPr>
              <w:t>空腹血糖为</w:t>
            </w:r>
            <w:r>
              <w:rPr>
                <w:rFonts w:eastAsia="仿宋"/>
                <w:kern w:val="0"/>
                <w:sz w:val="28"/>
                <w:szCs w:val="28"/>
                <w:u w:val="single"/>
              </w:rPr>
              <w:t xml:space="preserve">    </w:t>
            </w:r>
            <w:r>
              <w:rPr>
                <w:rFonts w:hint="eastAsia" w:eastAsia="仿宋"/>
                <w:kern w:val="0"/>
                <w:sz w:val="28"/>
                <w:szCs w:val="28"/>
                <w:shd w:val="clear" w:color="auto" w:fill="FFFFFF"/>
              </w:rPr>
              <w:t>mmol/L；</w:t>
            </w:r>
          </w:p>
          <w:p>
            <w:pPr>
              <w:widowControl/>
              <w:shd w:val="solid" w:color="FFFFFF" w:fill="auto"/>
              <w:spacing w:line="500" w:lineRule="exact"/>
              <w:rPr>
                <w:rFonts w:eastAsia="仿宋"/>
                <w:kern w:val="0"/>
                <w:sz w:val="28"/>
                <w:szCs w:val="28"/>
                <w:u w:val="single"/>
              </w:rPr>
            </w:pPr>
            <w:r>
              <w:rPr>
                <w:rFonts w:hint="eastAsia" w:eastAsia="仿宋"/>
                <w:kern w:val="0"/>
                <w:sz w:val="28"/>
                <w:szCs w:val="28"/>
                <w:shd w:val="clear" w:color="auto" w:fill="FFFFFF"/>
              </w:rPr>
              <w:t>餐后2小时血糖为</w:t>
            </w:r>
            <w:r>
              <w:rPr>
                <w:rFonts w:eastAsia="仿宋"/>
                <w:kern w:val="0"/>
                <w:sz w:val="28"/>
                <w:szCs w:val="28"/>
                <w:u w:val="single"/>
              </w:rPr>
              <w:t xml:space="preserve">    </w:t>
            </w:r>
            <w:r>
              <w:rPr>
                <w:rFonts w:hint="eastAsia" w:eastAsia="仿宋"/>
                <w:kern w:val="0"/>
                <w:sz w:val="28"/>
                <w:szCs w:val="28"/>
                <w:shd w:val="clear" w:color="auto" w:fill="FFFFFF"/>
              </w:rPr>
              <w:t>mmol/L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3463" w:type="dxa"/>
          </w:tcPr>
          <w:p>
            <w:pPr>
              <w:widowControl/>
              <w:shd w:val="solid" w:color="FFFFFF" w:fill="auto"/>
              <w:spacing w:line="500" w:lineRule="exact"/>
              <w:rPr>
                <w:rFonts w:eastAsia="仿宋"/>
                <w:kern w:val="0"/>
                <w:sz w:val="28"/>
                <w:szCs w:val="28"/>
              </w:rPr>
            </w:pPr>
            <w:r>
              <w:rPr>
                <w:rFonts w:eastAsia="仿宋"/>
                <w:kern w:val="0"/>
                <w:sz w:val="28"/>
                <w:szCs w:val="28"/>
              </w:rPr>
              <w:t>70</w:t>
            </w:r>
            <w:r>
              <w:rPr>
                <w:rFonts w:hint="eastAsia" w:eastAsia="仿宋"/>
                <w:kern w:val="0"/>
                <w:sz w:val="28"/>
                <w:szCs w:val="28"/>
              </w:rPr>
              <w:t>7</w:t>
            </w:r>
            <w:r>
              <w:rPr>
                <w:rFonts w:eastAsia="仿宋"/>
                <w:kern w:val="0"/>
                <w:sz w:val="28"/>
                <w:szCs w:val="28"/>
              </w:rPr>
              <w:t>.调查对象的血脂</w:t>
            </w:r>
          </w:p>
        </w:tc>
        <w:tc>
          <w:tcPr>
            <w:tcW w:w="6016" w:type="dxa"/>
          </w:tcPr>
          <w:p>
            <w:pPr>
              <w:widowControl/>
              <w:shd w:val="solid" w:color="FFFFFF" w:fill="auto"/>
              <w:spacing w:line="500" w:lineRule="exact"/>
              <w:rPr>
                <w:rFonts w:eastAsia="仿宋"/>
                <w:kern w:val="0"/>
                <w:sz w:val="28"/>
                <w:szCs w:val="28"/>
                <w:shd w:val="clear" w:color="auto" w:fill="FFFFFF"/>
              </w:rPr>
            </w:pPr>
            <w:r>
              <w:rPr>
                <w:rFonts w:eastAsia="仿宋"/>
                <w:kern w:val="0"/>
                <w:sz w:val="28"/>
                <w:szCs w:val="28"/>
              </w:rPr>
              <w:t>①</w:t>
            </w:r>
            <w:r>
              <w:rPr>
                <w:rFonts w:eastAsia="仿宋"/>
                <w:kern w:val="0"/>
                <w:sz w:val="28"/>
                <w:szCs w:val="28"/>
                <w:shd w:val="clear" w:color="auto" w:fill="FFFFFF"/>
              </w:rPr>
              <w:t>总胆固醇(TC)</w:t>
            </w:r>
            <w:r>
              <w:rPr>
                <w:rFonts w:eastAsia="仿宋"/>
                <w:kern w:val="0"/>
                <w:sz w:val="28"/>
                <w:szCs w:val="28"/>
                <w:u w:val="single"/>
              </w:rPr>
              <w:t xml:space="preserve">    </w:t>
            </w:r>
            <w:r>
              <w:rPr>
                <w:rFonts w:eastAsia="仿宋"/>
                <w:kern w:val="0"/>
                <w:sz w:val="28"/>
                <w:szCs w:val="28"/>
              </w:rPr>
              <w:t>mmol/L</w:t>
            </w:r>
            <w:r>
              <w:rPr>
                <w:rFonts w:eastAsia="仿宋"/>
                <w:kern w:val="0"/>
                <w:sz w:val="28"/>
                <w:szCs w:val="28"/>
                <w:shd w:val="clear" w:color="auto" w:fill="FFFFFF"/>
              </w:rPr>
              <w:t xml:space="preserve"> 　</w:t>
            </w:r>
          </w:p>
          <w:p>
            <w:pPr>
              <w:widowControl/>
              <w:shd w:val="solid" w:color="FFFFFF" w:fill="auto"/>
              <w:spacing w:line="500" w:lineRule="exact"/>
              <w:rPr>
                <w:rFonts w:eastAsia="仿宋"/>
                <w:kern w:val="0"/>
                <w:sz w:val="28"/>
                <w:szCs w:val="28"/>
                <w:shd w:val="clear" w:color="auto" w:fill="FFFFFF"/>
              </w:rPr>
            </w:pPr>
            <w:r>
              <w:rPr>
                <w:rFonts w:eastAsia="仿宋"/>
                <w:kern w:val="0"/>
                <w:sz w:val="28"/>
                <w:szCs w:val="28"/>
              </w:rPr>
              <w:t>②</w:t>
            </w:r>
            <w:r>
              <w:rPr>
                <w:rFonts w:eastAsia="仿宋"/>
                <w:kern w:val="0"/>
                <w:sz w:val="28"/>
                <w:szCs w:val="28"/>
                <w:shd w:val="clear" w:color="auto" w:fill="FFFFFF"/>
              </w:rPr>
              <w:t>甘油三脂(TG)</w:t>
            </w:r>
            <w:r>
              <w:rPr>
                <w:rFonts w:eastAsia="仿宋"/>
                <w:kern w:val="0"/>
                <w:sz w:val="28"/>
                <w:szCs w:val="28"/>
                <w:u w:val="single"/>
              </w:rPr>
              <w:t xml:space="preserve">    </w:t>
            </w:r>
            <w:r>
              <w:rPr>
                <w:rFonts w:eastAsia="仿宋"/>
                <w:kern w:val="0"/>
                <w:sz w:val="28"/>
                <w:szCs w:val="28"/>
              </w:rPr>
              <w:t>mmol/L</w:t>
            </w:r>
          </w:p>
          <w:p>
            <w:pPr>
              <w:widowControl/>
              <w:shd w:val="solid" w:color="FFFFFF" w:fill="auto"/>
              <w:spacing w:line="500" w:lineRule="exact"/>
              <w:rPr>
                <w:rFonts w:eastAsia="仿宋"/>
                <w:kern w:val="0"/>
                <w:sz w:val="28"/>
                <w:szCs w:val="28"/>
                <w:shd w:val="clear" w:color="auto" w:fill="FFFFFF"/>
              </w:rPr>
            </w:pPr>
            <w:r>
              <w:rPr>
                <w:rFonts w:eastAsia="仿宋"/>
                <w:kern w:val="0"/>
                <w:sz w:val="28"/>
                <w:szCs w:val="28"/>
              </w:rPr>
              <w:t>③</w:t>
            </w:r>
            <w:r>
              <w:rPr>
                <w:rFonts w:eastAsia="仿宋"/>
                <w:kern w:val="0"/>
                <w:sz w:val="28"/>
                <w:szCs w:val="28"/>
                <w:shd w:val="clear" w:color="auto" w:fill="FFFFFF"/>
              </w:rPr>
              <w:t>高密度脂蛋白胆固醇(HDL-C)</w:t>
            </w:r>
            <w:r>
              <w:rPr>
                <w:rFonts w:eastAsia="仿宋"/>
                <w:kern w:val="0"/>
                <w:sz w:val="28"/>
                <w:szCs w:val="28"/>
                <w:u w:val="single"/>
              </w:rPr>
              <w:t xml:space="preserve">    </w:t>
            </w:r>
            <w:r>
              <w:rPr>
                <w:rFonts w:eastAsia="仿宋"/>
                <w:kern w:val="0"/>
                <w:sz w:val="28"/>
                <w:szCs w:val="28"/>
              </w:rPr>
              <w:t>mmol/L</w:t>
            </w:r>
          </w:p>
          <w:p>
            <w:pPr>
              <w:widowControl/>
              <w:shd w:val="solid" w:color="FFFFFF" w:fill="auto"/>
              <w:spacing w:line="500" w:lineRule="exact"/>
              <w:rPr>
                <w:rFonts w:eastAsia="仿宋"/>
                <w:kern w:val="0"/>
                <w:sz w:val="28"/>
                <w:szCs w:val="28"/>
              </w:rPr>
            </w:pPr>
            <w:r>
              <w:rPr>
                <w:rFonts w:eastAsia="仿宋"/>
                <w:kern w:val="0"/>
                <w:sz w:val="28"/>
                <w:szCs w:val="28"/>
              </w:rPr>
              <w:t>④</w:t>
            </w:r>
            <w:r>
              <w:rPr>
                <w:rFonts w:eastAsia="仿宋"/>
                <w:kern w:val="0"/>
                <w:sz w:val="28"/>
                <w:szCs w:val="28"/>
                <w:shd w:val="clear" w:color="auto" w:fill="FFFFFF"/>
              </w:rPr>
              <w:t>低密度脂蛋白胆固醇(LDL-C)</w:t>
            </w:r>
            <w:r>
              <w:rPr>
                <w:rFonts w:eastAsia="仿宋"/>
                <w:kern w:val="0"/>
                <w:sz w:val="28"/>
                <w:szCs w:val="28"/>
                <w:u w:val="single"/>
              </w:rPr>
              <w:t xml:space="preserve">    </w:t>
            </w:r>
            <w:r>
              <w:rPr>
                <w:rFonts w:eastAsia="仿宋"/>
                <w:kern w:val="0"/>
                <w:sz w:val="28"/>
                <w:szCs w:val="28"/>
              </w:rPr>
              <w:t>mmol/L</w:t>
            </w:r>
          </w:p>
        </w:tc>
      </w:tr>
    </w:tbl>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r>
        <w:rPr>
          <w:rFonts w:eastAsia="仿宋_GB2312"/>
          <w:sz w:val="28"/>
          <w:szCs w:val="28"/>
        </w:rPr>
        <w:t>调查到此结束，感谢您的合作与支持！</w:t>
      </w: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60" w:lineRule="exact"/>
        <w:jc w:val="right"/>
        <w:rPr>
          <w:rFonts w:eastAsia="仿宋_GB2312"/>
          <w:sz w:val="28"/>
          <w:szCs w:val="28"/>
        </w:rPr>
      </w:pPr>
      <w:r>
        <w:rPr>
          <w:rFonts w:eastAsia="仿宋_GB2312"/>
          <w:sz w:val="28"/>
          <w:szCs w:val="28"/>
        </w:rPr>
        <w:t>调  查  员签名：</w:t>
      </w:r>
      <w:r>
        <w:rPr>
          <w:rFonts w:eastAsia="仿宋_GB2312"/>
          <w:sz w:val="28"/>
          <w:szCs w:val="28"/>
          <w:u w:val="single"/>
        </w:rPr>
        <w:t xml:space="preserve">             </w:t>
      </w:r>
      <w:r>
        <w:rPr>
          <w:rFonts w:eastAsia="仿宋_GB2312"/>
          <w:sz w:val="28"/>
          <w:szCs w:val="28"/>
        </w:rPr>
        <w:t>调查日期______________</w:t>
      </w:r>
    </w:p>
    <w:p>
      <w:pPr>
        <w:tabs>
          <w:tab w:val="left" w:pos="1680"/>
          <w:tab w:val="left" w:pos="2100"/>
          <w:tab w:val="left" w:pos="3360"/>
          <w:tab w:val="left" w:pos="3780"/>
          <w:tab w:val="left" w:pos="4200"/>
          <w:tab w:val="left" w:pos="5040"/>
          <w:tab w:val="left" w:pos="5460"/>
          <w:tab w:val="left" w:pos="6687"/>
        </w:tabs>
        <w:spacing w:line="560" w:lineRule="exact"/>
        <w:jc w:val="right"/>
        <w:rPr>
          <w:rFonts w:eastAsia="仿宋_GB2312"/>
          <w:sz w:val="28"/>
          <w:szCs w:val="28"/>
        </w:rPr>
      </w:pPr>
      <w:r>
        <w:rPr>
          <w:rFonts w:eastAsia="仿宋_GB2312"/>
          <w:sz w:val="28"/>
          <w:szCs w:val="28"/>
        </w:rPr>
        <w:t>调查指导员签名：</w:t>
      </w:r>
      <w:r>
        <w:rPr>
          <w:rFonts w:eastAsia="仿宋_GB2312"/>
          <w:sz w:val="28"/>
          <w:szCs w:val="28"/>
          <w:u w:val="single"/>
        </w:rPr>
        <w:t xml:space="preserve">             </w:t>
      </w:r>
      <w:r>
        <w:rPr>
          <w:rFonts w:eastAsia="仿宋_GB2312"/>
          <w:sz w:val="28"/>
          <w:szCs w:val="28"/>
        </w:rPr>
        <w:t>审核日期______________</w:t>
      </w:r>
    </w:p>
    <w:p>
      <w:pPr>
        <w:tabs>
          <w:tab w:val="left" w:pos="1680"/>
          <w:tab w:val="left" w:pos="2100"/>
          <w:tab w:val="left" w:pos="3360"/>
          <w:tab w:val="left" w:pos="3780"/>
          <w:tab w:val="left" w:pos="4200"/>
          <w:tab w:val="left" w:pos="5040"/>
          <w:tab w:val="left" w:pos="5460"/>
          <w:tab w:val="left" w:pos="6687"/>
        </w:tabs>
        <w:spacing w:line="56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60" w:lineRule="exact"/>
        <w:rPr>
          <w:rFonts w:eastAsia="仿宋_GB2312"/>
          <w:sz w:val="28"/>
          <w:szCs w:val="28"/>
        </w:rPr>
      </w:pPr>
    </w:p>
    <w:p>
      <w:pPr>
        <w:pStyle w:val="2"/>
        <w:rPr>
          <w:rFonts w:ascii="黑体" w:hAnsi="黑体" w:eastAsia="黑体"/>
          <w:b w:val="0"/>
          <w:sz w:val="30"/>
          <w:szCs w:val="30"/>
        </w:rPr>
      </w:pPr>
    </w:p>
    <w:p>
      <w:pPr>
        <w:rPr>
          <w:color w:val="000000" w:themeColor="text1"/>
          <w:kern w:val="0"/>
          <w:szCs w:val="2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仿宋_GB2312">
    <w:altName w:val="仿宋"/>
    <w:panose1 w:val="00000000000000000000"/>
    <w:charset w:val="86"/>
    <w:family w:val="modern"/>
    <w:pitch w:val="default"/>
    <w:sig w:usb0="00000000" w:usb1="00000000" w:usb2="00000010" w:usb3="00000000" w:csb0="00040000" w:csb1="00000000"/>
  </w:font>
  <w:font w:name="$F$">
    <w:altName w:val="Arial"/>
    <w:panose1 w:val="00000000000000000000"/>
    <w:charset w:val="00"/>
    <w:family w:val="roman"/>
    <w:pitch w:val="default"/>
    <w:sig w:usb0="00000000"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57885" cy="147955"/>
              <wp:effectExtent l="0" t="0" r="0" b="0"/>
              <wp:wrapNone/>
              <wp:docPr id="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wps:spPr>
                    <wps:txbx>
                      <w:txbxContent>
                        <w:p>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67.55pt;mso-position-horizontal:center;mso-position-horizontal-relative:margin;mso-wrap-style:none;z-index:251659264;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Q3lE0gAAAAQBAAAPAAAAAAAAAAEAIAAAACIAAABkcnMv&#10;ZG93bnJldi54bWxQSwECFAAUAAAACACHTuJAtWxQ6gkCAAACBAAADgAAAAAAAAABACAAAAAhAQAA&#10;ZHJzL2Uyb0RvYy54bWxQSwUGAAAAAAYABgBZAQAAnAUAAAAA&#10;">
              <v:fill on="f" focussize="0,0"/>
              <v:stroke on="f"/>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Ob2TXoEAgAABAQAAA4AAAAAAAAAAQAgAAAAHgEAAGRycy9lMm9E&#10;b2MueG1sUEsFBgAAAAAGAAYAWQEAAJQFAAAAAA==&#10;">
              <v:fill on="f" focussize="0,0"/>
              <v:stroke on="f"/>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855"/>
      </w:tabs>
      <w:rPr>
        <w:rFonts w:ascii="黑体" w:hAnsi="宋体" w:eastAsia="黑体" w:cs="宋体"/>
        <w:kern w:val="0"/>
        <w:sz w:val="36"/>
        <w:szCs w:val="36"/>
      </w:rPr>
    </w:pPr>
    <w:r>
      <w:rPr>
        <w:rFonts w:hint="eastAsia" w:ascii="仿宋_GB2312" w:eastAsia="仿宋_GB2312"/>
        <w:sz w:val="28"/>
        <w:szCs w:val="28"/>
      </w:rPr>
      <w:t>个人调查问卷：                       编号：</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6916BC"/>
    <w:multiLevelType w:val="singleLevel"/>
    <w:tmpl w:val="A36916BC"/>
    <w:lvl w:ilvl="0" w:tentative="0">
      <w:start w:val="1"/>
      <w:numFmt w:val="decimal"/>
      <w:suff w:val="nothing"/>
      <w:lvlText w:val="%1、"/>
      <w:lvlJc w:val="left"/>
    </w:lvl>
  </w:abstractNum>
  <w:abstractNum w:abstractNumId="1">
    <w:nsid w:val="574C0B3D"/>
    <w:multiLevelType w:val="singleLevel"/>
    <w:tmpl w:val="574C0B3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3ZGYxZjVmZGEyYzM5ODk4YjM2MTdlOThjZTlhZGQifQ=="/>
  </w:docVars>
  <w:rsids>
    <w:rsidRoot w:val="36D32142"/>
    <w:rsid w:val="000A00AF"/>
    <w:rsid w:val="00167A9A"/>
    <w:rsid w:val="0019110F"/>
    <w:rsid w:val="001F54EA"/>
    <w:rsid w:val="00211587"/>
    <w:rsid w:val="00224E2A"/>
    <w:rsid w:val="002365BA"/>
    <w:rsid w:val="00267E4A"/>
    <w:rsid w:val="00273843"/>
    <w:rsid w:val="002C766C"/>
    <w:rsid w:val="002E1039"/>
    <w:rsid w:val="00310A11"/>
    <w:rsid w:val="003E3574"/>
    <w:rsid w:val="00426450"/>
    <w:rsid w:val="00436072"/>
    <w:rsid w:val="00436A39"/>
    <w:rsid w:val="00463AA8"/>
    <w:rsid w:val="004C7DDE"/>
    <w:rsid w:val="004D2E5D"/>
    <w:rsid w:val="004F70FF"/>
    <w:rsid w:val="00500450"/>
    <w:rsid w:val="00566078"/>
    <w:rsid w:val="005915DF"/>
    <w:rsid w:val="005944C4"/>
    <w:rsid w:val="00595C0C"/>
    <w:rsid w:val="005F0620"/>
    <w:rsid w:val="00683E46"/>
    <w:rsid w:val="00690D4E"/>
    <w:rsid w:val="007046D7"/>
    <w:rsid w:val="0077355F"/>
    <w:rsid w:val="007B0316"/>
    <w:rsid w:val="007C7B7D"/>
    <w:rsid w:val="00810B00"/>
    <w:rsid w:val="008342E9"/>
    <w:rsid w:val="008820C5"/>
    <w:rsid w:val="008C1891"/>
    <w:rsid w:val="008C42C1"/>
    <w:rsid w:val="008C5640"/>
    <w:rsid w:val="0090042A"/>
    <w:rsid w:val="00915842"/>
    <w:rsid w:val="0092019F"/>
    <w:rsid w:val="009728E8"/>
    <w:rsid w:val="009B2F4C"/>
    <w:rsid w:val="009C5EAC"/>
    <w:rsid w:val="009F26D4"/>
    <w:rsid w:val="00A871F6"/>
    <w:rsid w:val="00AA1FDA"/>
    <w:rsid w:val="00B654DA"/>
    <w:rsid w:val="00B66502"/>
    <w:rsid w:val="00B7329D"/>
    <w:rsid w:val="00B8124B"/>
    <w:rsid w:val="00B87855"/>
    <w:rsid w:val="00BB0889"/>
    <w:rsid w:val="00BB2697"/>
    <w:rsid w:val="00BB293F"/>
    <w:rsid w:val="00BD4560"/>
    <w:rsid w:val="00BE5439"/>
    <w:rsid w:val="00C037C8"/>
    <w:rsid w:val="00C10BD8"/>
    <w:rsid w:val="00C121AF"/>
    <w:rsid w:val="00C1245C"/>
    <w:rsid w:val="00C14DCE"/>
    <w:rsid w:val="00C41CCE"/>
    <w:rsid w:val="00C50A12"/>
    <w:rsid w:val="00C63805"/>
    <w:rsid w:val="00C813EF"/>
    <w:rsid w:val="00C85682"/>
    <w:rsid w:val="00CE1A73"/>
    <w:rsid w:val="00CE30D6"/>
    <w:rsid w:val="00CF3E64"/>
    <w:rsid w:val="00D366E8"/>
    <w:rsid w:val="00D408E2"/>
    <w:rsid w:val="00D50355"/>
    <w:rsid w:val="00DF44CD"/>
    <w:rsid w:val="00E345BF"/>
    <w:rsid w:val="00E35BE0"/>
    <w:rsid w:val="00E97E9D"/>
    <w:rsid w:val="00EA1DB8"/>
    <w:rsid w:val="00EC664F"/>
    <w:rsid w:val="00ED7252"/>
    <w:rsid w:val="00EE2464"/>
    <w:rsid w:val="00EF230D"/>
    <w:rsid w:val="00F01DCE"/>
    <w:rsid w:val="00F075F5"/>
    <w:rsid w:val="00F3236C"/>
    <w:rsid w:val="00F907AC"/>
    <w:rsid w:val="00FE43FD"/>
    <w:rsid w:val="04A66014"/>
    <w:rsid w:val="06471CEB"/>
    <w:rsid w:val="08B33959"/>
    <w:rsid w:val="0D9160A3"/>
    <w:rsid w:val="111A6879"/>
    <w:rsid w:val="11923A50"/>
    <w:rsid w:val="132C233E"/>
    <w:rsid w:val="180513B0"/>
    <w:rsid w:val="1AD0039B"/>
    <w:rsid w:val="1C0F2615"/>
    <w:rsid w:val="26A34BB6"/>
    <w:rsid w:val="27214717"/>
    <w:rsid w:val="29BB37ED"/>
    <w:rsid w:val="29F50878"/>
    <w:rsid w:val="2A792E51"/>
    <w:rsid w:val="2E7A444E"/>
    <w:rsid w:val="2E8B21B7"/>
    <w:rsid w:val="32363EC7"/>
    <w:rsid w:val="35635C3C"/>
    <w:rsid w:val="366722AB"/>
    <w:rsid w:val="36D32142"/>
    <w:rsid w:val="376A03A7"/>
    <w:rsid w:val="38580ADC"/>
    <w:rsid w:val="38C32F01"/>
    <w:rsid w:val="3A8A77C7"/>
    <w:rsid w:val="3ACA274A"/>
    <w:rsid w:val="409C3B0D"/>
    <w:rsid w:val="41635215"/>
    <w:rsid w:val="47B41201"/>
    <w:rsid w:val="486F26F2"/>
    <w:rsid w:val="4F5A276F"/>
    <w:rsid w:val="50700024"/>
    <w:rsid w:val="5212481A"/>
    <w:rsid w:val="523E69BE"/>
    <w:rsid w:val="52710388"/>
    <w:rsid w:val="52E402E8"/>
    <w:rsid w:val="56BB2F5E"/>
    <w:rsid w:val="56EE0C86"/>
    <w:rsid w:val="58907F4D"/>
    <w:rsid w:val="5B2E09F5"/>
    <w:rsid w:val="5F40667F"/>
    <w:rsid w:val="62F12229"/>
    <w:rsid w:val="63212EEA"/>
    <w:rsid w:val="6A212C83"/>
    <w:rsid w:val="6BBF1117"/>
    <w:rsid w:val="70D4571F"/>
    <w:rsid w:val="727848CB"/>
    <w:rsid w:val="746D6A5B"/>
    <w:rsid w:val="766F3ACE"/>
    <w:rsid w:val="770025E3"/>
    <w:rsid w:val="79876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link w:val="19"/>
    <w:qFormat/>
    <w:uiPriority w:val="9"/>
    <w:pPr>
      <w:widowControl w:val="0"/>
      <w:autoSpaceDE w:val="0"/>
      <w:autoSpaceDN w:val="0"/>
      <w:adjustRightInd w:val="0"/>
      <w:outlineLvl w:val="0"/>
    </w:pPr>
    <w:rPr>
      <w:rFonts w:ascii="MingLiU" w:hAnsi="MingLiU" w:eastAsia="MingLiU" w:cs="Times New Roman"/>
      <w:b/>
      <w:color w:val="000000"/>
      <w:sz w:val="32"/>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link w:val="15"/>
    <w:qFormat/>
    <w:uiPriority w:val="0"/>
    <w:pPr>
      <w:widowControl w:val="0"/>
    </w:pPr>
    <w:rPr>
      <w:rFonts w:ascii="Calibri" w:hAnsi="Calibri" w:eastAsia="宋体" w:cs="Times New Roman"/>
      <w:kern w:val="2"/>
      <w:sz w:val="21"/>
      <w:szCs w:val="24"/>
      <w:lang w:val="en-US" w:eastAsia="zh-CN" w:bidi="ar-SA"/>
    </w:rPr>
  </w:style>
  <w:style w:type="paragraph" w:styleId="4">
    <w:name w:val="Balloon Text"/>
    <w:basedOn w:val="1"/>
    <w:link w:val="17"/>
    <w:qFormat/>
    <w:uiPriority w:val="0"/>
    <w:rPr>
      <w:sz w:val="18"/>
      <w:szCs w:val="18"/>
    </w:rPr>
  </w:style>
  <w:style w:type="paragraph" w:styleId="5">
    <w:name w:val="footer"/>
    <w:qFormat/>
    <w:uiPriority w:val="0"/>
    <w:pPr>
      <w:widowControl w:val="0"/>
      <w:tabs>
        <w:tab w:val="center" w:pos="4153"/>
        <w:tab w:val="right" w:pos="8306"/>
      </w:tabs>
      <w:snapToGrid w:val="0"/>
    </w:pPr>
    <w:rPr>
      <w:rFonts w:ascii="Times New Roman" w:hAnsi="Times New Roman" w:eastAsia="宋体" w:cs="Times New Roman"/>
      <w:kern w:val="2"/>
      <w:sz w:val="18"/>
      <w:szCs w:val="18"/>
      <w:lang w:val="en-US" w:eastAsia="zh-CN" w:bidi="ar-SA"/>
    </w:rPr>
  </w:style>
  <w:style w:type="paragraph" w:styleId="6">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pPr>
    <w:rPr>
      <w:rFonts w:ascii="宋体" w:hAnsi="宋体" w:cs="宋体"/>
      <w:sz w:val="24"/>
    </w:rPr>
  </w:style>
  <w:style w:type="paragraph" w:styleId="8">
    <w:name w:val="annotation subject"/>
    <w:basedOn w:val="3"/>
    <w:next w:val="3"/>
    <w:link w:val="16"/>
    <w:qFormat/>
    <w:uiPriority w:val="0"/>
    <w:rPr>
      <w:rFonts w:ascii="Times New Roman" w:hAnsi="Times New Roman"/>
      <w:b/>
      <w:bCs/>
    </w:rPr>
  </w:style>
  <w:style w:type="table" w:styleId="10">
    <w:name w:val="Table Grid"/>
    <w:basedOn w:val="9"/>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character" w:styleId="13">
    <w:name w:val="Hyperlink"/>
    <w:basedOn w:val="11"/>
    <w:unhideWhenUsed/>
    <w:qFormat/>
    <w:uiPriority w:val="99"/>
    <w:rPr>
      <w:color w:val="0000FF"/>
      <w:u w:val="single"/>
    </w:rPr>
  </w:style>
  <w:style w:type="character" w:styleId="14">
    <w:name w:val="annotation reference"/>
    <w:basedOn w:val="11"/>
    <w:qFormat/>
    <w:uiPriority w:val="0"/>
    <w:rPr>
      <w:sz w:val="21"/>
      <w:szCs w:val="21"/>
    </w:rPr>
  </w:style>
  <w:style w:type="character" w:customStyle="1" w:styleId="15">
    <w:name w:val="批注文字 字符"/>
    <w:basedOn w:val="11"/>
    <w:link w:val="3"/>
    <w:qFormat/>
    <w:uiPriority w:val="0"/>
    <w:rPr>
      <w:rFonts w:ascii="Calibri" w:hAnsi="Calibri" w:eastAsia="宋体" w:cs="Times New Roman"/>
      <w:kern w:val="2"/>
      <w:sz w:val="21"/>
      <w:szCs w:val="24"/>
    </w:rPr>
  </w:style>
  <w:style w:type="character" w:customStyle="1" w:styleId="16">
    <w:name w:val="批注主题 字符"/>
    <w:basedOn w:val="15"/>
    <w:link w:val="8"/>
    <w:qFormat/>
    <w:uiPriority w:val="0"/>
    <w:rPr>
      <w:rFonts w:ascii="Times New Roman" w:hAnsi="Times New Roman" w:eastAsia="宋体" w:cs="Times New Roman"/>
      <w:b/>
      <w:bCs/>
      <w:kern w:val="2"/>
      <w:sz w:val="21"/>
      <w:szCs w:val="24"/>
    </w:rPr>
  </w:style>
  <w:style w:type="character" w:customStyle="1" w:styleId="17">
    <w:name w:val="批注框文本 字符"/>
    <w:basedOn w:val="11"/>
    <w:link w:val="4"/>
    <w:qFormat/>
    <w:uiPriority w:val="0"/>
    <w:rPr>
      <w:rFonts w:ascii="Times New Roman" w:hAnsi="Times New Roman" w:eastAsia="宋体" w:cs="Times New Roman"/>
      <w:kern w:val="2"/>
      <w:sz w:val="18"/>
      <w:szCs w:val="18"/>
    </w:rPr>
  </w:style>
  <w:style w:type="character" w:customStyle="1" w:styleId="18">
    <w:name w:val="页眉 字符"/>
    <w:basedOn w:val="11"/>
    <w:link w:val="6"/>
    <w:qFormat/>
    <w:uiPriority w:val="0"/>
    <w:rPr>
      <w:rFonts w:ascii="Times New Roman" w:hAnsi="Times New Roman" w:eastAsia="宋体" w:cs="Times New Roman"/>
      <w:kern w:val="2"/>
      <w:sz w:val="18"/>
      <w:szCs w:val="18"/>
    </w:rPr>
  </w:style>
  <w:style w:type="character" w:customStyle="1" w:styleId="19">
    <w:name w:val="标题 1 字符"/>
    <w:basedOn w:val="11"/>
    <w:link w:val="2"/>
    <w:qFormat/>
    <w:uiPriority w:val="9"/>
    <w:rPr>
      <w:rFonts w:ascii="MingLiU" w:hAnsi="MingLiU" w:eastAsia="MingLiU" w:cs="Times New Roman"/>
      <w:b/>
      <w:color w:val="000000"/>
      <w:sz w:val="32"/>
    </w:rPr>
  </w:style>
  <w:style w:type="paragraph" w:styleId="20">
    <w:name w:val="List Paragraph"/>
    <w:basedOn w:val="1"/>
    <w:unhideWhenUsed/>
    <w:qFormat/>
    <w:uiPriority w:val="99"/>
    <w:pPr>
      <w:ind w:firstLine="420" w:firstLineChars="200"/>
    </w:pPr>
  </w:style>
  <w:style w:type="paragraph" w:customStyle="1" w:styleId="21">
    <w:name w:val="Table Paragraph"/>
    <w:basedOn w:val="1"/>
    <w:qFormat/>
    <w:uiPriority w:val="1"/>
    <w:pPr>
      <w:ind w:left="108"/>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oleObject" Target="embeddings/oleObject9.bin"/><Relationship Id="rId21" Type="http://schemas.openxmlformats.org/officeDocument/2006/relationships/oleObject" Target="embeddings/oleObject8.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5.wmf"/><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0C687-F0B2-42FB-9B3A-7BBB2307B704}">
  <ds:schemaRefs/>
</ds:datastoreItem>
</file>

<file path=docProps/app.xml><?xml version="1.0" encoding="utf-8"?>
<Properties xmlns="http://schemas.openxmlformats.org/officeDocument/2006/extended-properties" xmlns:vt="http://schemas.openxmlformats.org/officeDocument/2006/docPropsVTypes">
  <Template>Normal</Template>
  <Pages>46</Pages>
  <Words>21796</Words>
  <Characters>25442</Characters>
  <Lines>54</Lines>
  <Paragraphs>55</Paragraphs>
  <TotalTime>12</TotalTime>
  <ScaleCrop>false</ScaleCrop>
  <LinksUpToDate>false</LinksUpToDate>
  <CharactersWithSpaces>26267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2022-11-12T15:40:00Z</dcterms:created>
  <dc:creator>WPS_1487764801</dc:creator>
  <cp:lastModifiedBy>你若安好  便是晴天</cp:lastModifiedBy>
  <dcterms:modified xsi:type="dcterms:W3CDTF">2023-04-14T03:25:38Z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C589AC73EAAC459AABD0F4A78D9EADF4</vt:lpwstr>
  </property>
</Properties>
</file>