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2046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阳城县行政审批服务管理局</w:t>
      </w:r>
    </w:p>
    <w:p w14:paraId="4AC6DC1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2023年上半年工作总结及2023年下半年</w:t>
      </w:r>
    </w:p>
    <w:p w14:paraId="2307749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工作打算</w:t>
      </w:r>
    </w:p>
    <w:bookmarkEnd w:id="0"/>
    <w:p w14:paraId="20A40E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4BB2D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今年上半年，县行政审批局在县委、县政府的正确领导下，深入贯彻上级关于深化“放管服”改革优化营商环境决策部署，围绕</w:t>
      </w:r>
      <w:r>
        <w:rPr>
          <w:rFonts w:hint="eastAsia" w:ascii="仿宋_GB2312" w:hAnsi="仿宋_GB2312" w:eastAsia="仿宋_GB2312" w:cs="仿宋_GB2312"/>
          <w:sz w:val="32"/>
          <w:szCs w:val="32"/>
        </w:rPr>
        <w:t>“我不避事踔厉奋发，事不避难勇毅前行；马上就办百问不烦，办就办好令人满意”的服务宗旨和工作目标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全力打造“办事不求人、审批不见面、就近跑一次”政务环境，开展优化营商环境提质增效年、市场主体提升年活动、作风能力提升年活动。现将上半年工作开展情况和下半年工作打算汇报如下：</w:t>
      </w:r>
    </w:p>
    <w:p w14:paraId="1B2EAD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2023年7月31日，我局共办理各类审批事项18244件，其中：投资项目立项</w:t>
      </w:r>
      <w:r>
        <w:rPr>
          <w:rFonts w:hint="eastAsia" w:ascii="仿宋_GB2312" w:hAnsi="仿宋_GB2312" w:eastAsia="仿宋_GB2312" w:cs="仿宋_GB2312"/>
          <w:sz w:val="32"/>
          <w:szCs w:val="32"/>
          <w:lang w:val="en-US" w:eastAsia="zh-CN"/>
        </w:rPr>
        <w:t>159件，</w:t>
      </w:r>
      <w:r>
        <w:rPr>
          <w:rFonts w:hint="eastAsia" w:ascii="仿宋_GB2312" w:hAnsi="仿宋_GB2312" w:eastAsia="仿宋_GB2312" w:cs="仿宋_GB2312"/>
          <w:sz w:val="32"/>
          <w:szCs w:val="32"/>
        </w:rPr>
        <w:t>规划建设事项</w:t>
      </w:r>
      <w:r>
        <w:rPr>
          <w:rFonts w:hint="eastAsia" w:ascii="仿宋_GB2312" w:hAnsi="仿宋_GB2312" w:eastAsia="仿宋_GB2312" w:cs="仿宋_GB2312"/>
          <w:sz w:val="32"/>
          <w:szCs w:val="32"/>
          <w:lang w:val="en-US" w:eastAsia="zh-CN"/>
        </w:rPr>
        <w:t>685</w:t>
      </w:r>
      <w:r>
        <w:rPr>
          <w:rFonts w:hint="eastAsia" w:ascii="仿宋_GB2312" w:hAnsi="仿宋_GB2312" w:eastAsia="仿宋_GB2312" w:cs="仿宋_GB2312"/>
          <w:sz w:val="32"/>
          <w:szCs w:val="32"/>
        </w:rPr>
        <w:t>件，市场主体登记11268件（其中：企业登记3424件，个体登记7844件）,社会事务及准营类事项1798件，农林水和交通运输事项1710件，其他事项2624件。</w:t>
      </w:r>
    </w:p>
    <w:p w14:paraId="644002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一、上半年工作开展情况</w:t>
      </w:r>
    </w:p>
    <w:p w14:paraId="4585DFA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（一）以党建品牌为引领，构建政务服务“新格局”</w:t>
      </w:r>
    </w:p>
    <w:p w14:paraId="1DD0BB0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强化政治理论武装。</w:t>
      </w:r>
      <w:r>
        <w:rPr>
          <w:rFonts w:hint="eastAsia" w:ascii="仿宋_GB2312" w:hAnsi="仿宋_GB2312" w:eastAsia="仿宋_GB2312" w:cs="仿宋_GB2312"/>
          <w:sz w:val="32"/>
          <w:szCs w:val="32"/>
          <w:lang w:val="en-US" w:eastAsia="zh-CN"/>
        </w:rPr>
        <w:t>通过专题学习、交流研讨等形式，学习贯彻习近平新时代中国特色社会主义思想，党的二十大报告、《习近平新时代中国特色社会主义思想专题摘编》《习近平新时代中国特色社会主义思想学习纲要》等内容，集中观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永远吹冲锋号》《共读共享 悦读悦心》</w:t>
      </w:r>
      <w:r>
        <w:rPr>
          <w:rFonts w:hint="eastAsia" w:ascii="仿宋_GB2312" w:hAnsi="仿宋_GB2312" w:eastAsia="仿宋_GB2312" w:cs="仿宋_GB2312"/>
          <w:sz w:val="32"/>
          <w:szCs w:val="32"/>
        </w:rPr>
        <w:t>《榜样》</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专题节目，</w:t>
      </w:r>
      <w:r>
        <w:rPr>
          <w:rFonts w:hint="eastAsia" w:ascii="仿宋_GB2312" w:hAnsi="仿宋_GB2312" w:eastAsia="仿宋_GB2312" w:cs="仿宋_GB2312"/>
          <w:sz w:val="32"/>
          <w:szCs w:val="32"/>
          <w:lang w:val="en-US" w:eastAsia="zh-CN"/>
        </w:rPr>
        <w:t>切实坚定理想信念、凝聚发展合力。上半年，召开理论中心组学习22次，党员周学习22次。</w:t>
      </w:r>
    </w:p>
    <w:p w14:paraId="6575FA3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夯实党建主体责任。</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《2023年党建暨党风廉政建设工作要点》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2023年全面从严治党责任清单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明确责任人，推动全面从严治党向纵深推进；签订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2023年度党组织目标责任书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党风廉政建设责任书</w:t>
      </w:r>
      <w:r>
        <w:rPr>
          <w:rFonts w:hint="eastAsia" w:ascii="仿宋_GB2312" w:hAnsi="仿宋_GB2312" w:eastAsia="仿宋_GB2312" w:cs="仿宋_GB2312"/>
          <w:sz w:val="32"/>
          <w:szCs w:val="32"/>
          <w:lang w:val="en-US" w:eastAsia="zh-CN"/>
        </w:rPr>
        <w:t>》，推动党建及党风廉政建设主体责任全面覆盖、“一岗双责”有效落实，</w:t>
      </w:r>
      <w:r>
        <w:rPr>
          <w:rFonts w:hint="eastAsia" w:ascii="仿宋_GB2312" w:hAnsi="仿宋_GB2312" w:eastAsia="仿宋_GB2312" w:cs="仿宋_GB2312"/>
          <w:sz w:val="32"/>
          <w:szCs w:val="32"/>
          <w:lang w:eastAsia="zh-CN"/>
        </w:rPr>
        <w:t>始</w:t>
      </w:r>
      <w:r>
        <w:rPr>
          <w:rFonts w:hint="eastAsia" w:ascii="仿宋_GB2312" w:hAnsi="仿宋_GB2312" w:eastAsia="仿宋_GB2312" w:cs="仿宋_GB2312"/>
          <w:sz w:val="32"/>
          <w:szCs w:val="32"/>
        </w:rPr>
        <w:t>终坚持把全面从严治党作为</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各项工作的</w:t>
      </w:r>
      <w:r>
        <w:rPr>
          <w:rFonts w:hint="eastAsia" w:ascii="仿宋_GB2312" w:hAnsi="仿宋_GB2312" w:eastAsia="仿宋_GB2312" w:cs="仿宋_GB2312"/>
          <w:sz w:val="32"/>
          <w:szCs w:val="32"/>
          <w:lang w:val="en-US" w:eastAsia="zh-CN"/>
        </w:rPr>
        <w:t>坚强</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w:t>
      </w:r>
    </w:p>
    <w:p w14:paraId="201BD4E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持续开展廉洁教育。</w:t>
      </w:r>
      <w:r>
        <w:rPr>
          <w:rFonts w:hint="eastAsia" w:ascii="仿宋_GB2312" w:hAnsi="仿宋_GB2312" w:eastAsia="仿宋_GB2312" w:cs="仿宋_GB2312"/>
          <w:sz w:val="32"/>
          <w:szCs w:val="32"/>
          <w:lang w:val="en-US" w:eastAsia="zh-CN"/>
        </w:rPr>
        <w:t>印发《关于廉政警示教育月活动的实施方案》《全面推动清廉阳城建设2023年工作要点》，签订《建设清廉机关承诺书》，为我局干部打“廉针”、绷“廉弦”、敲“廉钟”，</w:t>
      </w:r>
      <w:r>
        <w:rPr>
          <w:rFonts w:hint="eastAsia" w:ascii="仿宋_GB2312" w:hAnsi="仿宋_GB2312" w:eastAsia="仿宋_GB2312" w:cs="仿宋_GB2312"/>
          <w:sz w:val="32"/>
          <w:szCs w:val="32"/>
        </w:rPr>
        <w:t>筑牢党员干部拒腐防变的思想堤坝，</w:t>
      </w:r>
      <w:r>
        <w:rPr>
          <w:rFonts w:hint="eastAsia" w:ascii="仿宋_GB2312" w:hAnsi="仿宋_GB2312" w:eastAsia="仿宋_GB2312" w:cs="仿宋_GB2312"/>
          <w:sz w:val="32"/>
          <w:szCs w:val="32"/>
          <w:lang w:val="en-US" w:eastAsia="zh-CN"/>
        </w:rPr>
        <w:t>推动建设清廉机关走深走实。截至目前，</w:t>
      </w:r>
      <w:r>
        <w:rPr>
          <w:rFonts w:hint="eastAsia" w:ascii="仿宋_GB2312" w:hAnsi="仿宋_GB2312" w:eastAsia="仿宋_GB2312" w:cs="仿宋_GB2312"/>
          <w:sz w:val="32"/>
          <w:szCs w:val="32"/>
        </w:rPr>
        <w:t>组织集</w:t>
      </w:r>
      <w:r>
        <w:rPr>
          <w:rFonts w:hint="eastAsia" w:ascii="仿宋_GB2312" w:hAnsi="仿宋_GB2312" w:eastAsia="仿宋_GB2312" w:cs="仿宋_GB2312"/>
          <w:sz w:val="32"/>
          <w:szCs w:val="32"/>
          <w:lang w:eastAsia="zh-CN"/>
        </w:rPr>
        <w:t>体廉政谈话</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w:t>
      </w:r>
    </w:p>
    <w:p w14:paraId="0130B94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严格党内组织生活。</w:t>
      </w:r>
      <w:r>
        <w:rPr>
          <w:rFonts w:hint="eastAsia" w:ascii="仿宋_GB2312" w:hAnsi="仿宋_GB2312" w:eastAsia="仿宋_GB2312" w:cs="仿宋_GB2312"/>
          <w:sz w:val="32"/>
          <w:szCs w:val="32"/>
          <w:lang w:val="en-US" w:eastAsia="zh-CN"/>
        </w:rPr>
        <w:t>严格执行新形势下党内政治生活若干准则，认真落实“三会一课”、民主生活会、领导干部双重组织生活、谈心谈话等制度。截至目前，共开展民主生活会1次，组织生活会1次。深入开展作风能力提升年活动，切实解决当前行政审批方面存在的突出问题，聚焦“庸懒散慢虚浮粗”不实作风，提高行政效能和服务质量，提升群众满意度，推动改革发展稳定。</w:t>
      </w:r>
    </w:p>
    <w:p w14:paraId="0BC4D65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（二）以“放管服”改革为牵引，开展优化营商环境提质增效年活动</w:t>
      </w:r>
    </w:p>
    <w:p w14:paraId="731CA28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召开2023年全县优化营商环境推进大会。</w:t>
      </w:r>
      <w:r>
        <w:rPr>
          <w:rFonts w:hint="eastAsia" w:ascii="仿宋_GB2312" w:hAnsi="仿宋_GB2312" w:eastAsia="仿宋_GB2312" w:cs="仿宋_GB2312"/>
          <w:sz w:val="32"/>
          <w:szCs w:val="32"/>
          <w:lang w:val="en-US" w:eastAsia="zh-CN"/>
        </w:rPr>
        <w:t>印发《落实第十次全国深化“放管服”改革电视电话会议重点任务分工方案》《阳城县优化营商环境提质增效年实施方案》《网上政务服务能力“提质年”专项工作方案》，对全县2023年优化营商环境工作进行了安排部署。</w:t>
      </w:r>
    </w:p>
    <w:p w14:paraId="12082A9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推动优化营商环境政治监督工作走深走实。</w:t>
      </w:r>
      <w:r>
        <w:rPr>
          <w:rFonts w:hint="eastAsia" w:ascii="仿宋_GB2312" w:hAnsi="仿宋_GB2312" w:eastAsia="仿宋_GB2312" w:cs="仿宋_GB2312"/>
          <w:sz w:val="32"/>
          <w:szCs w:val="32"/>
          <w:lang w:val="en-US" w:eastAsia="zh-CN"/>
        </w:rPr>
        <w:t>组建我县开展优化营商环境政治监督专项检查反馈问题整改工作领导小组、“两不”问题监督整治工作领导小组和“两不”问题分析研判专班。印发《关于优化营商环境政治监督专项检查反馈问题的整改方案》《关于开展聚焦国评省考中落后指标等突出问题优化营商环境监督整治工作方案》《关于开展“新官不理旧账政策不兑现拖欠民营企业账款”监督整治工作方案》。针对问题逐一明确整改措施和整改时限，重点跟踪督办。</w:t>
      </w:r>
    </w:p>
    <w:p w14:paraId="646B4E5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持续推进证照分离改革。</w:t>
      </w:r>
      <w:r>
        <w:rPr>
          <w:rFonts w:hint="eastAsia" w:ascii="仿宋_GB2312" w:hAnsi="仿宋_GB2312" w:eastAsia="仿宋_GB2312" w:cs="仿宋_GB2312"/>
          <w:sz w:val="32"/>
          <w:szCs w:val="32"/>
          <w:lang w:val="en-US" w:eastAsia="zh-CN"/>
        </w:rPr>
        <w:t>一是开展“证照分离”改革工作“回头看”工作，为高质量推进“证照分离”改革提供保障。二是联合县市场监管局、县司法局发布阳城县“证照分离”改革告知承诺事项清单(2023年版)，将告知承诺制事项拓展为31项。截至目前，共办理“证照分离”事项737项。</w:t>
      </w:r>
    </w:p>
    <w:p w14:paraId="129C197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做优做强“一件事一次办”集成服务。</w:t>
      </w:r>
      <w:r>
        <w:rPr>
          <w:rFonts w:hint="eastAsia" w:ascii="仿宋_GB2312" w:hAnsi="仿宋_GB2312" w:eastAsia="仿宋_GB2312" w:cs="仿宋_GB2312"/>
          <w:sz w:val="32"/>
          <w:szCs w:val="32"/>
          <w:lang w:val="en-US" w:eastAsia="zh-CN"/>
        </w:rPr>
        <w:t>一是印发《阳城县打造“一件事一次办”精品实施方案》《关于做好商业综合体入驻商户审批事项“一件事一次办”服务工作的通知（试行）》，明确工作目标、主要任务和办事流程等；二是</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出一件事免申即办“1+N”</w:t>
      </w:r>
      <w:r>
        <w:rPr>
          <w:rFonts w:hint="eastAsia" w:ascii="仿宋_GB2312" w:hAnsi="仿宋_GB2312" w:eastAsia="仿宋_GB2312" w:cs="仿宋_GB2312"/>
          <w:sz w:val="32"/>
          <w:szCs w:val="32"/>
        </w:rPr>
        <w:t>创新举措</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eastAsia="zh-CN"/>
        </w:rPr>
        <w:t>在食品经营、</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eastAsia="zh-CN"/>
        </w:rPr>
        <w:t>娱乐经营</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行业推出</w:t>
      </w:r>
      <w:r>
        <w:rPr>
          <w:rFonts w:hint="eastAsia" w:ascii="仿宋_GB2312" w:hAnsi="仿宋_GB2312" w:eastAsia="仿宋_GB2312" w:cs="仿宋_GB2312"/>
          <w:sz w:val="32"/>
          <w:szCs w:val="32"/>
        </w:rPr>
        <w:t>13个套餐</w:t>
      </w:r>
      <w:r>
        <w:rPr>
          <w:rFonts w:hint="eastAsia" w:ascii="仿宋_GB2312" w:hAnsi="仿宋_GB2312" w:eastAsia="仿宋_GB2312" w:cs="仿宋_GB2312"/>
          <w:sz w:val="32"/>
          <w:szCs w:val="32"/>
          <w:lang w:val="en-US" w:eastAsia="zh-CN"/>
        </w:rPr>
        <w:t>39个子项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全部免提交</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当场</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lang w:eastAsia="zh-CN"/>
        </w:rPr>
        <w:t>办结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至目前，共办理“一件事”套餐236件,其中多件事42件。三是持续推进“一业一证”改革。根据民宿行业特点，将公共场所卫生许可和食品经营许可等事项深度融合，以“一表申请、一窗受理、一并审批、一证综合” 办理模式完成相关事项一次办结。截至目前，共发放歌舞娱乐、民宿等行业《行业综合许可证》15张。</w:t>
      </w:r>
    </w:p>
    <w:p w14:paraId="7FFBA9E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推进“全代办”服务提档升级。</w:t>
      </w:r>
      <w:r>
        <w:rPr>
          <w:rFonts w:hint="eastAsia" w:ascii="仿宋_GB2312" w:hAnsi="仿宋_GB2312" w:eastAsia="仿宋_GB2312" w:cs="仿宋_GB2312"/>
          <w:sz w:val="32"/>
          <w:szCs w:val="32"/>
          <w:lang w:val="en-US" w:eastAsia="zh-CN"/>
        </w:rPr>
        <w:t>印发《建设项目审批“全代办”实施方案》《全代办服务工作实施细则》，抽调业务骨干</w:t>
      </w:r>
      <w:r>
        <w:rPr>
          <w:rFonts w:hint="eastAsia" w:ascii="仿宋_GB2312" w:hAnsi="仿宋_GB2312" w:eastAsia="仿宋_GB2312" w:cs="仿宋_GB2312"/>
          <w:sz w:val="32"/>
          <w:szCs w:val="32"/>
        </w:rPr>
        <w:t>组建5支共25人的专业“全代办”团队</w:t>
      </w:r>
      <w:r>
        <w:rPr>
          <w:rFonts w:hint="eastAsia" w:ascii="仿宋_GB2312" w:hAnsi="仿宋_GB2312" w:eastAsia="仿宋_GB2312" w:cs="仿宋_GB2312"/>
          <w:sz w:val="32"/>
          <w:szCs w:val="32"/>
          <w:lang w:eastAsia="zh-CN"/>
        </w:rPr>
        <w:t>，配齐配强人员，建立“一个项目、一名项目管家、一支服务团队、一套服务方案、一张审批清单”的“五个一”服务机制，推动全代办服务提档升级</w:t>
      </w: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lang w:eastAsia="zh-CN"/>
        </w:rPr>
        <w:t>共为</w:t>
      </w:r>
      <w:r>
        <w:rPr>
          <w:rFonts w:hint="eastAsia" w:ascii="仿宋_GB2312" w:hAnsi="仿宋_GB2312" w:eastAsia="仿宋_GB2312" w:cs="仿宋_GB2312"/>
          <w:sz w:val="32"/>
          <w:szCs w:val="32"/>
          <w:lang w:val="en-US" w:eastAsia="zh-CN"/>
        </w:rPr>
        <w:t>60多个项目提供了从立项至开工的精准代办服务，有效加快了项目审批进度。</w:t>
      </w:r>
    </w:p>
    <w:p w14:paraId="3AFA7D5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圆满完成项目前期手续攻坚任务。</w:t>
      </w:r>
      <w:r>
        <w:rPr>
          <w:rFonts w:hint="eastAsia" w:ascii="仿宋_GB2312" w:hAnsi="仿宋_GB2312" w:eastAsia="仿宋_GB2312" w:cs="仿宋_GB2312"/>
          <w:sz w:val="32"/>
          <w:szCs w:val="32"/>
          <w:lang w:val="en-US" w:eastAsia="zh-CN"/>
        </w:rPr>
        <w:t>按照项目前期手续办理攻坚工作统一安排部署，针对135个项目攻坚清单，梳理审批事项清单，实行台账式管理，专人负责沟通协调，对项目手续办理情况进行“日收集、周汇总”。充分应用“全代办”服务、模拟审批、一本制、分阶段办理施工等各项优化举措，加快推进项目前期攻坚。截至目前，135个项目攻坚清单，其中125个项目已具备开工条件，占比92.6%，完成了“上半年开工率达80%以上”的目标任务。</w:t>
      </w:r>
    </w:p>
    <w:p w14:paraId="1E2D8BA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b/>
          <w:bCs/>
          <w:sz w:val="32"/>
          <w:szCs w:val="32"/>
          <w:lang w:val="en-US" w:eastAsia="zh-CN"/>
        </w:rPr>
        <w:t>围绕全流程全周期深化审批改革。</w:t>
      </w:r>
      <w:r>
        <w:rPr>
          <w:rFonts w:hint="eastAsia" w:ascii="仿宋_GB2312" w:hAnsi="仿宋_GB2312" w:eastAsia="仿宋_GB2312" w:cs="仿宋_GB2312"/>
          <w:sz w:val="32"/>
          <w:szCs w:val="32"/>
          <w:lang w:val="en-US" w:eastAsia="zh-CN"/>
        </w:rPr>
        <w:t>印发《关于进一步优化营商环境推进项目审批提速增效的工作方案》，推出项目审批全流程改革15条措施，包括简化建设项目用地预审与选址意见书办理、“多证联办”、取消项目招标前工程项目报建备案事项办理等，进一步简化审批流程，为投资建设项目审批降本增效。前半年，为3个项目实行了“多证联办”，出具先行开工意见函6件，核发土方开挖和基坑支护施工许可证3件。推行农村公路项目设计实行“自审承诺”，对投资200万元以下的农村公路项目，施工图设计实行“自审承诺”，勘察设计单位出具符合相关标准、规范的承诺后，不再组织设计评审，直接予以批复，进一步助力农村公路提质增效。</w:t>
      </w:r>
    </w:p>
    <w:p w14:paraId="7627124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持续推动网上政务服务能力提升。</w:t>
      </w:r>
      <w:r>
        <w:rPr>
          <w:rFonts w:hint="eastAsia" w:ascii="仿宋_GB2312" w:hAnsi="仿宋_GB2312" w:eastAsia="仿宋_GB2312" w:cs="仿宋_GB2312"/>
          <w:sz w:val="32"/>
          <w:szCs w:val="32"/>
          <w:lang w:val="en-US" w:eastAsia="zh-CN"/>
        </w:rPr>
        <w:t>一是加大对事项发布、网上审批等工作培训力度。二是对政务服务网发布事项要素进行全面检查，形成《问题清单》，督促相关部门完成整改。截至目前，政务服务网共发布依申请六类事项和公共服务事项办事指南2439项。四级以上可网办率为94.26%，行政许可事项全程网办率100%，依申请事项即办率60.33%。通过一体化政务服务平台办结10540件，全程网办2978件，全程网办率26%。三是推进电子证照应用。充分依托市一体化平台电子证照系统功能，加快推动县直各部门电子证照制发工作，实现</w:t>
      </w:r>
      <w:r>
        <w:rPr>
          <w:rFonts w:hint="eastAsia" w:ascii="仿宋_GB2312" w:hAnsi="仿宋_GB2312" w:eastAsia="仿宋_GB2312" w:cs="仿宋_GB2312"/>
          <w:sz w:val="32"/>
          <w:szCs w:val="32"/>
          <w:lang w:val="zh-CN" w:eastAsia="zh-CN"/>
        </w:rPr>
        <w:t>“一</w:t>
      </w:r>
      <w:r>
        <w:rPr>
          <w:rFonts w:hint="eastAsia" w:ascii="仿宋_GB2312" w:hAnsi="仿宋_GB2312" w:eastAsia="仿宋_GB2312" w:cs="仿宋_GB2312"/>
          <w:sz w:val="32"/>
          <w:szCs w:val="32"/>
          <w:lang w:val="en-US" w:eastAsia="zh-CN"/>
        </w:rPr>
        <w:t>次采集、一库管理、多方使用、即调即用”。积极推进县级电子证照在线制发。截至目前，已梳理115类电子证照模版纳入电子证照系统，共产生加盖电子印章电子证照60927个。</w:t>
      </w:r>
    </w:p>
    <w:p w14:paraId="66AEEFD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持续加强“互联网+监管”应用。</w:t>
      </w:r>
      <w:r>
        <w:rPr>
          <w:rFonts w:hint="eastAsia" w:ascii="仿宋_GB2312" w:hAnsi="仿宋_GB2312" w:eastAsia="仿宋_GB2312" w:cs="仿宋_GB2312"/>
          <w:sz w:val="32"/>
          <w:szCs w:val="32"/>
          <w:lang w:val="en-US" w:eastAsia="zh-CN"/>
        </w:rPr>
        <w:t>一是印发《扎实推进“互联网+监管”工作方案》。二是各监管部门在山西省“互联网+监管”系统中按照监管事项实施层级认领“监管事项目录清单”，添加本级“检查实施清单”。三是按照“应入尽入、应录尽录”要求，具有山西省行政执法证的执法人员和本部门新增的监管对象，注册系统账户、分配角色权限，全部导入数据库。截至目前，认领1026项监管事项，全量编制1038条检查实施清单。录入监管行为数据63731条，监管事项覆盖度为48.43%，审管联动系统权限已全部完成配置。</w:t>
      </w:r>
    </w:p>
    <w:p w14:paraId="57DC1A5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持续推进高频事项“跨省通办”。</w:t>
      </w:r>
      <w:r>
        <w:rPr>
          <w:rFonts w:hint="eastAsia" w:ascii="仿宋_GB2312" w:hAnsi="仿宋_GB2312" w:eastAsia="仿宋_GB2312" w:cs="仿宋_GB2312"/>
          <w:sz w:val="32"/>
          <w:szCs w:val="32"/>
        </w:rPr>
        <w:t>依托《阳城县推进政务服务“跨省通办”“全省通办”实施方案》《阳城县进一步推进政务服务“跨省通办”工作机制》，进一步梳理我县跨省通办高频事项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完善跨省工作机制，目前已和江苏省如皋市、昆山市等11个地市签署了《政务服务“跨省通办”联动机制合作框架协议》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实现“跨省通办”“全省通办”事项“一站入、一站办”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，已办理“跨省通办”相关事项26775件。</w:t>
      </w:r>
    </w:p>
    <w:p w14:paraId="0EB9DA7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持续提升“7×24小时不打烊”政务服务超市功能。</w:t>
      </w:r>
      <w:r>
        <w:rPr>
          <w:rFonts w:hint="eastAsia" w:ascii="仿宋_GB2312" w:hAnsi="仿宋_GB2312" w:eastAsia="仿宋_GB2312" w:cs="仿宋_GB2312"/>
          <w:sz w:val="32"/>
          <w:szCs w:val="32"/>
          <w:lang w:val="en-US" w:eastAsia="zh-CN"/>
        </w:rPr>
        <w:t>在全面规范自助办税服务的同时，进一步整合智能终端进驻，增设</w:t>
      </w:r>
      <w:r>
        <w:rPr>
          <w:rFonts w:hint="eastAsia" w:ascii="仿宋_GB2312" w:hAnsi="仿宋_GB2312" w:eastAsia="仿宋_GB2312" w:cs="仿宋_GB2312"/>
          <w:sz w:val="32"/>
          <w:szCs w:val="32"/>
          <w:lang w:eastAsia="zh-CN"/>
        </w:rPr>
        <w:t>不动产制证一体机</w:t>
      </w:r>
      <w:r>
        <w:rPr>
          <w:rFonts w:hint="eastAsia" w:ascii="仿宋_GB2312" w:hAnsi="仿宋_GB2312" w:eastAsia="仿宋_GB2312" w:cs="仿宋_GB2312"/>
          <w:sz w:val="32"/>
          <w:szCs w:val="32"/>
          <w:lang w:val="en-US" w:eastAsia="zh-CN"/>
        </w:rPr>
        <w:t>1台</w:t>
      </w:r>
      <w:r>
        <w:rPr>
          <w:rFonts w:hint="eastAsia" w:ascii="仿宋_GB2312" w:hAnsi="仿宋_GB2312" w:eastAsia="仿宋_GB2312" w:cs="仿宋_GB2312"/>
          <w:sz w:val="32"/>
          <w:szCs w:val="32"/>
          <w:lang w:eastAsia="zh-CN"/>
        </w:rPr>
        <w:t>、不动产登记信息自助查询机</w:t>
      </w:r>
      <w:r>
        <w:rPr>
          <w:rFonts w:hint="eastAsia" w:ascii="仿宋_GB2312" w:hAnsi="仿宋_GB2312" w:eastAsia="仿宋_GB2312" w:cs="仿宋_GB2312"/>
          <w:sz w:val="32"/>
          <w:szCs w:val="32"/>
          <w:lang w:val="en-US" w:eastAsia="zh-CN"/>
        </w:rPr>
        <w:t>1台，可用于纳税、贷款、交易、入学、户口迁移、住房保障等多种用途。增设交警自助体检机1台，方便群众就近体检，高效办理驾驶证业务；增设交通管理业务自助服务机1台，可实现车驾业务的自助受理、缴费等功能；增设震颤自救器等1台，可实现医疗自助救护功能。</w:t>
      </w:r>
    </w:p>
    <w:p w14:paraId="537831D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延伸红色代办服务。</w:t>
      </w:r>
      <w:r>
        <w:rPr>
          <w:rFonts w:hint="eastAsia" w:ascii="仿宋_GB2312" w:hAnsi="仿宋_GB2312" w:eastAsia="仿宋_GB2312" w:cs="仿宋_GB2312"/>
          <w:sz w:val="32"/>
          <w:szCs w:val="32"/>
          <w:lang w:val="en-US" w:eastAsia="zh-CN"/>
        </w:rPr>
        <w:t>一是印发《关于进一步提升“红色代办”服务的通知》，深入推进“1+15+335”全覆盖式红色代办服务圈建设，推进红色代办服务常态化、系统化和集成化。二是延伸“村能办”服务链条，开展“村能办+企业开办”。截至目前，</w:t>
      </w:r>
      <w:r>
        <w:rPr>
          <w:rFonts w:hint="eastAsia" w:ascii="仿宋_GB2312" w:hAnsi="仿宋_GB2312" w:eastAsia="仿宋_GB2312" w:cs="仿宋_GB2312"/>
          <w:color w:val="auto"/>
          <w:sz w:val="32"/>
          <w:szCs w:val="32"/>
          <w:lang w:val="en-US" w:eastAsia="zh-CN"/>
        </w:rPr>
        <w:t>开展“村能办”便民服务共17052件，其中开展红色代办7246件，占“村能办”办件数的42%。</w:t>
      </w:r>
    </w:p>
    <w:p w14:paraId="614A5A7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加强热线督办力度。</w:t>
      </w:r>
      <w:r>
        <w:rPr>
          <w:rFonts w:hint="eastAsia" w:ascii="仿宋_GB2312" w:hAnsi="仿宋_GB2312" w:eastAsia="仿宋_GB2312" w:cs="仿宋_GB2312"/>
          <w:sz w:val="32"/>
          <w:szCs w:val="32"/>
          <w:lang w:val="en-US" w:eastAsia="zh-CN"/>
        </w:rPr>
        <w:t>制定热线考核细则。召开全县政务热线工作推进会。 1—6月共受理工单1686件，其中直接答复545件，转办办结1141件，办结率100%，逾期率0%，重办率1.78%，满意率97.69%。涉企事项21件，办结21件。知识库主动更新3671条。1-5月全市考核排名均在前2名。</w:t>
      </w:r>
    </w:p>
    <w:p w14:paraId="5681B68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持续加强公共资源交易管理。</w:t>
      </w:r>
      <w:r>
        <w:rPr>
          <w:rFonts w:hint="eastAsia" w:ascii="仿宋_GB2312" w:hAnsi="仿宋_GB2312" w:eastAsia="仿宋_GB2312" w:cs="仿宋_GB2312"/>
          <w:sz w:val="32"/>
          <w:szCs w:val="32"/>
          <w:lang w:val="en-US" w:eastAsia="zh-CN"/>
        </w:rPr>
        <w:t>一是推进县级公共资源交易平台系统平稳运行，实现公共资源交易平台与政务服务平台数据的互通共享，完善一体化平台功能。二是</w:t>
      </w:r>
      <w:r>
        <w:rPr>
          <w:rFonts w:hint="eastAsia" w:ascii="仿宋_GB2312" w:hAnsi="仿宋_GB2312" w:eastAsia="仿宋_GB2312" w:cs="仿宋_GB2312"/>
          <w:sz w:val="32"/>
          <w:szCs w:val="32"/>
          <w:lang w:eastAsia="zh-CN"/>
        </w:rPr>
        <w:t>对已实现全流程电子化的公共资源交易项目，通过远程解密、远程在线开标方式开展招投标活动。</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eastAsia="zh-CN"/>
        </w:rPr>
        <w:t>建立受理容缺制度，为项目单位节省时间，加快推进项目落地建设。</w:t>
      </w:r>
      <w:r>
        <w:rPr>
          <w:rFonts w:hint="eastAsia" w:ascii="仿宋_GB2312" w:hAnsi="仿宋_GB2312" w:eastAsia="仿宋_GB2312" w:cs="仿宋_GB2312"/>
          <w:sz w:val="32"/>
          <w:szCs w:val="32"/>
          <w:lang w:val="en-US" w:eastAsia="zh-CN"/>
        </w:rPr>
        <w:t>截至6月底，共完成各类进场交易项目67宗，交易金额16.3亿元。</w:t>
      </w:r>
    </w:p>
    <w:p w14:paraId="11C5EA7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（三）以改革创新为驱动，开展市场主体提升年活动</w:t>
      </w:r>
    </w:p>
    <w:p w14:paraId="7EF642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上半年市场主体累计净增3599户，其中：企业净增1235户，个体工商户累计净增2364户。我县现有市场主体39621户，其中：企业11032户，个体工商户28589户。</w:t>
      </w:r>
    </w:p>
    <w:p w14:paraId="6406EEA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扎实推动工作落实。</w:t>
      </w:r>
      <w:r>
        <w:rPr>
          <w:rFonts w:hint="eastAsia" w:ascii="仿宋_GB2312" w:hAnsi="仿宋_GB2312" w:eastAsia="仿宋_GB2312" w:cs="仿宋_GB2312"/>
          <w:sz w:val="32"/>
          <w:szCs w:val="32"/>
          <w:lang w:val="en-US" w:eastAsia="zh-CN"/>
        </w:rPr>
        <w:t>专班严格按照“一周一汇总、两周一调度、一月一通报、一季一研究、半年一问责、全年一考核及督导推动”制度稳步推进工作落实。今年以来共召开7次调度会（推进会），印发9期工作动态、5期工作通报，配合省、市进行了4次督导考核，推进工作扎实开展。</w:t>
      </w:r>
    </w:p>
    <w:p w14:paraId="5D2041B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加大奖补扶持力度。</w:t>
      </w:r>
      <w:r>
        <w:rPr>
          <w:rFonts w:hint="eastAsia" w:ascii="仿宋_GB2312" w:hAnsi="仿宋_GB2312" w:eastAsia="仿宋_GB2312" w:cs="仿宋_GB2312"/>
          <w:sz w:val="32"/>
          <w:szCs w:val="32"/>
          <w:lang w:val="en-US" w:eastAsia="zh-CN"/>
        </w:rPr>
        <w:t>通过政策宣贯、助企纾困、奖补兑现等方式充分激发市场主体创业创新，形成浓厚落实氛围，上半年共兑现9145.46万元，其中财税支持6636.87万元，科技创新支持630.2万元，其他政策1878.39万元，金融支持贷款943174.96万元。</w:t>
      </w:r>
    </w:p>
    <w:p w14:paraId="628CCC5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加强培训服务力量。</w:t>
      </w:r>
      <w:r>
        <w:rPr>
          <w:rFonts w:hint="eastAsia" w:ascii="仿宋_GB2312" w:hAnsi="仿宋_GB2312" w:eastAsia="仿宋_GB2312" w:cs="仿宋_GB2312"/>
          <w:sz w:val="32"/>
          <w:szCs w:val="32"/>
          <w:lang w:val="en-US" w:eastAsia="zh-CN"/>
        </w:rPr>
        <w:t>升级“证照管家”服务团队服务功能，将乡镇做好年报、税务事项申报等统一代办服务范围拓宽至所辖区域全部市场主体，加强业务培训指导，今年已联合税务、市场等部门对8个乡镇服务团队进行了业务培训，强化基层帮办代办力量。</w:t>
      </w:r>
    </w:p>
    <w:p w14:paraId="5B1B4F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深入推进企业开办便利度。</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进一步优化服务，升级企业开办服务专区功能，构建“一支队伍帮办、一个平台登录、一套材料申请、一个窗口受理、一次结果领取、一个系统评价”为一体的市场准入集成办理机制。</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将企业开办涉及的企业注册、公章刻制、银行开户、税务Ukey和发票申领、社保登记、公积金开户6个环节全部纳入“开办企业”流程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所有市场主体新开办注册登记、公章刻制、税务发票申领及Ukey发放、银行开户、证照寄递全程免费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进一步减轻企业开办负担，助力企业“轻装快跑”。</w:t>
      </w:r>
      <w:r>
        <w:rPr>
          <w:rFonts w:hint="eastAsia" w:ascii="仿宋_GB2312" w:hAnsi="仿宋_GB2312" w:eastAsia="仿宋_GB2312" w:cs="仿宋_GB2312"/>
          <w:sz w:val="32"/>
          <w:szCs w:val="32"/>
          <w:lang w:val="en-US" w:eastAsia="zh-CN"/>
        </w:rPr>
        <w:t>截至目前，共</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3319</w:t>
      </w:r>
      <w:r>
        <w:rPr>
          <w:rFonts w:hint="eastAsia" w:ascii="仿宋_GB2312" w:hAnsi="仿宋_GB2312" w:eastAsia="仿宋_GB2312" w:cs="仿宋_GB2312"/>
          <w:sz w:val="32"/>
          <w:szCs w:val="32"/>
        </w:rPr>
        <w:t>户企业（个体工商户）免费刻制公章，减免费用</w:t>
      </w:r>
      <w:r>
        <w:rPr>
          <w:rFonts w:hint="eastAsia" w:ascii="仿宋_GB2312" w:hAnsi="仿宋_GB2312" w:eastAsia="仿宋_GB2312" w:cs="仿宋_GB2312"/>
          <w:sz w:val="32"/>
          <w:szCs w:val="32"/>
          <w:lang w:val="en-US" w:eastAsia="zh-CN"/>
        </w:rPr>
        <w:t>78.72</w:t>
      </w:r>
      <w:r>
        <w:rPr>
          <w:rFonts w:hint="eastAsia" w:ascii="仿宋_GB2312" w:hAnsi="仿宋_GB2312" w:eastAsia="仿宋_GB2312" w:cs="仿宋_GB2312"/>
          <w:sz w:val="32"/>
          <w:szCs w:val="32"/>
        </w:rPr>
        <w:t>万元。</w:t>
      </w:r>
    </w:p>
    <w:p w14:paraId="227046D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实行“一城通办”登记模式。</w:t>
      </w:r>
      <w:r>
        <w:rPr>
          <w:rFonts w:hint="eastAsia" w:ascii="仿宋_GB2312" w:hAnsi="仿宋_GB2312" w:eastAsia="仿宋_GB2312" w:cs="仿宋_GB2312"/>
          <w:sz w:val="32"/>
          <w:szCs w:val="32"/>
        </w:rPr>
        <w:t>在乡镇便民服务中心设立“一城通办”登记专窗，完成市场主体登记事项的登录账号配置，在集中培训的基础上多次开展现场实践指导教学，加快基层市场主体登记效率，实现“多点可办、就近能办、少跑快办”。</w:t>
      </w: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rPr>
        <w:t>乡镇便民服务中心完成市场主体登记</w:t>
      </w:r>
      <w:r>
        <w:rPr>
          <w:rFonts w:hint="eastAsia" w:ascii="仿宋_GB2312" w:hAnsi="仿宋_GB2312" w:eastAsia="仿宋_GB2312" w:cs="仿宋_GB2312"/>
          <w:sz w:val="32"/>
          <w:szCs w:val="32"/>
          <w:lang w:val="en-US" w:eastAsia="zh-CN"/>
        </w:rPr>
        <w:t>4531</w:t>
      </w:r>
      <w:r>
        <w:rPr>
          <w:rFonts w:hint="eastAsia" w:ascii="仿宋_GB2312" w:hAnsi="仿宋_GB2312" w:eastAsia="仿宋_GB2312" w:cs="仿宋_GB2312"/>
          <w:sz w:val="32"/>
          <w:szCs w:val="32"/>
        </w:rPr>
        <w:t>户。</w:t>
      </w:r>
    </w:p>
    <w:p w14:paraId="2BD66E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推行市场主体歇业制、简易注销登记改革和依职权注销。</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推行市场主体歇业制，</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rPr>
        <w:t>指导帮助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户市场主体办理了歇业手续。</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深化企业简易注销改革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rPr>
        <w:t>共办理简易注销</w:t>
      </w: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对长期吊销未注销企业进行</w:t>
      </w:r>
      <w:r>
        <w:rPr>
          <w:rFonts w:hint="eastAsia" w:ascii="仿宋_GB2312" w:hAnsi="仿宋_GB2312" w:eastAsia="仿宋_GB2312" w:cs="仿宋_GB2312"/>
          <w:sz w:val="32"/>
          <w:szCs w:val="32"/>
          <w:lang w:eastAsia="zh-CN"/>
        </w:rPr>
        <w:t>依职权</w:t>
      </w:r>
      <w:r>
        <w:rPr>
          <w:rFonts w:hint="eastAsia" w:ascii="仿宋_GB2312" w:hAnsi="仿宋_GB2312" w:eastAsia="仿宋_GB2312" w:cs="仿宋_GB2312"/>
          <w:sz w:val="32"/>
          <w:szCs w:val="32"/>
        </w:rPr>
        <w:t>注销。</w:t>
      </w: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rPr>
        <w:t>完成依职权注销901家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依职权注销比例96.06%。</w:t>
      </w:r>
    </w:p>
    <w:p w14:paraId="2C92094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实行个体工商户“智能审批”服务。</w:t>
      </w:r>
      <w:r>
        <w:rPr>
          <w:rFonts w:hint="eastAsia" w:ascii="仿宋_GB2312" w:hAnsi="仿宋_GB2312" w:eastAsia="仿宋_GB2312" w:cs="仿宋_GB2312"/>
          <w:sz w:val="32"/>
          <w:szCs w:val="32"/>
        </w:rPr>
        <w:t>依托省个体工商户“智能审批”系统，对小吃店、便利店、水果店、服装店、美容店、建材店、道路运输服务队、养殖场、信息咨询服务部9类高频个体户事项</w:t>
      </w:r>
      <w:r>
        <w:rPr>
          <w:rFonts w:hint="eastAsia" w:ascii="仿宋_GB2312" w:hAnsi="仿宋_GB2312" w:eastAsia="仿宋_GB2312" w:cs="仿宋_GB2312"/>
          <w:sz w:val="32"/>
          <w:szCs w:val="32"/>
          <w:lang w:eastAsia="zh-CN"/>
        </w:rPr>
        <w:t>实行智能审批</w:t>
      </w:r>
      <w:r>
        <w:rPr>
          <w:rFonts w:hint="eastAsia" w:ascii="仿宋_GB2312" w:hAnsi="仿宋_GB2312" w:eastAsia="仿宋_GB2312" w:cs="仿宋_GB2312"/>
          <w:sz w:val="32"/>
          <w:szCs w:val="32"/>
        </w:rPr>
        <w:t>，实现“零见面、零跑腿、零干预”。</w:t>
      </w:r>
      <w:r>
        <w:rPr>
          <w:rFonts w:hint="eastAsia" w:ascii="仿宋_GB2312" w:hAnsi="仿宋_GB2312" w:eastAsia="仿宋_GB2312" w:cs="仿宋_GB2312"/>
          <w:sz w:val="32"/>
          <w:szCs w:val="32"/>
          <w:lang w:val="en-US" w:eastAsia="zh-CN"/>
        </w:rPr>
        <w:t>截至目前，共</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lang w:val="en-US" w:eastAsia="zh-CN"/>
        </w:rPr>
        <w:t>78户。</w:t>
      </w:r>
    </w:p>
    <w:p w14:paraId="130C13F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提供“证照管家”服务。</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升级“证照管家”服务团队服务功能，将乡镇做好年报、税务事项申报等统一代办服务范围拓宽至所辖区域全部市场主体。</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联合税务、市场等部门对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个乡镇服务团队进行了业务培训，强化基层帮办代办力量。</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每月筛选最近一个月内将要到期的证照数据，推送</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乡镇便民中心“证照管家”团队，提醒证照持有者及时办理延期手续。</w:t>
      </w: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rPr>
        <w:t>已通过阳城政务服务网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阳城融媒体公众号、</w:t>
      </w:r>
      <w:r>
        <w:rPr>
          <w:rFonts w:hint="eastAsia" w:ascii="仿宋_GB2312" w:hAnsi="仿宋_GB2312" w:eastAsia="仿宋_GB2312" w:cs="仿宋_GB2312"/>
          <w:sz w:val="32"/>
          <w:szCs w:val="32"/>
        </w:rPr>
        <w:t>阳城政务中心公众号发布了12期公告。</w:t>
      </w:r>
    </w:p>
    <w:p w14:paraId="1D2258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（四）以效能提升为导向，开展作风能力提升年活动</w:t>
      </w:r>
    </w:p>
    <w:p w14:paraId="728C4FD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自开展作风能力提升年活动以来，我局坚持以“清廉机关”建设为抓手，高站位谋划部署、高质量推进落实、高强度督导问效，在“查、做、学”上下功夫，深入推进“作风能力提升年”活动走深走实。</w:t>
      </w:r>
    </w:p>
    <w:p w14:paraId="3EC0630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聚焦“优服务树形象”专项行动，在“查”上动真章。</w:t>
      </w:r>
      <w:r>
        <w:rPr>
          <w:rFonts w:hint="eastAsia" w:ascii="仿宋_GB2312" w:hAnsi="仿宋_GB2312" w:eastAsia="仿宋_GB2312" w:cs="仿宋_GB2312"/>
          <w:b w:val="0"/>
          <w:kern w:val="2"/>
          <w:sz w:val="32"/>
          <w:szCs w:val="32"/>
          <w:lang w:val="en-US" w:eastAsia="zh-CN" w:bidi="ar-SA"/>
        </w:rPr>
        <w:t>组织全局干部职工以提高企业和群众办事获得感和满意度为目标，全面查找大厅环境、服务质量等方面存在的短板弱项，深入剖析原因，立行立改，努力为企业和群众提供多元化、个性化、贴心暖心的高质量服务。截至目前，共查摆问题18个，均已整改到位。</w:t>
      </w:r>
    </w:p>
    <w:p w14:paraId="1E3CA80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聚焦“优流程提效能”专项行动，在“做”上求真效。</w:t>
      </w:r>
      <w:r>
        <w:rPr>
          <w:rFonts w:hint="eastAsia" w:ascii="仿宋_GB2312" w:hAnsi="仿宋_GB2312" w:eastAsia="仿宋_GB2312" w:cs="仿宋_GB2312"/>
          <w:b w:val="0"/>
          <w:kern w:val="2"/>
          <w:sz w:val="32"/>
          <w:szCs w:val="32"/>
          <w:lang w:val="en-US" w:eastAsia="zh-CN" w:bidi="ar-SA"/>
        </w:rPr>
        <w:t>紧盯当前行政审批关键性、全局性工作任务，深入查摆问题，通过自查梳理存在问题和具体表现，细化整改措施及建议，明确整改时限，压紧压实工作责任，持续优化营商环境，积极为企业和群众提供高效、便捷的政务服务环境。</w:t>
      </w:r>
    </w:p>
    <w:p w14:paraId="6AE8752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聚焦“优素质提能力”专项行动，在“学”上下真功。</w:t>
      </w:r>
      <w:r>
        <w:rPr>
          <w:rFonts w:hint="eastAsia" w:ascii="仿宋_GB2312" w:hAnsi="仿宋_GB2312" w:eastAsia="仿宋_GB2312" w:cs="仿宋_GB2312"/>
          <w:b w:val="0"/>
          <w:kern w:val="2"/>
          <w:sz w:val="32"/>
          <w:szCs w:val="32"/>
          <w:lang w:val="en-US" w:eastAsia="zh-CN" w:bidi="ar-SA"/>
        </w:rPr>
        <w:t>通过岗位历练、交流互鉴、外出学习、建言献策等多种方式，提升工作能力和水平，努力成为行政审批工作的行家能手，全力推动业务学习由“要我学”到“主动学”转变；干事创业由“应该干”到“主动干”转变；政治规矩由“知规矩”到“守规矩”转变，切实推进干部作风能力有效提升。</w:t>
      </w:r>
    </w:p>
    <w:p w14:paraId="1F80A4E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（五）以为民服务为根本，拓展政务服务“微改革”</w:t>
      </w:r>
    </w:p>
    <w:p w14:paraId="0797BE0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进一步深化企业投资项目承诺制改革。</w:t>
      </w:r>
      <w:r>
        <w:rPr>
          <w:rFonts w:hint="eastAsia" w:ascii="仿宋_GB2312" w:hAnsi="仿宋_GB2312" w:eastAsia="仿宋_GB2312" w:cs="仿宋_GB2312"/>
          <w:sz w:val="32"/>
          <w:szCs w:val="32"/>
          <w:lang w:val="en-US" w:eastAsia="zh-CN"/>
        </w:rPr>
        <w:t>持续深化承诺制改革，在水土保持方案评、取水许可、洪水影响评价、环境影响评价报告、人防工程设计条件审查等9类单体事项实行承诺制的基础上，推行“一本制”模式。印发《阳城县投资项目承诺制审批“一本制”工作规范》，针对项目涉及的评估评价类审批事项，实行一本</w:t>
      </w:r>
      <w:r>
        <w:rPr>
          <w:rFonts w:hint="eastAsia" w:ascii="仿宋_GB2312" w:hAnsi="仿宋_GB2312" w:eastAsia="仿宋_GB2312" w:cs="仿宋_GB2312"/>
          <w:color w:val="auto"/>
          <w:sz w:val="32"/>
          <w:szCs w:val="32"/>
          <w:lang w:val="en-US" w:eastAsia="zh-CN"/>
        </w:rPr>
        <w:t>编制、一次评审、一次批复，评</w:t>
      </w:r>
      <w:r>
        <w:rPr>
          <w:rFonts w:hint="eastAsia" w:ascii="仿宋_GB2312" w:hAnsi="仿宋_GB2312" w:eastAsia="仿宋_GB2312" w:cs="仿宋_GB2312"/>
          <w:sz w:val="32"/>
          <w:szCs w:val="32"/>
          <w:highlight w:val="none"/>
          <w:lang w:val="en-US" w:eastAsia="zh-CN"/>
        </w:rPr>
        <w:t>审费用实行政府购买。截至目前，共有67个项目70个事项实行承诺制审批，共有15个项目实行“一本制”模式，平均为项目单位节省时间2个月以上，节省费用160余万元。</w:t>
      </w:r>
    </w:p>
    <w:p w14:paraId="448CB3C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“占用林地审批”与“占用林地林木采伐许可证核发”实行“一件事”。</w:t>
      </w:r>
      <w:r>
        <w:rPr>
          <w:rFonts w:hint="eastAsia" w:ascii="仿宋_GB2312" w:hAnsi="仿宋_GB2312" w:eastAsia="仿宋_GB2312" w:cs="仿宋_GB2312"/>
          <w:sz w:val="32"/>
          <w:szCs w:val="32"/>
          <w:lang w:val="en-US" w:eastAsia="zh-CN"/>
        </w:rPr>
        <w:t>印发《将“占用林地审批”与“占用林地林木采伐许可证核发”实行“一件事”联办的通知》，将占地审批与占地采伐采取“五项合一”办理（申请合一、报告合一、查验合一、公示合一、结果合一），不仅解决审批时间长、项目工期长等问题，而且将占地可行性报告和采伐设计合编为一本，极大地缩短审批时间和降低成本。</w:t>
      </w:r>
    </w:p>
    <w:p w14:paraId="53E1A1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“货运车辆营运一件事一次办”。</w:t>
      </w:r>
      <w:r>
        <w:rPr>
          <w:rFonts w:hint="eastAsia" w:ascii="仿宋_GB2312" w:hAnsi="仿宋_GB2312" w:eastAsia="仿宋_GB2312" w:cs="仿宋_GB2312"/>
          <w:sz w:val="32"/>
          <w:szCs w:val="32"/>
          <w:lang w:val="en-US" w:eastAsia="zh-CN"/>
        </w:rPr>
        <w:t>一是将原先的道路运输经营许可证、道路运输证配发两件事整合成“货运车辆营运一件事”，推行无差别受理；二是线上线下融合办，申请人在专窗提交申请，后台同时审核，一窗统一出件，提供全链条服务。通过“一件事”改革，变并联审批为串联审批，进一步减少办事环节，优化审批流程，压缩办理时限，提高服务效率，提升办事群众和企业的获得感和满意度。</w:t>
      </w:r>
    </w:p>
    <w:p w14:paraId="40E3525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推进食品经营许可改革。</w:t>
      </w:r>
      <w:r>
        <w:rPr>
          <w:rFonts w:hint="eastAsia" w:ascii="仿宋_GB2312" w:hAnsi="仿宋_GB2312" w:eastAsia="仿宋_GB2312" w:cs="仿宋_GB2312"/>
          <w:sz w:val="32"/>
          <w:szCs w:val="32"/>
          <w:lang w:val="en-US" w:eastAsia="zh-CN"/>
        </w:rPr>
        <w:t>一是印发《阳城县简单变更审批事项“免申即办”实施方案》，实现当场办结。截至目前，共办理免申即办80件。二是印发《关于进一步深化食品经营许可改革的通知》，将特殊医学用途配方食品销售（特定全营养配方食品除外）、婴幼儿配方乳粉销售、其他婴幼儿配方食品销售纳入仅销售预包装食品备案管理；将经营项目为热食类食品制售的小型餐饮服务（不含散装熟食制品销售的食品销售）新办许可纳入告知承诺制审批范围。截至目前，共办理仅销售预包装食品备案事项283件，以告知承诺制审批形式办理食品经营许可事项112件。</w:t>
      </w:r>
    </w:p>
    <w:p w14:paraId="46FB254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创新开展“兜底办”。</w:t>
      </w:r>
      <w:r>
        <w:rPr>
          <w:rFonts w:hint="eastAsia" w:ascii="仿宋_GB2312" w:hAnsi="仿宋_GB2312" w:eastAsia="仿宋_GB2312" w:cs="仿宋_GB2312"/>
          <w:sz w:val="32"/>
          <w:szCs w:val="32"/>
          <w:lang w:val="en-US" w:eastAsia="zh-CN"/>
        </w:rPr>
        <w:t>印发《关于开展“兜底办”服务工作实施方案》，梳理出县乡两级“兜底办”服务三级事项清单，县级兜底办服务三级事项清单共梳理5大类53项，乡（镇）“兜底办”服务三级事项清单共梳理15项。按照“分级办理、前后联动、多方会审、一事一议”的原则，实行“三级响应”服务机制，建立政务服务“兜底办”专员负责制，实现“受理—办理—回复—回访—评价”全流程闭环运行。</w:t>
      </w:r>
    </w:p>
    <w:p w14:paraId="342C66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二、存在问题</w:t>
      </w:r>
    </w:p>
    <w:p w14:paraId="5516A40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集成改革的合力未完全形成。</w:t>
      </w:r>
      <w:r>
        <w:rPr>
          <w:rFonts w:hint="eastAsia" w:ascii="仿宋_GB2312" w:hAnsi="仿宋_GB2312" w:eastAsia="仿宋_GB2312" w:cs="仿宋_GB2312"/>
          <w:sz w:val="32"/>
          <w:szCs w:val="32"/>
          <w:lang w:val="en-US" w:eastAsia="zh-CN"/>
        </w:rPr>
        <w:t>在深化“放管服”改革、创优“三无”“三可”营商环境，横向上各部门之间协调联动不足，还未形成以“办成事”为目标，协同作战、共同促进营商环境提质增效的合力，以评促进、以考促优的积极效应尚未充分释放。要健全协调机制，强力推动落实，进一步强化优化营商环境协调联动机制，充分发挥职能部门优势，统筹协调、形成整体竞争优势，努力把营商环境打造为阳城经济高质量发展的第一品牌。</w:t>
      </w:r>
    </w:p>
    <w:p w14:paraId="455C8E5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市场主体量质齐升有差距。</w:t>
      </w:r>
      <w:r>
        <w:rPr>
          <w:rFonts w:hint="eastAsia" w:ascii="仿宋_GB2312" w:hAnsi="仿宋_GB2312" w:eastAsia="仿宋_GB2312" w:cs="仿宋_GB2312"/>
          <w:sz w:val="32"/>
          <w:szCs w:val="32"/>
        </w:rPr>
        <w:t>从数量完成情况看，净增总量超过序时进度，但缺乏科技含量高、市场潜力大、综合效益好的新型企业，市场主体结构不优、提质缓慢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行业发展不均匀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部分行业受产业政策限制还未找到发力点，需要深入调研、学习先进经验、上下沟通联动，找准切合阳城实际的着力点对症施策</w:t>
      </w:r>
      <w:r>
        <w:rPr>
          <w:rFonts w:hint="eastAsia" w:ascii="仿宋_GB2312" w:hAnsi="仿宋_GB2312" w:eastAsia="仿宋_GB2312" w:cs="仿宋_GB2312"/>
          <w:sz w:val="32"/>
          <w:szCs w:val="32"/>
          <w:lang w:eastAsia="zh-CN"/>
        </w:rPr>
        <w:t>。</w:t>
      </w:r>
    </w:p>
    <w:p w14:paraId="6EA7FE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乡镇便民标准化建设相对滞后。</w:t>
      </w:r>
      <w:r>
        <w:rPr>
          <w:rFonts w:hint="eastAsia" w:ascii="仿宋_GB2312" w:hAnsi="仿宋_GB2312" w:eastAsia="仿宋_GB2312" w:cs="仿宋_GB2312"/>
          <w:sz w:val="32"/>
          <w:szCs w:val="32"/>
          <w:lang w:val="en-US" w:eastAsia="zh-CN"/>
        </w:rPr>
        <w:t>个别乡镇便民中心场所不够规范，便民设施设备不够齐全；乡镇便民服务人员能力参差不齐，在执行首问负责制、一次性告知制等方面不到位，办事群众还存在来回跑现象；自助服务在村（社区）、商超等群众集中密集的场所还延伸的不够，群众体验感和便捷度不强。</w:t>
      </w:r>
    </w:p>
    <w:p w14:paraId="2F08BD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三、下半年工作打算</w:t>
      </w:r>
    </w:p>
    <w:p w14:paraId="4E1A154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推进营商环境整体提档升级。</w:t>
      </w:r>
      <w:r>
        <w:rPr>
          <w:rFonts w:hint="eastAsia" w:ascii="仿宋_GB2312" w:hAnsi="仿宋_GB2312" w:eastAsia="仿宋_GB2312" w:cs="仿宋_GB2312"/>
          <w:sz w:val="32"/>
          <w:szCs w:val="32"/>
          <w:lang w:val="en-US" w:eastAsia="zh-CN"/>
        </w:rPr>
        <w:t>以环节最少、时效最快、服务最优为目标，进一步减少办事环节，优化办事程序，切实提高办事效率。持续深化“放管服”改革，优化提升全县营商环境，夯实责任，健全工作机制，进一步把优化营商环境工作做实做细，着力打造“办事不求人、审批不见面、最多跑一次”的政务服务环境。</w:t>
      </w:r>
    </w:p>
    <w:p w14:paraId="43B4C6E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扎实推动市场主体量质齐升。</w:t>
      </w:r>
      <w:r>
        <w:rPr>
          <w:rFonts w:hint="eastAsia" w:ascii="仿宋_GB2312" w:hAnsi="仿宋_GB2312" w:eastAsia="仿宋_GB2312" w:cs="仿宋_GB2312"/>
          <w:sz w:val="32"/>
          <w:szCs w:val="32"/>
          <w:lang w:val="en-US" w:eastAsia="zh-CN"/>
        </w:rPr>
        <w:t>重点聚焦我县新增市场主体量质双升的问题，加快培育市场主体发展的“十大平台”建设。以“十大平台”建设为抓手，促进县域经济增长，提升城市“烟火气”、促进龙头企业倍增。加大“歇业备案”向乡镇推广力度，歇业市场主体就近可在乡镇便民中心享受年检、报表等统一代办服务，助力市场主体走出困境，休养生息再出发。</w:t>
      </w:r>
    </w:p>
    <w:p w14:paraId="65098C0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持续推进乡镇便民服务标准化建设。</w:t>
      </w:r>
      <w:r>
        <w:rPr>
          <w:rFonts w:hint="eastAsia" w:ascii="仿宋_GB2312" w:hAnsi="仿宋_GB2312" w:eastAsia="仿宋_GB2312" w:cs="仿宋_GB2312"/>
          <w:sz w:val="32"/>
          <w:szCs w:val="32"/>
          <w:lang w:val="en-US" w:eastAsia="zh-CN"/>
        </w:rPr>
        <w:t>加大对乡镇、村（社区）政务服务工作的指导力度，定期开办乡镇、村（社区）政务服务能力提升培训班，建立乡镇便民中心办件通报制度和星级评定制度，与年度考核相挂钩，推动乡镇服务在比学赶超中发展，实现乡镇办事“门好进、脸好看、事好办”。推进自助服务向乡镇、社区延伸，提升基层“就近办”能力。</w:t>
      </w:r>
    </w:p>
    <w:p w14:paraId="279DEC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025E6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492DD6EE">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阳城县行政审批服务管理局</w:t>
      </w:r>
    </w:p>
    <w:p w14:paraId="1DF0099C">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359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39E0B">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939E0B">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293B0"/>
    <w:multiLevelType w:val="multilevel"/>
    <w:tmpl w:val="799293B0"/>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OTBkY2U0ODg2MmU1NDFiMzQ0YWUxN2UyMDFlMTgifQ=="/>
  </w:docVars>
  <w:rsids>
    <w:rsidRoot w:val="624B554A"/>
    <w:rsid w:val="0002561E"/>
    <w:rsid w:val="00382DEE"/>
    <w:rsid w:val="00C30909"/>
    <w:rsid w:val="00F22F9D"/>
    <w:rsid w:val="00FC02BF"/>
    <w:rsid w:val="014F03EF"/>
    <w:rsid w:val="025A529E"/>
    <w:rsid w:val="025E0353"/>
    <w:rsid w:val="02B01361"/>
    <w:rsid w:val="02B51421"/>
    <w:rsid w:val="036044E3"/>
    <w:rsid w:val="03C91CF8"/>
    <w:rsid w:val="03E05C76"/>
    <w:rsid w:val="043A5387"/>
    <w:rsid w:val="048760F2"/>
    <w:rsid w:val="04BB2CD9"/>
    <w:rsid w:val="05720FF5"/>
    <w:rsid w:val="06695AAF"/>
    <w:rsid w:val="07034F99"/>
    <w:rsid w:val="07153E89"/>
    <w:rsid w:val="072B7EE9"/>
    <w:rsid w:val="081C4DA3"/>
    <w:rsid w:val="092D6C8C"/>
    <w:rsid w:val="09475E50"/>
    <w:rsid w:val="098D633C"/>
    <w:rsid w:val="0A540824"/>
    <w:rsid w:val="0AA572D2"/>
    <w:rsid w:val="0AAC5DB9"/>
    <w:rsid w:val="0B372620"/>
    <w:rsid w:val="0BE107DE"/>
    <w:rsid w:val="0BFF15B3"/>
    <w:rsid w:val="0C3703FE"/>
    <w:rsid w:val="0CAF61E6"/>
    <w:rsid w:val="0D76757D"/>
    <w:rsid w:val="0E621BEE"/>
    <w:rsid w:val="0EF34AB0"/>
    <w:rsid w:val="0F1669F0"/>
    <w:rsid w:val="10667503"/>
    <w:rsid w:val="10E42958"/>
    <w:rsid w:val="111D0683"/>
    <w:rsid w:val="11BE7A21"/>
    <w:rsid w:val="11EF7C3C"/>
    <w:rsid w:val="11F72B09"/>
    <w:rsid w:val="120132FF"/>
    <w:rsid w:val="121F0D9F"/>
    <w:rsid w:val="127B54E8"/>
    <w:rsid w:val="12C02EFB"/>
    <w:rsid w:val="12C62DD0"/>
    <w:rsid w:val="13C06F2A"/>
    <w:rsid w:val="13CA1B57"/>
    <w:rsid w:val="13D36C5E"/>
    <w:rsid w:val="147F0B94"/>
    <w:rsid w:val="14DB6F5D"/>
    <w:rsid w:val="15475B55"/>
    <w:rsid w:val="164511F2"/>
    <w:rsid w:val="166531D2"/>
    <w:rsid w:val="168B4C26"/>
    <w:rsid w:val="16A46EA9"/>
    <w:rsid w:val="16E66022"/>
    <w:rsid w:val="17345C65"/>
    <w:rsid w:val="187C676E"/>
    <w:rsid w:val="187F1162"/>
    <w:rsid w:val="18980476"/>
    <w:rsid w:val="18CB084B"/>
    <w:rsid w:val="18E62B5F"/>
    <w:rsid w:val="194F322A"/>
    <w:rsid w:val="1A383CBF"/>
    <w:rsid w:val="1A6745A4"/>
    <w:rsid w:val="1ABD01B9"/>
    <w:rsid w:val="1ABF16F8"/>
    <w:rsid w:val="1AEE25CF"/>
    <w:rsid w:val="1BF17E85"/>
    <w:rsid w:val="1C0A3439"/>
    <w:rsid w:val="1CD51C99"/>
    <w:rsid w:val="1CD83537"/>
    <w:rsid w:val="1CF87735"/>
    <w:rsid w:val="1D266050"/>
    <w:rsid w:val="1DAA4ED3"/>
    <w:rsid w:val="1DCC309C"/>
    <w:rsid w:val="1DDC0E05"/>
    <w:rsid w:val="1E2C58E8"/>
    <w:rsid w:val="1E9D0594"/>
    <w:rsid w:val="1EB1403F"/>
    <w:rsid w:val="1F9F033C"/>
    <w:rsid w:val="209611FA"/>
    <w:rsid w:val="2144119B"/>
    <w:rsid w:val="217F6677"/>
    <w:rsid w:val="21BF6A73"/>
    <w:rsid w:val="21DE514B"/>
    <w:rsid w:val="21F229A5"/>
    <w:rsid w:val="22670988"/>
    <w:rsid w:val="22705213"/>
    <w:rsid w:val="22963C78"/>
    <w:rsid w:val="22AA7723"/>
    <w:rsid w:val="22B60DE0"/>
    <w:rsid w:val="231C4A84"/>
    <w:rsid w:val="237D0994"/>
    <w:rsid w:val="23F52C20"/>
    <w:rsid w:val="24431BDE"/>
    <w:rsid w:val="24C0322E"/>
    <w:rsid w:val="24ED56A6"/>
    <w:rsid w:val="25033350"/>
    <w:rsid w:val="250C0B6D"/>
    <w:rsid w:val="251610A0"/>
    <w:rsid w:val="252E1F46"/>
    <w:rsid w:val="258129BE"/>
    <w:rsid w:val="258B55EA"/>
    <w:rsid w:val="25F74A2E"/>
    <w:rsid w:val="26571970"/>
    <w:rsid w:val="26BB5A5B"/>
    <w:rsid w:val="279D281D"/>
    <w:rsid w:val="28135FC7"/>
    <w:rsid w:val="283C7070"/>
    <w:rsid w:val="28AD5878"/>
    <w:rsid w:val="28D63020"/>
    <w:rsid w:val="2AA42CAA"/>
    <w:rsid w:val="2ACE1AD5"/>
    <w:rsid w:val="2B0F45C8"/>
    <w:rsid w:val="2B2C33CC"/>
    <w:rsid w:val="2B4D50F0"/>
    <w:rsid w:val="2B620F25"/>
    <w:rsid w:val="2BF043F9"/>
    <w:rsid w:val="2C4F6930"/>
    <w:rsid w:val="2C932FD6"/>
    <w:rsid w:val="2C974875"/>
    <w:rsid w:val="2CC6515A"/>
    <w:rsid w:val="2D1C2FCC"/>
    <w:rsid w:val="2D2A56E9"/>
    <w:rsid w:val="2D7D55A6"/>
    <w:rsid w:val="2DC21DC5"/>
    <w:rsid w:val="2E4E5407"/>
    <w:rsid w:val="2F0B779C"/>
    <w:rsid w:val="2F212B1B"/>
    <w:rsid w:val="2FF87D20"/>
    <w:rsid w:val="30406FD1"/>
    <w:rsid w:val="306C1E7E"/>
    <w:rsid w:val="30C50C2A"/>
    <w:rsid w:val="30CE282F"/>
    <w:rsid w:val="31505DDB"/>
    <w:rsid w:val="322E5C7B"/>
    <w:rsid w:val="328533C1"/>
    <w:rsid w:val="32D700C1"/>
    <w:rsid w:val="332216A7"/>
    <w:rsid w:val="334868C9"/>
    <w:rsid w:val="33B44ECF"/>
    <w:rsid w:val="33D405FD"/>
    <w:rsid w:val="34142C4F"/>
    <w:rsid w:val="34757B91"/>
    <w:rsid w:val="34A02734"/>
    <w:rsid w:val="34BA37F6"/>
    <w:rsid w:val="352B6FFD"/>
    <w:rsid w:val="35E46651"/>
    <w:rsid w:val="35F8113D"/>
    <w:rsid w:val="361B02C4"/>
    <w:rsid w:val="368C3DF2"/>
    <w:rsid w:val="369A0B96"/>
    <w:rsid w:val="372E2279"/>
    <w:rsid w:val="373F2762"/>
    <w:rsid w:val="37A10C9D"/>
    <w:rsid w:val="37A34A15"/>
    <w:rsid w:val="38091D51"/>
    <w:rsid w:val="38211DDE"/>
    <w:rsid w:val="38A8605B"/>
    <w:rsid w:val="38F82B3F"/>
    <w:rsid w:val="39677CC5"/>
    <w:rsid w:val="39A20CFD"/>
    <w:rsid w:val="39B527DE"/>
    <w:rsid w:val="39BA7DF4"/>
    <w:rsid w:val="3B4E2EEA"/>
    <w:rsid w:val="3B4F27BE"/>
    <w:rsid w:val="3B765F9D"/>
    <w:rsid w:val="3B804B22"/>
    <w:rsid w:val="3CD15B81"/>
    <w:rsid w:val="3D5B369C"/>
    <w:rsid w:val="3D8A6557"/>
    <w:rsid w:val="3E4F4F2D"/>
    <w:rsid w:val="3EFB6EE5"/>
    <w:rsid w:val="3FA05CDE"/>
    <w:rsid w:val="40330901"/>
    <w:rsid w:val="404152F5"/>
    <w:rsid w:val="40662A84"/>
    <w:rsid w:val="406D3E12"/>
    <w:rsid w:val="41601281"/>
    <w:rsid w:val="417D62D7"/>
    <w:rsid w:val="42727DD5"/>
    <w:rsid w:val="438F22F2"/>
    <w:rsid w:val="44024872"/>
    <w:rsid w:val="45863281"/>
    <w:rsid w:val="46503FBA"/>
    <w:rsid w:val="46BA58D8"/>
    <w:rsid w:val="47282841"/>
    <w:rsid w:val="47370CD6"/>
    <w:rsid w:val="476A65C7"/>
    <w:rsid w:val="47CF7161"/>
    <w:rsid w:val="482D509D"/>
    <w:rsid w:val="4839282C"/>
    <w:rsid w:val="484511D1"/>
    <w:rsid w:val="484B18BB"/>
    <w:rsid w:val="485D29BF"/>
    <w:rsid w:val="492928A1"/>
    <w:rsid w:val="49957F36"/>
    <w:rsid w:val="4A186576"/>
    <w:rsid w:val="4A712751"/>
    <w:rsid w:val="4B375749"/>
    <w:rsid w:val="4B386926"/>
    <w:rsid w:val="4B6B71A0"/>
    <w:rsid w:val="4B7257B9"/>
    <w:rsid w:val="4B75001F"/>
    <w:rsid w:val="4BA40904"/>
    <w:rsid w:val="4BCD39B7"/>
    <w:rsid w:val="4BFB71EE"/>
    <w:rsid w:val="4C0F723B"/>
    <w:rsid w:val="4C1C493F"/>
    <w:rsid w:val="4C22247B"/>
    <w:rsid w:val="4C96024D"/>
    <w:rsid w:val="4CF84A64"/>
    <w:rsid w:val="4D954979"/>
    <w:rsid w:val="4E597B97"/>
    <w:rsid w:val="4EBC7D13"/>
    <w:rsid w:val="4EDB63EB"/>
    <w:rsid w:val="4EF851EF"/>
    <w:rsid w:val="503B2CCC"/>
    <w:rsid w:val="50493828"/>
    <w:rsid w:val="50744D49"/>
    <w:rsid w:val="508D518A"/>
    <w:rsid w:val="50922397"/>
    <w:rsid w:val="50DE6609"/>
    <w:rsid w:val="510065DD"/>
    <w:rsid w:val="511D1902"/>
    <w:rsid w:val="51226553"/>
    <w:rsid w:val="516969CE"/>
    <w:rsid w:val="52260D85"/>
    <w:rsid w:val="52C62C26"/>
    <w:rsid w:val="52D27B05"/>
    <w:rsid w:val="531159FF"/>
    <w:rsid w:val="534511F7"/>
    <w:rsid w:val="53703F6E"/>
    <w:rsid w:val="53AC65A8"/>
    <w:rsid w:val="53DF362C"/>
    <w:rsid w:val="53E354DD"/>
    <w:rsid w:val="53F33585"/>
    <w:rsid w:val="54335B48"/>
    <w:rsid w:val="54A85EA3"/>
    <w:rsid w:val="54B912EB"/>
    <w:rsid w:val="5503669C"/>
    <w:rsid w:val="556F788D"/>
    <w:rsid w:val="55990DAE"/>
    <w:rsid w:val="5621327D"/>
    <w:rsid w:val="56717635"/>
    <w:rsid w:val="57116971"/>
    <w:rsid w:val="57565A67"/>
    <w:rsid w:val="575B631B"/>
    <w:rsid w:val="578C4726"/>
    <w:rsid w:val="58382B00"/>
    <w:rsid w:val="5848635E"/>
    <w:rsid w:val="58556D78"/>
    <w:rsid w:val="586B0039"/>
    <w:rsid w:val="59853B23"/>
    <w:rsid w:val="5A557D38"/>
    <w:rsid w:val="5AB04370"/>
    <w:rsid w:val="5ADA1C4D"/>
    <w:rsid w:val="5ADF7263"/>
    <w:rsid w:val="5B0D3DD0"/>
    <w:rsid w:val="5B45612F"/>
    <w:rsid w:val="5B835E40"/>
    <w:rsid w:val="5BEA4111"/>
    <w:rsid w:val="5D535CE6"/>
    <w:rsid w:val="5D55380D"/>
    <w:rsid w:val="5D997B9D"/>
    <w:rsid w:val="5DA87DE0"/>
    <w:rsid w:val="5DBC1EE7"/>
    <w:rsid w:val="5DC97381"/>
    <w:rsid w:val="5E2C27BF"/>
    <w:rsid w:val="5E547F68"/>
    <w:rsid w:val="5E624433"/>
    <w:rsid w:val="5E7F77FB"/>
    <w:rsid w:val="5EB6652D"/>
    <w:rsid w:val="5F426012"/>
    <w:rsid w:val="60487659"/>
    <w:rsid w:val="60D333C6"/>
    <w:rsid w:val="611D6D37"/>
    <w:rsid w:val="615D5386"/>
    <w:rsid w:val="62352F18"/>
    <w:rsid w:val="624B554A"/>
    <w:rsid w:val="62500A46"/>
    <w:rsid w:val="6280757E"/>
    <w:rsid w:val="62A74B0A"/>
    <w:rsid w:val="62D376AD"/>
    <w:rsid w:val="62D43425"/>
    <w:rsid w:val="63064B88"/>
    <w:rsid w:val="639E0848"/>
    <w:rsid w:val="63BA7CC9"/>
    <w:rsid w:val="64283A29"/>
    <w:rsid w:val="642D7291"/>
    <w:rsid w:val="64456B3A"/>
    <w:rsid w:val="64BA44C3"/>
    <w:rsid w:val="652C45FC"/>
    <w:rsid w:val="65616D6A"/>
    <w:rsid w:val="663F505A"/>
    <w:rsid w:val="66756CCD"/>
    <w:rsid w:val="668313EA"/>
    <w:rsid w:val="669265A4"/>
    <w:rsid w:val="66A001EE"/>
    <w:rsid w:val="66B477F6"/>
    <w:rsid w:val="66B75538"/>
    <w:rsid w:val="66CB4B3F"/>
    <w:rsid w:val="66F145A6"/>
    <w:rsid w:val="67E27BEE"/>
    <w:rsid w:val="68637725"/>
    <w:rsid w:val="68D128E1"/>
    <w:rsid w:val="68F45D38"/>
    <w:rsid w:val="695D23C7"/>
    <w:rsid w:val="697C120F"/>
    <w:rsid w:val="69EA352F"/>
    <w:rsid w:val="6A174FFE"/>
    <w:rsid w:val="6A1D3904"/>
    <w:rsid w:val="6A324510"/>
    <w:rsid w:val="6A7C4ACE"/>
    <w:rsid w:val="6B2667E8"/>
    <w:rsid w:val="6B682A81"/>
    <w:rsid w:val="6BA22313"/>
    <w:rsid w:val="6BAF4A30"/>
    <w:rsid w:val="6BB67B6C"/>
    <w:rsid w:val="6C6475C8"/>
    <w:rsid w:val="6CFD111F"/>
    <w:rsid w:val="6DDB1B0C"/>
    <w:rsid w:val="6E4941C8"/>
    <w:rsid w:val="6F190B3E"/>
    <w:rsid w:val="6F1C062E"/>
    <w:rsid w:val="6F2E0C30"/>
    <w:rsid w:val="6FEA5EE5"/>
    <w:rsid w:val="6FFE1AE2"/>
    <w:rsid w:val="700B1974"/>
    <w:rsid w:val="701D465E"/>
    <w:rsid w:val="71145A61"/>
    <w:rsid w:val="71386623"/>
    <w:rsid w:val="71914DCB"/>
    <w:rsid w:val="71BE6B57"/>
    <w:rsid w:val="733F48EB"/>
    <w:rsid w:val="73C85155"/>
    <w:rsid w:val="73D275F5"/>
    <w:rsid w:val="747D289E"/>
    <w:rsid w:val="7548674A"/>
    <w:rsid w:val="75662603"/>
    <w:rsid w:val="758331B5"/>
    <w:rsid w:val="75CA0DE4"/>
    <w:rsid w:val="75F45E61"/>
    <w:rsid w:val="76906B27"/>
    <w:rsid w:val="786C7F30"/>
    <w:rsid w:val="79E166FC"/>
    <w:rsid w:val="7A2D36EF"/>
    <w:rsid w:val="7AE04C06"/>
    <w:rsid w:val="7AF81F4F"/>
    <w:rsid w:val="7BB045D8"/>
    <w:rsid w:val="7C63789C"/>
    <w:rsid w:val="7C706DF3"/>
    <w:rsid w:val="7D0C3A90"/>
    <w:rsid w:val="7D11008D"/>
    <w:rsid w:val="7DC65E60"/>
    <w:rsid w:val="7E6F25C9"/>
    <w:rsid w:val="7E9C7095"/>
    <w:rsid w:val="7F250E39"/>
    <w:rsid w:val="7F385010"/>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5"/>
    <w:basedOn w:val="1"/>
    <w:next w:val="1"/>
    <w:autoRedefine/>
    <w:qFormat/>
    <w:uiPriority w:val="9"/>
    <w:pPr>
      <w:keepNext/>
      <w:keepLines/>
      <w:spacing w:before="280" w:after="290" w:line="376" w:lineRule="auto"/>
      <w:outlineLvl w:val="4"/>
    </w:pPr>
    <w:rPr>
      <w:b/>
      <w:bCs/>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autoRedefine/>
    <w:qFormat/>
    <w:uiPriority w:val="0"/>
    <w:pPr>
      <w:suppressAutoHyphens w:val="0"/>
    </w:pPr>
    <w:rPr>
      <w:szCs w:val="20"/>
    </w:rPr>
  </w:style>
  <w:style w:type="paragraph" w:styleId="6">
    <w:name w:val="Body Text"/>
    <w:basedOn w:val="1"/>
    <w:next w:val="1"/>
    <w:autoRedefine/>
    <w:qFormat/>
    <w:uiPriority w:val="1"/>
    <w:pPr>
      <w:spacing w:before="1"/>
    </w:pPr>
    <w:rPr>
      <w:rFonts w:ascii="宋体" w:hAnsi="宋体" w:eastAsia="宋体" w:cs="宋体"/>
      <w:sz w:val="36"/>
      <w:szCs w:val="36"/>
      <w:lang w:val="zh-CN" w:eastAsia="zh-CN" w:bidi="zh-CN"/>
    </w:rPr>
  </w:style>
  <w:style w:type="paragraph" w:styleId="7">
    <w:name w:val="Body Text Indent"/>
    <w:basedOn w:val="1"/>
    <w:next w:val="6"/>
    <w:autoRedefine/>
    <w:qFormat/>
    <w:uiPriority w:val="99"/>
    <w:pPr>
      <w:ind w:left="420" w:leftChars="200"/>
    </w:pPr>
  </w:style>
  <w:style w:type="paragraph" w:styleId="8">
    <w:name w:val="Body Text Indent 2"/>
    <w:basedOn w:val="1"/>
    <w:next w:val="9"/>
    <w:autoRedefine/>
    <w:unhideWhenUsed/>
    <w:qFormat/>
    <w:uiPriority w:val="99"/>
    <w:pPr>
      <w:spacing w:line="480" w:lineRule="auto"/>
      <w:ind w:left="420" w:leftChars="200"/>
    </w:pPr>
    <w:rPr>
      <w:rFonts w:ascii="Times New Roman" w:hAnsi="Times New Roman" w:eastAsia="宋体" w:cs="Times New Roman"/>
    </w:rPr>
  </w:style>
  <w:style w:type="paragraph" w:styleId="9">
    <w:name w:val="Body Text First Indent 2"/>
    <w:basedOn w:val="7"/>
    <w:next w:val="1"/>
    <w:autoRedefine/>
    <w:qFormat/>
    <w:uiPriority w:val="99"/>
    <w:pPr>
      <w:ind w:firstLine="420" w:firstLine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99"/>
    <w:pPr>
      <w:widowControl w:val="0"/>
      <w:adjustRightInd/>
      <w:snapToGrid/>
      <w:spacing w:before="100" w:beforeAutospacing="1" w:after="100" w:afterAutospacing="1"/>
    </w:pPr>
    <w:rPr>
      <w:rFonts w:ascii="Calibri" w:hAnsi="Calibri" w:eastAsia="宋体" w:cs="Times New Roman"/>
      <w:sz w:val="24"/>
      <w:szCs w:val="24"/>
    </w:rPr>
  </w:style>
  <w:style w:type="character" w:styleId="15">
    <w:name w:val="Strong"/>
    <w:basedOn w:val="14"/>
    <w:autoRedefine/>
    <w:qFormat/>
    <w:uiPriority w:val="0"/>
    <w:rPr>
      <w:b/>
    </w:rPr>
  </w:style>
  <w:style w:type="paragraph" w:customStyle="1" w:styleId="16">
    <w:name w:val="引文目录1"/>
    <w:basedOn w:val="1"/>
    <w:next w:val="1"/>
    <w:autoRedefine/>
    <w:qFormat/>
    <w:uiPriority w:val="0"/>
    <w:pPr>
      <w:ind w:left="420" w:leftChars="200"/>
    </w:pPr>
    <w:rPr>
      <w:rFonts w:ascii="Calibri" w:hAnsi="Calibri" w:eastAsia="宋体" w:cs="Times New Roman"/>
      <w:sz w:val="32"/>
      <w:szCs w:val="32"/>
    </w:rPr>
  </w:style>
  <w:style w:type="paragraph" w:customStyle="1" w:styleId="17">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7549</Words>
  <Characters>7835</Characters>
  <Lines>0</Lines>
  <Paragraphs>0</Paragraphs>
  <TotalTime>154</TotalTime>
  <ScaleCrop>false</ScaleCrop>
  <LinksUpToDate>false</LinksUpToDate>
  <CharactersWithSpaces>7838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2023-07-18T00:28:00Z</dcterms:created>
  <dc:creator>Lenovo</dc:creator>
  <cp:lastModifiedBy>Administrator</cp:lastModifiedBy>
  <cp:lastPrinted>2023-08-01T08:15:00Z</cp:lastPrinted>
  <dcterms:modified xsi:type="dcterms:W3CDTF">2024-12-27T02:49:03Z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C8791914CD0845C7A248BA9D7C7C8134_13</vt:lpwstr>
  </property>
  <property fmtid="{D5CDD505-2E9C-101B-9397-08002B2CF9AE}" pid="4" name="KSOTemplateDocerSaveRecord">
    <vt:lpwstr>eyJoZGlkIjoiNDQ5ODg4YTQwYzZhOTVhYThhOGY2YTQ2MGYwNDA2MzkifQ==</vt:lpwstr>
  </property>
</Properties>
</file>