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阳城县行政审批服务管理局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2023年工作总结</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rPr>
        <w:t>2024年工作计划</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2023年，在县委、县政府的坚强领导下，</w:t>
      </w:r>
      <w:r>
        <w:rPr>
          <w:rFonts w:hint="eastAsia" w:ascii="仿宋_GB2312" w:hAnsi="仿宋_GB2312" w:eastAsia="仿宋_GB2312" w:cs="仿宋_GB2312"/>
          <w:sz w:val="32"/>
          <w:szCs w:val="32"/>
          <w:lang w:eastAsia="zh-CN"/>
        </w:rPr>
        <w:t>阳城县行政审批服务管理局认真学习贯彻党的二十大精神和习近平总书记重要指示批示精神，牢牢聚焦县委</w:t>
      </w:r>
      <w:r>
        <w:rPr>
          <w:rFonts w:hint="eastAsia" w:ascii="仿宋_GB2312" w:hAnsi="仿宋_GB2312" w:eastAsia="仿宋_GB2312" w:cs="仿宋_GB2312"/>
          <w:sz w:val="32"/>
          <w:szCs w:val="32"/>
          <w:lang w:val="en-US" w:eastAsia="zh-CN"/>
        </w:rPr>
        <w:t>“一个统筹两手抓”总体思路和要求，</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“我不避事踔厉奋发，事不避难勇毅前行；马上就办百问不烦，办就办好令人满意”的</w:t>
      </w:r>
      <w:r>
        <w:rPr>
          <w:rFonts w:hint="eastAsia" w:ascii="仿宋_GB2312" w:hAnsi="仿宋_GB2312" w:eastAsia="仿宋_GB2312" w:cs="仿宋_GB2312"/>
          <w:sz w:val="32"/>
          <w:szCs w:val="32"/>
          <w:lang w:eastAsia="zh-CN"/>
        </w:rPr>
        <w:t>精神状态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开展优化营商环境提质增效年、市场主体提升年</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作风能力提升年活动，全力打造“办事不求人、审批不见面、就近跑一次”政务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，全力保障全县经济社会高质量发展。</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2023年，全年共办理各类审批事项30941件，其中：市场准入方面18927件（企业登记5709件、个体登记13166件、其他52件），市场准营方面5466件，投资立项与规划建设方面1180件，资格资质方面3250件，其他方面2118件。</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全县市场主体新设10679户，注销8732户，净增1947户。其中企业净增2864户，合作社净增-21户，个体工商户净增-896户。我县现有市场主体37908户，其中企业11875户，农民专业合作社729户，个体工商户25304户。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一、2023年工作</w:t>
      </w:r>
      <w:r>
        <w:rPr>
          <w:rFonts w:hint="eastAsia" w:ascii="黑体" w:hAnsi="黑体" w:eastAsia="黑体" w:cs="黑体"/>
          <w:sz w:val="32"/>
          <w:szCs w:val="32"/>
          <w:lang w:eastAsia="zh-CN"/>
        </w:rPr>
        <w:t>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（一）以抓好做实“主题教育”为引领，夯实政务服务“新保障”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强化理论武装，坚定理想信念。</w:t>
      </w:r>
      <w:r>
        <w:rPr>
          <w:rFonts w:hint="eastAsia" w:ascii="仿宋_GB2312" w:hAnsi="仿宋_GB2312" w:eastAsia="仿宋_GB2312" w:cs="仿宋_GB2312"/>
          <w:sz w:val="32"/>
          <w:szCs w:val="32"/>
        </w:rPr>
        <w:t>通过专题学习、交流研讨</w:t>
      </w:r>
      <w:r>
        <w:rPr>
          <w:rFonts w:hint="eastAsia" w:ascii="仿宋_GB2312" w:hAnsi="仿宋_GB2312" w:eastAsia="仿宋_GB2312" w:cs="仿宋_GB2312"/>
          <w:sz w:val="32"/>
          <w:szCs w:val="32"/>
          <w:lang w:eastAsia="zh-CN"/>
        </w:rPr>
        <w:t>、现场教育</w:t>
      </w:r>
      <w:r>
        <w:rPr>
          <w:rFonts w:hint="eastAsia" w:ascii="仿宋_GB2312" w:hAnsi="仿宋_GB2312" w:eastAsia="仿宋_GB2312" w:cs="仿宋_GB2312"/>
          <w:sz w:val="32"/>
          <w:szCs w:val="32"/>
        </w:rPr>
        <w:t>等形式，</w:t>
      </w:r>
      <w:r>
        <w:rPr>
          <w:rFonts w:hint="eastAsia" w:ascii="仿宋_GB2312" w:hAnsi="仿宋_GB2312" w:eastAsia="仿宋_GB2312" w:cs="仿宋_GB2312"/>
          <w:sz w:val="32"/>
          <w:szCs w:val="32"/>
          <w:lang w:eastAsia="zh-CN"/>
        </w:rPr>
        <w:t>深学细悟笃行习近平新时代中国特色社会主义思想，</w:t>
      </w:r>
      <w:r>
        <w:rPr>
          <w:rFonts w:hint="eastAsia" w:ascii="仿宋_GB2312" w:hAnsi="仿宋_GB2312" w:eastAsia="仿宋_GB2312" w:cs="仿宋_GB2312"/>
          <w:sz w:val="32"/>
          <w:szCs w:val="32"/>
        </w:rPr>
        <w:t>切实坚定理想信念、凝聚发展合力。共开展理论中心组学习</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次，党员周学习4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二是履行主体责任，强化廉洁教育。</w:t>
      </w:r>
      <w:r>
        <w:rPr>
          <w:rFonts w:hint="eastAsia" w:ascii="仿宋_GB2312" w:hAnsi="仿宋_GB2312" w:eastAsia="仿宋_GB2312" w:cs="仿宋_GB2312"/>
          <w:sz w:val="32"/>
          <w:szCs w:val="32"/>
        </w:rPr>
        <w:t>始终坚持把全面从严治党作为推进各项工作的坚强保障</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《从严治党责任清单》《党组织目标责任书》</w:t>
      </w:r>
      <w:r>
        <w:rPr>
          <w:rFonts w:hint="eastAsia" w:ascii="仿宋_GB2312" w:hAnsi="仿宋_GB2312" w:eastAsia="仿宋_GB2312" w:cs="仿宋_GB2312"/>
          <w:sz w:val="32"/>
          <w:szCs w:val="32"/>
          <w:lang w:eastAsia="zh-CN"/>
        </w:rPr>
        <w:t>和常态化的监督检查、提醒谈活以及制度文化建设</w:t>
      </w:r>
      <w:r>
        <w:rPr>
          <w:rFonts w:hint="eastAsia" w:ascii="仿宋_GB2312" w:hAnsi="仿宋_GB2312" w:eastAsia="仿宋_GB2312" w:cs="仿宋_GB2312"/>
          <w:sz w:val="32"/>
          <w:szCs w:val="32"/>
        </w:rPr>
        <w:t>，推动党建及党风廉政建设主体责任全面覆盖、“一岗双责”有效落实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推动建设清廉机关走深走实，防腐抗变防线明显加固，廉政建设工作成效明显。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三是坚持问题导向，检验学习成效。</w:t>
      </w:r>
      <w:r>
        <w:rPr>
          <w:rFonts w:hint="eastAsia" w:ascii="仿宋_GB2312" w:hAnsi="仿宋_GB2312" w:eastAsia="仿宋_GB2312" w:cs="仿宋_GB2312"/>
          <w:sz w:val="32"/>
          <w:szCs w:val="32"/>
        </w:rPr>
        <w:t>围绕营商环境存在的突出问题和企业群众反映强烈的热点难点问题，深入开展自查自纠，深刻检视剖析，制定整改措施，切实将主题教育活动与做好审批服务、优化营商环境工作结合起来，想办法、添措施、抓落实，推动学习走深走实，真正用工作成果检验学习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（二）以持续深化放管服改革为牵引，开创营商环境“新局面”</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一是强化统筹协调，促进营商环境提质增效。</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持续做好优化营商环境工作。</w:t>
      </w:r>
      <w:r>
        <w:rPr>
          <w:rFonts w:hint="eastAsia" w:ascii="仿宋_GB2312" w:hAnsi="仿宋_GB2312" w:eastAsia="仿宋_GB2312" w:cs="仿宋_GB2312"/>
          <w:sz w:val="32"/>
          <w:szCs w:val="32"/>
        </w:rPr>
        <w:t>印发《阳城县优化营商环境提质增效年实施方案》《网上政务服务能力“提质年”专项工作方案》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召开全县优化营商环境推进大会，</w:t>
      </w:r>
      <w:r>
        <w:rPr>
          <w:rFonts w:hint="eastAsia" w:ascii="仿宋_GB2312" w:hAnsi="仿宋_GB2312" w:eastAsia="仿宋_GB2312" w:cs="仿宋_GB2312"/>
          <w:sz w:val="32"/>
          <w:szCs w:val="32"/>
          <w:lang w:eastAsia="zh-CN"/>
        </w:rPr>
        <w:t>细化分解任务，</w:t>
      </w:r>
      <w:r>
        <w:rPr>
          <w:rFonts w:hint="eastAsia" w:ascii="仿宋_GB2312" w:hAnsi="仿宋_GB2312" w:eastAsia="仿宋_GB2312" w:cs="仿宋_GB2312"/>
          <w:sz w:val="32"/>
          <w:szCs w:val="32"/>
        </w:rPr>
        <w:t>层层压实责任。通过《营商环境考核指标通报》《经营主体发展工作动态》</w:t>
      </w:r>
      <w:r>
        <w:rPr>
          <w:rFonts w:hint="eastAsia" w:ascii="仿宋_GB2312" w:hAnsi="仿宋_GB2312" w:eastAsia="仿宋_GB2312" w:cs="仿宋_GB2312"/>
          <w:sz w:val="32"/>
          <w:szCs w:val="32"/>
          <w:lang w:val="en-US" w:eastAsia="zh-CN"/>
        </w:rPr>
        <w:t>等措施</w:t>
      </w:r>
      <w:r>
        <w:rPr>
          <w:rFonts w:hint="eastAsia" w:ascii="仿宋_GB2312" w:hAnsi="仿宋_GB2312" w:eastAsia="仿宋_GB2312" w:cs="仿宋_GB2312"/>
          <w:sz w:val="32"/>
          <w:szCs w:val="32"/>
        </w:rPr>
        <w:t>，强化日常调度，全力打造“三无”“三可”营商环境。</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推动优化营商环境政治监督工作走深走实。</w:t>
      </w:r>
      <w:r>
        <w:rPr>
          <w:rFonts w:hint="eastAsia" w:ascii="仿宋_GB2312" w:hAnsi="仿宋_GB2312" w:eastAsia="仿宋_GB2312" w:cs="仿宋_GB2312"/>
          <w:sz w:val="32"/>
          <w:szCs w:val="32"/>
          <w:lang w:eastAsia="zh-CN"/>
        </w:rPr>
        <w:t>通过定方案、定措施、定时限和强监督，认真做好</w:t>
      </w:r>
      <w:r>
        <w:rPr>
          <w:rFonts w:hint="eastAsia" w:ascii="仿宋_GB2312" w:hAnsi="仿宋_GB2312" w:eastAsia="仿宋_GB2312" w:cs="仿宋_GB2312"/>
          <w:sz w:val="32"/>
          <w:szCs w:val="32"/>
        </w:rPr>
        <w:t>优化营商环境政治监督专项检查反馈问题</w:t>
      </w:r>
      <w:r>
        <w:rPr>
          <w:rFonts w:hint="eastAsia" w:ascii="仿宋_GB2312" w:hAnsi="仿宋_GB2312" w:eastAsia="仿宋_GB2312" w:cs="仿宋_GB2312"/>
          <w:sz w:val="32"/>
          <w:szCs w:val="32"/>
          <w:lang w:eastAsia="zh-CN"/>
        </w:rPr>
        <w:t>整改和</w:t>
      </w:r>
      <w:r>
        <w:rPr>
          <w:rFonts w:hint="eastAsia" w:ascii="仿宋_GB2312" w:hAnsi="仿宋_GB2312" w:eastAsia="仿宋_GB2312" w:cs="仿宋_GB2312"/>
          <w:sz w:val="32"/>
          <w:szCs w:val="32"/>
        </w:rPr>
        <w:t>“两不”问题监督整治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优化营商环境政治监督反馈我县27个问题</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23个“两不问题”</w:t>
      </w:r>
      <w:r>
        <w:rPr>
          <w:rFonts w:hint="eastAsia" w:ascii="仿宋_GB2312" w:hAnsi="仿宋_GB2312" w:eastAsia="仿宋_GB2312" w:cs="仿宋_GB2312"/>
          <w:sz w:val="32"/>
          <w:szCs w:val="32"/>
        </w:rPr>
        <w:t>已全部整改完成，</w:t>
      </w:r>
      <w:r>
        <w:rPr>
          <w:rFonts w:hint="eastAsia" w:ascii="仿宋_GB2312" w:hAnsi="仿宋_GB2312" w:eastAsia="仿宋_GB2312" w:cs="仿宋_GB2312"/>
          <w:sz w:val="32"/>
          <w:szCs w:val="32"/>
          <w:lang w:eastAsia="zh-CN"/>
        </w:rPr>
        <w:t>增强了政府诚信，推动营商环境持续优化</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二是推行极简审批，促进建设项目提质增速。</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深化企业投资项目承诺制改革。</w:t>
      </w:r>
      <w:r>
        <w:rPr>
          <w:rFonts w:hint="eastAsia" w:ascii="仿宋_GB2312" w:hAnsi="仿宋_GB2312" w:eastAsia="仿宋_GB2312" w:cs="仿宋_GB2312"/>
          <w:sz w:val="32"/>
          <w:szCs w:val="32"/>
        </w:rPr>
        <w:t>对于企业投资项目，在水土保持方案评、取水许可、洪水影响评价、环境影响评价报告、重点工程涉及临时占用林地许可、动物防疫条件合格证、人防工程设计条件审查、施工许可、雷电防护装置设计审核等9类单体事项、企业投资核准项目和承诺制“一本制”上实行承诺办理。</w:t>
      </w:r>
      <w:r>
        <w:rPr>
          <w:rFonts w:hint="eastAsia" w:ascii="仿宋_GB2312" w:hAnsi="仿宋_GB2312" w:eastAsia="仿宋_GB2312" w:cs="仿宋_GB2312"/>
          <w:sz w:val="32"/>
          <w:szCs w:val="32"/>
          <w:lang w:eastAsia="zh-CN"/>
        </w:rPr>
        <w:t>共为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个项目1</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事项实行承诺制，其中：水土保持方案报告表1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项、取水许可</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项、施工许可3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项、动物防疫条件合格证18项、人防工程设计条件审查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项、“一本制”项目事项9项、企业投资项目核准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提档“全代办”服务。</w:t>
      </w:r>
      <w:r>
        <w:rPr>
          <w:rFonts w:hint="eastAsia" w:ascii="仿宋_GB2312" w:hAnsi="仿宋_GB2312" w:eastAsia="仿宋_GB2312" w:cs="仿宋_GB2312"/>
          <w:sz w:val="32"/>
          <w:szCs w:val="32"/>
        </w:rPr>
        <w:t>组建5支共25人的专业“全代办”团队，建立“一个项目、一名项目管家、一支服务团队、一套服务方案、一张审批清单”的“五个一”服务机制，真正将“项目单位跑”变为“代办团队办”，有效助推项目早落地早开工快建设。共为阳电光伏发电项目、农村生活污水治理项目、第四小学建设项目等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个项目提供了全代办服务。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推进项目前期手续集中办理。</w:t>
      </w:r>
      <w:r>
        <w:rPr>
          <w:rFonts w:hint="eastAsia" w:ascii="仿宋_GB2312" w:hAnsi="仿宋_GB2312" w:eastAsia="仿宋_GB2312" w:cs="仿宋_GB2312"/>
          <w:sz w:val="32"/>
          <w:szCs w:val="32"/>
        </w:rPr>
        <w:t>按照项目前期手续办理攻坚工作统一安排部署，对135个项目涉及的426个审批事项建立了全流程审批台账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实行挂图作战，办理情况“日收集、日汇总、周调度”，组织召开26次调度会议</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办结381个事项，占比89.4%，130个项目已具备开工条件，占比96.3%，圆满完成了既定目标任务。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持续深化工程建设项目审批制度改革。</w:t>
      </w:r>
      <w:r>
        <w:rPr>
          <w:rFonts w:hint="eastAsia" w:ascii="仿宋_GB2312" w:hAnsi="仿宋_GB2312" w:eastAsia="仿宋_GB2312" w:cs="仿宋_GB2312"/>
          <w:sz w:val="32"/>
          <w:szCs w:val="32"/>
          <w:lang w:eastAsia="zh-CN"/>
        </w:rPr>
        <w:t>制定出台了</w:t>
      </w:r>
      <w:r>
        <w:rPr>
          <w:rFonts w:hint="eastAsia" w:ascii="仿宋_GB2312" w:hAnsi="仿宋_GB2312" w:eastAsia="仿宋_GB2312" w:cs="仿宋_GB2312"/>
          <w:sz w:val="32"/>
          <w:szCs w:val="32"/>
        </w:rPr>
        <w:t>项目审批全流程改革15条措施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工程建设项目“拿地即开工”极简审批模式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为投资建设项目审批降本增效。进一步优化公路建设项目审批程序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对投资200万元以下的农村公路项目，施工图设计实行“自审承诺”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投资项目实行“双承诺免评审”，8个项目采取多证联办模式，5个项目实行分阶段核发施工许可，助推项目提前2-3个月开工。</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12个项目采取“拿地即开工”审批模式，平均为项目建设节省了2个月的时间</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个农村道路项目实行了施工图设计审查“自审承诺”，平均节省了1个月的时间，节约费用约20万元，有效助力农村公路提质增效。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三是深化集成服务，促进准入准营便捷高效。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深化“一件事一次办”集成服务。</w:t>
      </w:r>
      <w:r>
        <w:rPr>
          <w:rFonts w:hint="eastAsia" w:ascii="仿宋_GB2312" w:hAnsi="仿宋_GB2312" w:eastAsia="仿宋_GB2312" w:cs="仿宋_GB2312"/>
          <w:sz w:val="32"/>
          <w:szCs w:val="32"/>
          <w:lang w:eastAsia="zh-CN"/>
        </w:rPr>
        <w:t>推动一件事“一套材料、一窗受理、一口发证”，共发布网上套餐</w:t>
      </w:r>
      <w:r>
        <w:rPr>
          <w:rFonts w:hint="eastAsia" w:ascii="仿宋_GB2312" w:hAnsi="仿宋_GB2312" w:eastAsia="仿宋_GB2312" w:cs="仿宋_GB2312"/>
          <w:sz w:val="32"/>
          <w:szCs w:val="32"/>
          <w:lang w:val="en-US" w:eastAsia="zh-CN"/>
        </w:rPr>
        <w:t>504个。</w:t>
      </w:r>
      <w:r>
        <w:rPr>
          <w:rFonts w:hint="eastAsia" w:ascii="仿宋_GB2312" w:hAnsi="仿宋_GB2312" w:eastAsia="仿宋_GB2312" w:cs="仿宋_GB2312"/>
          <w:sz w:val="32"/>
          <w:szCs w:val="32"/>
        </w:rPr>
        <w:t>推出一件事免申即办“1+N”创新举措，目前已在食品经营、人力资源、娱乐经营等行业推出13个套餐39个子项，全部免提交申请材料，当场即可办结。整合6个部门9个事项，为160余名退役军人提供“一件事”服务。</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提前介入、上门服务等措施</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商业综合体入驻商户审批事项“一件事一次办”服务工作。“一件事”网上专窗共办理套餐259件,其中多件事45件，切实提升企业群众的满意度和获得感。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持续推行“一业一证”改革。</w:t>
      </w:r>
      <w:r>
        <w:rPr>
          <w:rFonts w:hint="eastAsia" w:ascii="仿宋_GB2312" w:hAnsi="仿宋_GB2312" w:eastAsia="仿宋_GB2312" w:cs="仿宋_GB2312"/>
          <w:sz w:val="32"/>
          <w:szCs w:val="32"/>
        </w:rPr>
        <w:t>将一个行业准入涉及的多张许可证整合为一张许可证，实现“一证准营、一码亮证”，切实降低企业准营成本。</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“开人力资源服务公司”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“开KTV”</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一业一证</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试点并推广实施，实现了“一表申请、一码变更、免申即办”。共发放歌舞娱乐、民宿等行业《行业综合许可证》1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持续推进证照分离改革。</w:t>
      </w:r>
      <w:r>
        <w:rPr>
          <w:rFonts w:hint="eastAsia" w:ascii="仿宋_GB2312" w:hAnsi="仿宋_GB2312" w:eastAsia="仿宋_GB2312" w:cs="仿宋_GB2312"/>
          <w:sz w:val="32"/>
          <w:szCs w:val="32"/>
        </w:rPr>
        <w:t>开展“证照分离”改革工作“回头看”工作，联合市场监管局、司法局发布《阳城县“证照分离”改革公告承诺事项清单（2023年版）的通告》，将告知承诺制事项拓展为31项。共办理“证照分离”事项2</w:t>
      </w:r>
      <w:r>
        <w:rPr>
          <w:rFonts w:hint="eastAsia" w:ascii="仿宋_GB2312" w:hAnsi="仿宋_GB2312" w:eastAsia="仿宋_GB2312" w:cs="仿宋_GB2312"/>
          <w:sz w:val="32"/>
          <w:szCs w:val="32"/>
          <w:lang w:val="en-US" w:eastAsia="zh-CN"/>
        </w:rPr>
        <w:t>724</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聚集好办快办，促进群众办事顺畅舒心。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提升“7×24小时不打烊”政务服务超市功能。</w:t>
      </w:r>
      <w:r>
        <w:rPr>
          <w:rFonts w:hint="eastAsia" w:ascii="仿宋_GB2312" w:hAnsi="仿宋_GB2312" w:eastAsia="仿宋_GB2312" w:cs="仿宋_GB2312"/>
          <w:sz w:val="32"/>
          <w:szCs w:val="32"/>
        </w:rPr>
        <w:t>进一步整合智能终端进驻，提升自助服务办事功能，配备不动产制证一体机1台、不动产登记信息自助查询机1台，让企业、群众从“业务申报”到“产权状况查询”，打印不动产产权证书、证明实现自助办理；配备交警自助体检机、交通管理业务自助服务机各1台，实现车驾业务的自助受理、缴费等功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提升红色代办，拓展“村能办”服务外延。</w:t>
      </w:r>
      <w:r>
        <w:rPr>
          <w:rFonts w:hint="eastAsia" w:ascii="仿宋_GB2312" w:hAnsi="仿宋_GB2312" w:eastAsia="仿宋_GB2312" w:cs="仿宋_GB2312"/>
          <w:sz w:val="32"/>
          <w:szCs w:val="32"/>
          <w:lang w:val="en-US" w:eastAsia="zh-CN"/>
        </w:rPr>
        <w:t>推进红色代办服务的常态化、系统化和集成化，加快“1+15+335”全覆盖式红色代办服务圈建设，扩充红色代办队伍，优化代办服务流程，拓展服务内容。现有县乡村三级红色</w:t>
      </w:r>
      <w:r>
        <w:rPr>
          <w:rFonts w:hint="eastAsia" w:ascii="仿宋_GB2312" w:hAnsi="仿宋_GB2312" w:eastAsia="仿宋_GB2312" w:cs="仿宋_GB2312"/>
          <w:color w:val="auto"/>
          <w:sz w:val="32"/>
          <w:szCs w:val="32"/>
          <w:lang w:val="en-US" w:eastAsia="zh-CN"/>
        </w:rPr>
        <w:t>代办员1676名，开展“村能办”便民服务共69978件，其中开展红色代办26813件。“村能办”延伸服务共开展4082件，其中“村能办+企业开办”办理3102件，“村能办+党群服务”办理706件，其他延伸服务274件。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lang w:eastAsia="zh-CN"/>
        </w:rPr>
        <w:t>创新“兜底办”服务机制。</w:t>
      </w:r>
      <w:r>
        <w:rPr>
          <w:rFonts w:hint="eastAsia" w:ascii="仿宋_GB2312" w:hAnsi="仿宋_GB2312" w:eastAsia="仿宋_GB2312" w:cs="仿宋_GB2312"/>
          <w:sz w:val="32"/>
          <w:szCs w:val="32"/>
        </w:rPr>
        <w:t>建立政务服务“兜底办”专员负责制，县级兜底办服务三级事项清单共梳理5大类53项，乡（镇）“兜底办”服务三级事项清单共梳理15项，实行“三级响应”服务机制，实现受理—办理—回复—回访—评价全流程闭环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eastAsia="zh-CN"/>
        </w:rPr>
        <w:t>加强热线督办力度。</w:t>
      </w:r>
      <w:r>
        <w:rPr>
          <w:rFonts w:hint="eastAsia" w:ascii="仿宋_GB2312" w:hAnsi="仿宋_GB2312" w:eastAsia="仿宋_GB2312" w:cs="仿宋_GB2312"/>
          <w:sz w:val="32"/>
          <w:szCs w:val="32"/>
        </w:rPr>
        <w:t>召开全县政务热线工作推进会，制定热线考核细则，对热线工作进行考核管理。实行热线办理情况月通报制度，重点对办件时效、群众满意率、存在问题等通报反馈。</w:t>
      </w:r>
      <w:r>
        <w:rPr>
          <w:rFonts w:hint="eastAsia" w:ascii="仿宋" w:hAnsi="仿宋" w:eastAsia="仿宋" w:cs="仿宋"/>
          <w:sz w:val="32"/>
          <w:szCs w:val="32"/>
        </w:rPr>
        <w:t>共受理、办结各类工单</w:t>
      </w:r>
      <w:r>
        <w:rPr>
          <w:rFonts w:hint="eastAsia" w:ascii="仿宋" w:hAnsi="仿宋" w:eastAsia="仿宋" w:cs="仿宋"/>
          <w:sz w:val="32"/>
          <w:szCs w:val="32"/>
          <w:lang w:val="en-US" w:eastAsia="zh-CN"/>
        </w:rPr>
        <w:t>3538</w:t>
      </w:r>
      <w:r>
        <w:rPr>
          <w:rFonts w:hint="eastAsia" w:ascii="仿宋" w:hAnsi="仿宋" w:eastAsia="仿宋" w:cs="仿宋"/>
          <w:sz w:val="32"/>
          <w:szCs w:val="32"/>
        </w:rPr>
        <w:t>件，按时办结率100%，重办率1.</w:t>
      </w:r>
      <w:r>
        <w:rPr>
          <w:rFonts w:hint="eastAsia" w:ascii="仿宋" w:hAnsi="仿宋" w:eastAsia="仿宋" w:cs="仿宋"/>
          <w:sz w:val="32"/>
          <w:szCs w:val="32"/>
          <w:lang w:val="en-US" w:eastAsia="zh-CN"/>
        </w:rPr>
        <w:t>16</w:t>
      </w:r>
      <w:r>
        <w:rPr>
          <w:rFonts w:hint="eastAsia" w:ascii="仿宋" w:hAnsi="仿宋" w:eastAsia="仿宋" w:cs="仿宋"/>
          <w:sz w:val="32"/>
          <w:szCs w:val="32"/>
        </w:rPr>
        <w:t>%，群众满意率97.</w:t>
      </w:r>
      <w:r>
        <w:rPr>
          <w:rFonts w:hint="eastAsia" w:ascii="仿宋" w:hAnsi="仿宋" w:eastAsia="仿宋" w:cs="仿宋"/>
          <w:sz w:val="32"/>
          <w:szCs w:val="32"/>
          <w:lang w:val="en-US" w:eastAsia="zh-CN"/>
        </w:rPr>
        <w:t>26</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持续加强公共资源交易管理。</w:t>
      </w:r>
      <w:r>
        <w:rPr>
          <w:rFonts w:hint="eastAsia" w:ascii="仿宋_GB2312" w:hAnsi="仿宋_GB2312" w:eastAsia="仿宋_GB2312" w:cs="仿宋_GB2312"/>
          <w:sz w:val="32"/>
          <w:szCs w:val="32"/>
          <w:lang w:eastAsia="zh-CN"/>
        </w:rPr>
        <w:t>着眼公平公证、规范高效，深入</w:t>
      </w:r>
      <w:r>
        <w:rPr>
          <w:rFonts w:hint="eastAsia" w:ascii="仿宋_GB2312" w:hAnsi="仿宋_GB2312" w:eastAsia="仿宋_GB2312" w:cs="仿宋_GB2312"/>
          <w:sz w:val="32"/>
          <w:szCs w:val="32"/>
        </w:rPr>
        <w:t>推进县级公共资源交易平台系统平稳运行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规范代理机构从业行为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建立受理容缺制度，加快推进项目落地建设。工程建设项目共交易139宗，交易额约58亿元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政府采购（包括代理项目）实施项目共10宗，预算资金6065.5752万元，合同金额5860.3122万元，节约财政资金205.263万元，节支率3.38%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8宗国有建设用地使用权出让项目，成交金额8935万元。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全力攻坚“一网通办”。</w:t>
      </w:r>
      <w:r>
        <w:rPr>
          <w:rFonts w:hint="eastAsia" w:ascii="仿宋_GB2312" w:hAnsi="仿宋_GB2312" w:eastAsia="仿宋_GB2312" w:cs="仿宋_GB2312"/>
          <w:sz w:val="32"/>
          <w:szCs w:val="32"/>
          <w:lang w:eastAsia="zh-CN"/>
        </w:rPr>
        <w:t>聚焦网上办、掌上办能用、愿用、方便用，加强事项要素标准化、办理流程便利化建设，着力提升网办率。</w:t>
      </w:r>
      <w:r>
        <w:rPr>
          <w:rFonts w:hint="eastAsia" w:ascii="仿宋_GB2312" w:hAnsi="仿宋_GB2312" w:eastAsia="仿宋_GB2312" w:cs="仿宋_GB2312"/>
          <w:sz w:val="32"/>
          <w:szCs w:val="32"/>
        </w:rPr>
        <w:t>政务服务网共发布依申请六类事项和公共服务事项办事指南2440项，四级以上可网办率为99.66%，行政许可事项全程网办率100%，依申请事项即办率</w:t>
      </w:r>
      <w:r>
        <w:rPr>
          <w:rFonts w:hint="eastAsia" w:ascii="仿宋_GB2312" w:hAnsi="仿宋_GB2312" w:eastAsia="仿宋_GB2312" w:cs="仿宋_GB2312"/>
          <w:sz w:val="32"/>
          <w:szCs w:val="32"/>
          <w:lang w:val="en-US" w:eastAsia="zh-CN"/>
        </w:rPr>
        <w:t>62.83</w:t>
      </w:r>
      <w:r>
        <w:rPr>
          <w:rFonts w:hint="eastAsia" w:ascii="仿宋_GB2312" w:hAnsi="仿宋_GB2312" w:eastAsia="仿宋_GB2312" w:cs="仿宋_GB2312"/>
          <w:sz w:val="32"/>
          <w:szCs w:val="32"/>
        </w:rPr>
        <w:t>%。通过一体化政务服务平台共办结</w:t>
      </w:r>
      <w:r>
        <w:rPr>
          <w:rFonts w:hint="eastAsia" w:ascii="仿宋_GB2312" w:hAnsi="仿宋_GB2312" w:eastAsia="仿宋_GB2312" w:cs="仿宋_GB2312"/>
          <w:sz w:val="32"/>
          <w:szCs w:val="32"/>
          <w:lang w:val="en-US" w:eastAsia="zh-CN"/>
        </w:rPr>
        <w:t>59126</w:t>
      </w:r>
      <w:r>
        <w:rPr>
          <w:rFonts w:hint="eastAsia" w:ascii="仿宋_GB2312" w:hAnsi="仿宋_GB2312" w:eastAsia="仿宋_GB2312" w:cs="仿宋_GB2312"/>
          <w:sz w:val="32"/>
          <w:szCs w:val="32"/>
        </w:rPr>
        <w:t>件，全程网办</w:t>
      </w:r>
      <w:r>
        <w:rPr>
          <w:rFonts w:hint="eastAsia" w:ascii="仿宋_GB2312" w:hAnsi="仿宋_GB2312" w:eastAsia="仿宋_GB2312" w:cs="仿宋_GB2312"/>
          <w:sz w:val="32"/>
          <w:szCs w:val="32"/>
          <w:lang w:val="en-US" w:eastAsia="zh-CN"/>
        </w:rPr>
        <w:t>4400</w:t>
      </w:r>
      <w:r>
        <w:rPr>
          <w:rFonts w:hint="eastAsia" w:ascii="仿宋_GB2312" w:hAnsi="仿宋_GB2312" w:eastAsia="仿宋_GB2312" w:cs="仿宋_GB2312"/>
          <w:sz w:val="32"/>
          <w:szCs w:val="32"/>
        </w:rPr>
        <w:t>件，全程网办率</w:t>
      </w:r>
      <w:r>
        <w:rPr>
          <w:rFonts w:hint="eastAsia" w:ascii="仿宋_GB2312" w:hAnsi="仿宋_GB2312" w:eastAsia="仿宋_GB2312" w:cs="仿宋_GB2312"/>
          <w:sz w:val="32"/>
          <w:szCs w:val="32"/>
          <w:lang w:val="en-US" w:eastAsia="zh-CN"/>
        </w:rPr>
        <w:t>7.44</w:t>
      </w:r>
      <w:r>
        <w:rPr>
          <w:rFonts w:hint="eastAsia" w:ascii="仿宋_GB2312" w:hAnsi="仿宋_GB2312" w:eastAsia="仿宋_GB2312" w:cs="仿宋_GB2312"/>
          <w:sz w:val="32"/>
          <w:szCs w:val="32"/>
        </w:rPr>
        <w:t>%，办件覆盖度</w:t>
      </w:r>
      <w:r>
        <w:rPr>
          <w:rFonts w:hint="eastAsia" w:ascii="仿宋_GB2312" w:hAnsi="仿宋_GB2312" w:eastAsia="仿宋_GB2312" w:cs="仿宋_GB2312"/>
          <w:sz w:val="32"/>
          <w:szCs w:val="32"/>
          <w:lang w:val="en-US" w:eastAsia="zh-CN"/>
        </w:rPr>
        <w:t>69.97</w:t>
      </w:r>
      <w:r>
        <w:rPr>
          <w:rFonts w:hint="eastAsia" w:ascii="仿宋_GB2312" w:hAnsi="仿宋_GB2312" w:eastAsia="仿宋_GB2312" w:cs="仿宋_GB2312"/>
          <w:sz w:val="32"/>
          <w:szCs w:val="32"/>
        </w:rPr>
        <w:t>%。“好差评”评价总量</w:t>
      </w:r>
      <w:r>
        <w:rPr>
          <w:rFonts w:hint="eastAsia" w:ascii="仿宋_GB2312" w:hAnsi="仿宋_GB2312" w:eastAsia="仿宋_GB2312" w:cs="仿宋_GB2312"/>
          <w:sz w:val="32"/>
          <w:szCs w:val="32"/>
          <w:lang w:val="en-US" w:eastAsia="zh-CN"/>
        </w:rPr>
        <w:t>101646</w:t>
      </w:r>
      <w:r>
        <w:rPr>
          <w:rFonts w:hint="eastAsia" w:ascii="仿宋_GB2312" w:hAnsi="仿宋_GB2312" w:eastAsia="仿宋_GB2312" w:cs="仿宋_GB2312"/>
          <w:sz w:val="32"/>
          <w:szCs w:val="32"/>
        </w:rPr>
        <w:t>个，好评率100%。电子证照系统已归集146类证照模板，汇聚至国家政务服务平台的电子证照量</w:t>
      </w:r>
      <w:r>
        <w:rPr>
          <w:rFonts w:hint="eastAsia" w:ascii="仿宋_GB2312" w:hAnsi="仿宋_GB2312" w:eastAsia="仿宋_GB2312" w:cs="仿宋_GB2312"/>
          <w:sz w:val="32"/>
          <w:szCs w:val="32"/>
          <w:lang w:val="en-US" w:eastAsia="zh-CN"/>
        </w:rPr>
        <w:t>77783</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推进“互联网+监管”。</w:t>
      </w:r>
      <w:r>
        <w:rPr>
          <w:rFonts w:hint="eastAsia" w:ascii="仿宋_GB2312" w:hAnsi="仿宋_GB2312" w:eastAsia="仿宋_GB2312" w:cs="仿宋_GB2312"/>
          <w:sz w:val="32"/>
          <w:szCs w:val="32"/>
        </w:rPr>
        <w:t>组织各部门梳理监管事项目录清单，统一监管事项要素，完善检查实施清单，逐步将日常监管、“双随机、一公开”监管等纳入“互联网+监管”系统，整合归集多部门多行业监管数据。</w:t>
      </w:r>
      <w:r>
        <w:rPr>
          <w:rFonts w:hint="eastAsia" w:ascii="仿宋_GB2312" w:hAnsi="仿宋_GB2312" w:eastAsia="仿宋_GB2312" w:cs="仿宋_GB2312"/>
          <w:sz w:val="32"/>
          <w:szCs w:val="32"/>
          <w:lang w:val="en-GB"/>
        </w:rPr>
        <w:t>全县监管行为共录入</w:t>
      </w:r>
      <w:r>
        <w:rPr>
          <w:rFonts w:hint="eastAsia" w:ascii="仿宋_GB2312" w:hAnsi="仿宋_GB2312" w:eastAsia="仿宋_GB2312" w:cs="仿宋_GB2312"/>
          <w:sz w:val="32"/>
          <w:szCs w:val="32"/>
          <w:lang w:val="en-US" w:eastAsia="zh-CN"/>
        </w:rPr>
        <w:t>87600</w:t>
      </w:r>
      <w:r>
        <w:rPr>
          <w:rFonts w:hint="eastAsia" w:ascii="仿宋_GB2312" w:hAnsi="仿宋_GB2312" w:eastAsia="仿宋_GB2312" w:cs="仿宋_GB2312"/>
          <w:sz w:val="32"/>
          <w:szCs w:val="32"/>
          <w:lang w:val="en-GB"/>
        </w:rPr>
        <w:t>条，监管行为数据覆盖度</w:t>
      </w:r>
      <w:r>
        <w:rPr>
          <w:rFonts w:hint="eastAsia" w:ascii="仿宋_GB2312" w:hAnsi="仿宋_GB2312" w:eastAsia="仿宋_GB2312" w:cs="仿宋_GB2312"/>
          <w:sz w:val="32"/>
          <w:szCs w:val="32"/>
          <w:lang w:val="en-US" w:eastAsia="zh-CN"/>
        </w:rPr>
        <w:t>66.76</w:t>
      </w:r>
      <w:r>
        <w:rPr>
          <w:rFonts w:hint="eastAsia" w:ascii="仿宋_GB2312" w:hAnsi="仿宋_GB2312" w:eastAsia="仿宋_GB2312" w:cs="仿宋_GB2312"/>
          <w:sz w:val="32"/>
          <w:szCs w:val="32"/>
          <w:lang w:val="en-GB"/>
        </w:rPr>
        <w:t>%；认领目录清单1022条，编制检查实施清单10</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en-GB"/>
        </w:rPr>
        <w:t>条，监管责任人全部落实。审管联动关联事项18</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val="en-GB"/>
        </w:rPr>
        <w:t>个，审批办件数</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GB"/>
        </w:rPr>
        <w:t>件，反馈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GB"/>
        </w:rPr>
        <w:t>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（三）以及时回应群众需求为驱动，推进经营主体“新发展”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扎实推动工作落实。</w:t>
      </w:r>
      <w:r>
        <w:rPr>
          <w:rFonts w:hint="eastAsia" w:ascii="仿宋_GB2312" w:hAnsi="仿宋_GB2312" w:eastAsia="仿宋_GB2312" w:cs="仿宋_GB2312"/>
          <w:sz w:val="32"/>
          <w:szCs w:val="32"/>
        </w:rPr>
        <w:t>专班严格按照“一周一汇总、一月一通报、一季一研究、全年一考核及督导推动”制度稳步推进工作落实。通过政策宣贯、助企纾困、奖补兑现等方式充分激发市场主体创业创新，形成浓厚落实氛围。共召开8次调度会（推进会），印发15期工作动态、8期工作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共兑现16400.39万元，其中财税支持5378.3万元，科技创新支持854.97万元，其他政策10027.12万元，金融支持贷款214.74亿元。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切实提升企业开办便利度。</w:t>
      </w:r>
      <w:r>
        <w:rPr>
          <w:rFonts w:hint="eastAsia" w:ascii="仿宋_GB2312" w:hAnsi="仿宋_GB2312" w:eastAsia="仿宋_GB2312" w:cs="仿宋_GB2312"/>
          <w:sz w:val="32"/>
          <w:szCs w:val="32"/>
        </w:rPr>
        <w:t>进一步优化服务，升级企业开办服务专区功能，构建“一支队伍帮办、一个平台登录、一套材料申请、一个窗口受理、一次结果领取、一个系统评价”</w:t>
      </w:r>
      <w:r>
        <w:rPr>
          <w:rFonts w:hint="eastAsia" w:ascii="仿宋_GB2312" w:hAnsi="仿宋_GB2312" w:eastAsia="仿宋_GB2312" w:cs="仿宋_GB2312"/>
          <w:sz w:val="32"/>
          <w:szCs w:val="32"/>
          <w:lang w:eastAsia="zh-CN"/>
        </w:rPr>
        <w:t>“六合一”</w:t>
      </w:r>
      <w:r>
        <w:rPr>
          <w:rFonts w:hint="eastAsia" w:ascii="仿宋_GB2312" w:hAnsi="仿宋_GB2312" w:eastAsia="仿宋_GB2312" w:cs="仿宋_GB2312"/>
          <w:sz w:val="32"/>
          <w:szCs w:val="32"/>
        </w:rPr>
        <w:t>市场准入集成办理机制。将企业开办涉及的企业注册、公章刻制、银行开户、税务Ukey和发票申领、社保登记、公积金开户6个环节全部纳入“开办企业”流程，实行全程免费寄递服务，助力企业“轻装快跑”。共为</w:t>
      </w:r>
      <w:r>
        <w:rPr>
          <w:rFonts w:hint="eastAsia" w:ascii="仿宋_GB2312" w:hAnsi="仿宋_GB2312" w:eastAsia="仿宋_GB2312" w:cs="仿宋_GB2312"/>
          <w:sz w:val="32"/>
          <w:szCs w:val="32"/>
          <w:lang w:val="en-US" w:eastAsia="zh-CN"/>
        </w:rPr>
        <w:t>5643</w:t>
      </w:r>
      <w:r>
        <w:rPr>
          <w:rFonts w:hint="eastAsia" w:ascii="仿宋_GB2312" w:hAnsi="仿宋_GB2312" w:eastAsia="仿宋_GB2312" w:cs="仿宋_GB2312"/>
          <w:sz w:val="32"/>
          <w:szCs w:val="32"/>
        </w:rPr>
        <w:t>户企业（个体工商户）免费刻制公章，约减免费用</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推进食品经营许可改革。</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阳城县简单变更审批事项“免申即办”实施方案的通知》《关于进一步深化食品经营许可改革的通知》，除预包装食品（含保健食品）销售实行备案管理外，将特殊医学用途配方食品销售（特定全营养配方食品除外）、婴幼儿配方乳粉销售、其他婴幼儿配方食品销售纳入仅销售预包装食品备案管理，不再实行许可管理。将经营项目不含散装熟食制品销售的食品销售新办许可和经营项目为热食类食品制售的小型餐饮服务新办许可纳入告知承诺制审批范围。共办理免申即办</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件，办理仅销售预包装食品备案事项</w:t>
      </w:r>
      <w:r>
        <w:rPr>
          <w:rFonts w:hint="eastAsia" w:ascii="仿宋_GB2312" w:hAnsi="仿宋_GB2312" w:eastAsia="仿宋_GB2312" w:cs="仿宋_GB2312"/>
          <w:sz w:val="32"/>
          <w:szCs w:val="32"/>
          <w:lang w:val="en-US" w:eastAsia="zh-CN"/>
        </w:rPr>
        <w:t>662</w:t>
      </w:r>
      <w:r>
        <w:rPr>
          <w:rFonts w:hint="eastAsia" w:ascii="仿宋_GB2312" w:hAnsi="仿宋_GB2312" w:eastAsia="仿宋_GB2312" w:cs="仿宋_GB2312"/>
          <w:sz w:val="32"/>
          <w:szCs w:val="32"/>
        </w:rPr>
        <w:t>件，以告知承诺制审批形式办理食品经营许可事项</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件。</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多种方式助力经营主体健康发展。</w:t>
      </w:r>
      <w:r>
        <w:rPr>
          <w:rFonts w:hint="eastAsia" w:ascii="仿宋_GB2312" w:hAnsi="仿宋_GB2312" w:eastAsia="仿宋_GB2312" w:cs="仿宋_GB2312"/>
          <w:sz w:val="32"/>
          <w:szCs w:val="32"/>
        </w:rPr>
        <w:t>在乡镇便民服务中心设立“一城通办”登记专窗，实现“多点可办、就近能办、少跑快办”。委托授权乡镇便民服务中心完成市场</w:t>
      </w:r>
      <w:r>
        <w:rPr>
          <w:rFonts w:hint="eastAsia" w:ascii="仿宋_GB2312" w:hAnsi="仿宋_GB2312" w:eastAsia="仿宋_GB2312" w:cs="仿宋_GB2312"/>
          <w:kern w:val="2"/>
          <w:sz w:val="32"/>
          <w:szCs w:val="32"/>
          <w:lang w:val="en-US" w:eastAsia="zh-CN" w:bidi="ar-SA"/>
        </w:rPr>
        <w:t>主体登记8553户。积极推行市场主体歇业制，指导帮助5户市场主体办理了歇业手续。深化企业简易注销改革，办理简易注销629件，适用代位注销模式办理6户。依托省个体工商户“智能</w:t>
      </w:r>
      <w:r>
        <w:rPr>
          <w:rFonts w:hint="eastAsia" w:ascii="仿宋_GB2312" w:hAnsi="仿宋_GB2312" w:eastAsia="仿宋_GB2312" w:cs="仿宋_GB2312"/>
          <w:sz w:val="32"/>
          <w:szCs w:val="32"/>
        </w:rPr>
        <w:t>审批”系统，对小吃店、便利店、水果店、服装店、美容店、建材店、道路运输服务队、养殖场、信息咨询服务部9类高频个体户事项实行智能审批，实现“零见面、零跑腿、零干预”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办理107户。升级“证照管家”服务团队服务功能，将乡镇做好年报、税务事项申报等统一代办服务范围拓宽至所辖区域全部市场主体。每月筛选将要到期的证照数据，推送到乡镇便民中心“证照管家”团队，提醒证照持有者及时办理延期手续。通过阳城政务服务网、阳城融媒体公众号、阳城政务中心公众号发布了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期公告。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（四）以转作风强素质树形象为导向，促进作风能力提升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聚焦“优服务树形象”专项行动，在“查”上动真章。</w:t>
      </w:r>
      <w:r>
        <w:rPr>
          <w:rFonts w:hint="eastAsia" w:ascii="仿宋_GB2312" w:hAnsi="仿宋_GB2312" w:eastAsia="仿宋_GB2312" w:cs="仿宋_GB2312"/>
          <w:sz w:val="32"/>
          <w:szCs w:val="32"/>
        </w:rPr>
        <w:t>组织全局干部职工以提高企业和群众办事获得感和满意度为目标，全面查找大厅环境、服务质量等方面存在的短板弱项，深入剖析原因，立行立改，共查摆</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问题18</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努力为企业和群众提供多元化、个性化、贴心暖心的高质量服务。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聚焦“优流程提效能”专项行动，在“做”上求真效。</w:t>
      </w:r>
      <w:r>
        <w:rPr>
          <w:rFonts w:hint="eastAsia" w:ascii="仿宋_GB2312" w:hAnsi="仿宋_GB2312" w:eastAsia="仿宋_GB2312" w:cs="仿宋_GB2312"/>
          <w:sz w:val="32"/>
          <w:szCs w:val="32"/>
        </w:rPr>
        <w:t>紧盯行政审批关键性、全局性工作任务，深入查摆问题，通过自查梳理存在问题和具体表现，细化整改措施及建议，明确整改时限，压紧压实工作责任，持续优化营商环境，积极为</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和群众提供高效、便捷的政务服务环境。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聚焦“优素质提能力”专项行动，在“学”上下真功。</w:t>
      </w:r>
      <w:r>
        <w:rPr>
          <w:rFonts w:hint="eastAsia" w:ascii="仿宋_GB2312" w:hAnsi="仿宋_GB2312" w:eastAsia="仿宋_GB2312" w:cs="仿宋_GB2312"/>
          <w:sz w:val="32"/>
          <w:szCs w:val="32"/>
        </w:rPr>
        <w:t>通过岗位历练、交流互鉴、外出学习、建言献策等多种方式，提升工作能力和水平，努力成为行政审批工作的行家能手，全力推动业务学习由“要我学”到“主动学”转变；干事创业由“应该干”到“主动干”转变；政治规矩由“知规矩”到“守规矩”转变，切实推进干部作风能力有效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工作中存在短板和差距：</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集成改革的合力未完全形成。</w:t>
      </w:r>
      <w:r>
        <w:rPr>
          <w:rFonts w:hint="eastAsia" w:ascii="仿宋_GB2312" w:hAnsi="仿宋_GB2312" w:eastAsia="仿宋_GB2312" w:cs="仿宋_GB2312"/>
          <w:sz w:val="32"/>
          <w:szCs w:val="32"/>
        </w:rPr>
        <w:t>在深化“放管服”改革、创优“三无”“三可”营商环境，横向上各部门之间协调联动不足，还未形成以“办成事”为目标，协同作战、共同促进营商环境提质增效的合力，以评促进、以考促优的积极效应尚未充分释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市场主体量质齐升有差距。</w:t>
      </w:r>
      <w:r>
        <w:rPr>
          <w:rFonts w:hint="eastAsia" w:ascii="仿宋_GB2312" w:hAnsi="仿宋_GB2312" w:eastAsia="仿宋_GB2312" w:cs="仿宋_GB2312"/>
          <w:sz w:val="32"/>
          <w:szCs w:val="32"/>
        </w:rPr>
        <w:t>从数量完成情况看，净增总量超过序时进度，但缺乏科技含量高、市场潜力大、综合效益好的新型企业，市场主体结构不优、提质缓慢，行业发展不</w:t>
      </w:r>
      <w:r>
        <w:rPr>
          <w:rFonts w:hint="eastAsia" w:ascii="仿宋_GB2312" w:hAnsi="仿宋_GB2312" w:eastAsia="仿宋_GB2312" w:cs="仿宋_GB2312"/>
          <w:sz w:val="32"/>
          <w:szCs w:val="32"/>
          <w:lang w:val="en-US" w:eastAsia="zh-CN"/>
        </w:rPr>
        <w:t>均匀</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乡镇便民标准化建设相对滞后。</w:t>
      </w:r>
      <w:r>
        <w:rPr>
          <w:rFonts w:hint="eastAsia" w:ascii="仿宋_GB2312" w:hAnsi="仿宋_GB2312" w:eastAsia="仿宋_GB2312" w:cs="仿宋_GB2312"/>
          <w:sz w:val="32"/>
          <w:szCs w:val="32"/>
        </w:rPr>
        <w:t>乡镇便民中心场所不够规范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人员能力参差不齐，执行首问负责制、一次性告知制等方面不到位，群众体验感和便捷度不强。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、2024年工作计划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是中华人民共和国成立75周年，也是加快阳城推动阳城高质量发展的关键之年。认真贯彻落实中央、省、市、县关于营商环境、政务服务、审批改革的要求，聚焦县委县政府决策部署，紧盯项目建设和群众生产生活，2024年行政审批服务管理工作重点要抓好以下五方面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一是持续推动营商环境建设。</w:t>
      </w:r>
      <w:r>
        <w:rPr>
          <w:rFonts w:hint="eastAsia" w:ascii="仿宋_GB2312" w:hAnsi="仿宋_GB2312" w:eastAsia="仿宋_GB2312" w:cs="仿宋_GB2312"/>
          <w:sz w:val="32"/>
          <w:szCs w:val="32"/>
          <w:lang w:val="en-US" w:eastAsia="zh-CN"/>
        </w:rPr>
        <w:t>围绕法治、政务、信用、人文、要素保障五大环境建设，分别制定创新提升实施方案，确保体制更完备、职责更清晰、举措更务实；继续实行各项考核指标日常调度机制，推动优势指标巩固、落后指标提升；持续深入整治新官不理旧账、政策不兑现问题，强化政府部门履约践诺，增强民企发展信心，不断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二是持续规范行政许可清单。</w:t>
      </w:r>
      <w:r>
        <w:rPr>
          <w:rFonts w:hint="eastAsia" w:ascii="仿宋_GB2312" w:hAnsi="仿宋_GB2312" w:eastAsia="仿宋_GB2312" w:cs="仿宋_GB2312"/>
          <w:sz w:val="32"/>
          <w:szCs w:val="32"/>
          <w:lang w:eastAsia="zh-CN"/>
        </w:rPr>
        <w:t>规范行政许可运行，</w:t>
      </w:r>
      <w:r>
        <w:rPr>
          <w:rFonts w:hint="eastAsia" w:ascii="仿宋_GB2312" w:hAnsi="仿宋_GB2312" w:eastAsia="仿宋_GB2312" w:cs="仿宋_GB2312"/>
          <w:sz w:val="32"/>
          <w:szCs w:val="32"/>
        </w:rPr>
        <w:t>动态调整行政许可事项清单，</w:t>
      </w:r>
      <w:r>
        <w:rPr>
          <w:rFonts w:hint="eastAsia" w:ascii="仿宋_GB2312" w:hAnsi="仿宋_GB2312" w:eastAsia="仿宋_GB2312" w:cs="仿宋_GB2312"/>
          <w:sz w:val="32"/>
          <w:szCs w:val="32"/>
          <w:lang w:eastAsia="zh-CN"/>
        </w:rPr>
        <w:t>逐项明确许可条件、审批程序、审批时限等内容，并规范化发布；做好许可清单、权责清单以及政务服务事项清单的衔接工作；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、省、市事项下放和取消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做好事项调整和承接工作，</w:t>
      </w:r>
      <w:r>
        <w:rPr>
          <w:rFonts w:hint="eastAsia" w:ascii="仿宋_GB2312" w:hAnsi="仿宋_GB2312" w:eastAsia="仿宋_GB2312" w:cs="仿宋_GB2312"/>
          <w:sz w:val="32"/>
          <w:szCs w:val="32"/>
        </w:rPr>
        <w:t>加大对开发区、乡镇</w:t>
      </w:r>
      <w:r>
        <w:rPr>
          <w:rFonts w:hint="eastAsia" w:ascii="仿宋_GB2312" w:hAnsi="仿宋_GB2312" w:eastAsia="仿宋_GB2312" w:cs="仿宋_GB2312"/>
          <w:sz w:val="32"/>
          <w:szCs w:val="32"/>
          <w:lang w:eastAsia="zh-CN"/>
        </w:rPr>
        <w:t>赋权</w:t>
      </w:r>
      <w:r>
        <w:rPr>
          <w:rFonts w:hint="eastAsia" w:ascii="仿宋_GB2312" w:hAnsi="仿宋_GB2312" w:eastAsia="仿宋_GB2312" w:cs="仿宋_GB2312"/>
          <w:sz w:val="32"/>
          <w:szCs w:val="32"/>
        </w:rPr>
        <w:t>事项的</w:t>
      </w:r>
      <w:r>
        <w:rPr>
          <w:rFonts w:hint="eastAsia" w:ascii="仿宋_GB2312" w:hAnsi="仿宋_GB2312" w:eastAsia="仿宋_GB2312" w:cs="仿宋_GB2312"/>
          <w:sz w:val="32"/>
          <w:szCs w:val="32"/>
          <w:lang w:eastAsia="zh-CN"/>
        </w:rPr>
        <w:t>跟踪监督</w:t>
      </w:r>
      <w:r>
        <w:rPr>
          <w:rFonts w:hint="eastAsia" w:ascii="仿宋_GB2312" w:hAnsi="仿宋_GB2312" w:eastAsia="仿宋_GB2312" w:cs="仿宋_GB2312"/>
          <w:sz w:val="32"/>
          <w:szCs w:val="32"/>
        </w:rPr>
        <w:t>，做好平台事项配置、下放授权、业务培训等工作</w:t>
      </w:r>
      <w:r>
        <w:rPr>
          <w:rFonts w:hint="eastAsia" w:ascii="仿宋_GB2312" w:hAnsi="仿宋_GB2312" w:eastAsia="仿宋_GB2312" w:cs="仿宋_GB2312"/>
          <w:sz w:val="32"/>
          <w:szCs w:val="32"/>
          <w:lang w:eastAsia="zh-CN"/>
        </w:rPr>
        <w:t>，做到依法行政、规范管理。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三是持续完善市场进出机制。</w:t>
      </w:r>
      <w:r>
        <w:rPr>
          <w:rFonts w:hint="eastAsia" w:ascii="仿宋_GB2312" w:hAnsi="仿宋_GB2312" w:eastAsia="仿宋_GB2312" w:cs="仿宋_GB2312"/>
          <w:sz w:val="32"/>
          <w:szCs w:val="32"/>
          <w:lang w:eastAsia="zh-CN"/>
        </w:rPr>
        <w:t>完善企业开办一体化办理机制，强化“一网通办”平台推广应用，推动企业登记实现无差别受理；深化拓展“一件事一次办”“一业一证”改革，推动标准化办理；做好药品经营许可承接工作，推动医疗器械许可实现跨层级联办，推进药品行业证照联办；完善注销登记制度，推行强制退出、撤销登记、企业休眠制度，拓宽市场主体退出渠道，为市场主体培育壮大营造良好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四是持续提升项目审批效能。</w:t>
      </w:r>
      <w:r>
        <w:rPr>
          <w:rFonts w:hint="eastAsia" w:ascii="仿宋_GB2312" w:hAnsi="仿宋_GB2312" w:eastAsia="仿宋_GB2312" w:cs="仿宋_GB2312"/>
          <w:sz w:val="32"/>
          <w:szCs w:val="32"/>
          <w:lang w:eastAsia="zh-CN"/>
        </w:rPr>
        <w:t>对我县冬季行动清单中</w:t>
      </w:r>
      <w:r>
        <w:rPr>
          <w:rFonts w:hint="eastAsia" w:ascii="仿宋_GB2312" w:hAnsi="仿宋_GB2312" w:eastAsia="仿宋_GB2312" w:cs="仿宋_GB2312"/>
          <w:sz w:val="32"/>
          <w:szCs w:val="32"/>
          <w:lang w:val="en-US" w:eastAsia="zh-CN"/>
        </w:rPr>
        <w:t>113个新建重点项目，建立审批台账，梳理问题清单，开辟绿色通道，建立特事特办、帮办代办、会商联办服务机制；进一步优化投资建设项目审批流程，延伸拓展企业投资项目“告知承诺”改革；加快工程建设项目审批管理系统规范化、标准化、智慧化建设，强化并联审批改革，不断提高审批效能，助推项目建设投产达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五是持续提升政务服务水平。</w:t>
      </w:r>
      <w:r>
        <w:rPr>
          <w:rFonts w:hint="eastAsia" w:ascii="仿宋_GB2312" w:hAnsi="仿宋_GB2312" w:eastAsia="仿宋_GB2312" w:cs="仿宋_GB2312"/>
          <w:sz w:val="32"/>
          <w:szCs w:val="32"/>
          <w:lang w:val="en-US" w:eastAsia="zh-CN"/>
        </w:rPr>
        <w:t>持续优化政务大厅自助服务区功能与布局，根据群众需求，增设自助服务设备，增强群众对智慧政务的获得感；加强县、乡、村三级政务服务体系建设，</w:t>
      </w:r>
      <w:r>
        <w:rPr>
          <w:rFonts w:hint="eastAsia" w:ascii="仿宋_GB2312" w:hAnsi="仿宋_GB2312" w:eastAsia="仿宋_GB2312" w:cs="仿宋_GB2312"/>
          <w:sz w:val="32"/>
          <w:szCs w:val="32"/>
        </w:rPr>
        <w:t>按照政务服务标准化建设要求，统一乡镇场所标识名称，完善服务群众设施，规范便民事项进驻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自助服务设备进乡镇、进社区，提升基层“就近办”能力</w:t>
      </w:r>
      <w:r>
        <w:rPr>
          <w:rFonts w:hint="eastAsia" w:ascii="仿宋_GB2312" w:hAnsi="仿宋_GB2312" w:eastAsia="仿宋_GB2312" w:cs="仿宋_GB2312"/>
          <w:sz w:val="32"/>
          <w:szCs w:val="32"/>
          <w:lang w:eastAsia="zh-CN"/>
        </w:rPr>
        <w:t>；加强政务热线闭环管理，实行常态化通报反馈制度，强化工作人员能力提升，提高热线办件质量，增强群众体验感、获得感。</w:t>
      </w:r>
    </w:p>
    <w:p/>
    <w:sectPr>
      <w:footerReference r:id="rId3" w:type="default"/>
      <w:pgSz w:w="11906" w:h="16838"/>
      <w:pgMar w:top="2098" w:right="1587"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魏碑">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jk2ZmVmOGIzOTA2NDkyNGJmZmE1YjJkNWNlNjQifQ=="/>
  </w:docVars>
  <w:rsids>
    <w:rsidRoot w:val="35131A2B"/>
    <w:rsid w:val="011169A8"/>
    <w:rsid w:val="1F8F69FA"/>
    <w:rsid w:val="35131A2B"/>
    <w:rsid w:val="66EC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spacing w:before="1"/>
    </w:pPr>
    <w:rPr>
      <w:rFonts w:ascii="宋体" w:hAnsi="宋体" w:eastAsia="宋体" w:cs="宋体"/>
      <w:sz w:val="36"/>
      <w:szCs w:val="36"/>
      <w:lang w:val="zh-CN" w:eastAsia="zh-CN" w:bidi="zh-CN"/>
    </w:rPr>
  </w:style>
  <w:style w:type="paragraph" w:styleId="3">
    <w:name w:val="Body Text Indent"/>
    <w:basedOn w:val="1"/>
    <w:next w:val="2"/>
    <w:autoRedefine/>
    <w:qFormat/>
    <w:uiPriority w:val="99"/>
    <w:pPr>
      <w:ind w:left="420" w:leftChars="200"/>
    </w:pPr>
  </w:style>
  <w:style w:type="paragraph" w:styleId="4">
    <w:name w:val="Block Text"/>
    <w:basedOn w:val="1"/>
    <w:next w:val="1"/>
    <w:autoRedefine/>
    <w:qFormat/>
    <w:uiPriority w:val="0"/>
    <w:pPr>
      <w:spacing w:line="700" w:lineRule="exact"/>
      <w:ind w:left="-640" w:leftChars="-200" w:right="-330" w:rightChars="-103"/>
      <w:jc w:val="center"/>
    </w:pPr>
    <w:rPr>
      <w:rFonts w:ascii="金山简魏碑"/>
      <w:b/>
      <w:spacing w:val="-8"/>
      <w:sz w:val="54"/>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4"/>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6339</Words>
  <Characters>6684</Characters>
  <Lines>0</Lines>
  <Paragraphs>0</Paragraphs>
  <TotalTime>5</TotalTime>
  <ScaleCrop>false</ScaleCrop>
  <LinksUpToDate>false</LinksUpToDate>
  <CharactersWithSpaces>6684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2024-04-11T01:56:00Z</dcterms:created>
  <dc:creator>Amor゜</dc:creator>
  <cp:lastModifiedBy>Lenovo</cp:lastModifiedBy>
  <cp:lastPrinted>2024-04-11T01:59:00Z</cp:lastPrinted>
  <dcterms:modified xsi:type="dcterms:W3CDTF">2024-07-03T03:05:34Z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7BC8EA8049784AF79EC15C8AC5A179CB_13</vt:lpwstr>
  </property>
</Properties>
</file>