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23C7B">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阳城县行政审批服务管理局</w:t>
      </w:r>
    </w:p>
    <w:p w14:paraId="13421DD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年工作总结</w:t>
      </w:r>
      <w:r>
        <w:rPr>
          <w:rFonts w:hint="eastAsia" w:ascii="方正小标宋简体" w:hAnsi="方正小标宋简体" w:eastAsia="方正小标宋简体" w:cs="方正小标宋简体"/>
          <w:color w:val="auto"/>
          <w:sz w:val="44"/>
          <w:szCs w:val="44"/>
          <w:lang w:eastAsia="zh-CN"/>
        </w:rPr>
        <w:t>和</w:t>
      </w:r>
      <w:r>
        <w:rPr>
          <w:rFonts w:hint="eastAsia" w:ascii="方正小标宋简体" w:hAnsi="方正小标宋简体" w:eastAsia="方正小标宋简体" w:cs="方正小标宋简体"/>
          <w:color w:val="auto"/>
          <w:sz w:val="44"/>
          <w:szCs w:val="44"/>
          <w:lang w:val="en-US" w:eastAsia="zh-CN"/>
        </w:rPr>
        <w:t>2025</w:t>
      </w:r>
      <w:r>
        <w:rPr>
          <w:rFonts w:hint="eastAsia" w:ascii="方正小标宋简体" w:hAnsi="方正小标宋简体" w:eastAsia="方正小标宋简体" w:cs="方正小标宋简体"/>
          <w:color w:val="auto"/>
          <w:sz w:val="44"/>
          <w:szCs w:val="44"/>
        </w:rPr>
        <w:t>年工作计划</w:t>
      </w:r>
    </w:p>
    <w:bookmarkEnd w:id="0"/>
    <w:p w14:paraId="189D51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14:paraId="32BE9E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年，在县委、县政府的坚强领导下，</w:t>
      </w:r>
      <w:r>
        <w:rPr>
          <w:rFonts w:hint="eastAsia" w:ascii="仿宋_GB2312" w:hAnsi="仿宋_GB2312" w:eastAsia="仿宋_GB2312" w:cs="仿宋_GB2312"/>
          <w:color w:val="auto"/>
          <w:sz w:val="32"/>
          <w:szCs w:val="32"/>
          <w:lang w:eastAsia="zh-CN"/>
        </w:rPr>
        <w:t>阳城县行政审批服务管理局认真学习贯彻党的二十大精神和习近平总书记重要指示批示精神，牢牢聚焦县委</w:t>
      </w:r>
      <w:r>
        <w:rPr>
          <w:rFonts w:hint="eastAsia" w:ascii="仿宋_GB2312" w:hAnsi="仿宋_GB2312" w:eastAsia="仿宋_GB2312" w:cs="仿宋_GB2312"/>
          <w:color w:val="auto"/>
          <w:sz w:val="32"/>
          <w:szCs w:val="32"/>
          <w:lang w:val="en-US" w:eastAsia="zh-CN"/>
        </w:rPr>
        <w:t>“一个统筹两手抓”总体思路和要求，</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“我不避事踔厉奋发，事不避难勇毅前行；</w:t>
      </w:r>
      <w:r>
        <w:rPr>
          <w:rFonts w:hint="eastAsia" w:ascii="仿宋_GB2312" w:hAnsi="仿宋_GB2312" w:eastAsia="仿宋_GB2312" w:cs="仿宋_GB2312"/>
          <w:color w:val="auto"/>
          <w:sz w:val="32"/>
          <w:szCs w:val="32"/>
          <w:lang w:eastAsia="zh-CN"/>
        </w:rPr>
        <w:t>马上就办百问不烦，办就办好令人满意”的精神状态，着力推动经营主体提升，全力优化营商环境，全体干部职工团结一心、主动担当作为，坚定实干步伐，各项工作有序推进，全力打造“办事不</w:t>
      </w:r>
      <w:r>
        <w:rPr>
          <w:rFonts w:hint="eastAsia" w:ascii="仿宋_GB2312" w:hAnsi="仿宋_GB2312" w:eastAsia="仿宋_GB2312" w:cs="仿宋_GB2312"/>
          <w:color w:val="auto"/>
          <w:sz w:val="32"/>
          <w:szCs w:val="32"/>
        </w:rPr>
        <w:t>求人、审批不见面、就近跑一次”政务</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环境</w:t>
      </w:r>
      <w:r>
        <w:rPr>
          <w:rFonts w:hint="eastAsia" w:ascii="仿宋_GB2312" w:hAnsi="仿宋_GB2312" w:eastAsia="仿宋_GB2312" w:cs="仿宋_GB2312"/>
          <w:color w:val="auto"/>
          <w:sz w:val="32"/>
          <w:szCs w:val="32"/>
          <w:lang w:eastAsia="zh-CN"/>
        </w:rPr>
        <w:t>，全力保障全县经济社会高质量发展。</w:t>
      </w:r>
    </w:p>
    <w:p w14:paraId="6A4382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截止2024年11月20日，我局共办理各类审批事项25076件，其中：投资项目立项与规划建设等事项1364件，市场主体登记16067件（其中：企业登记6614件，个体登记9453件）,社会事务及准营类事项1267件，其他事项6378件。</w:t>
      </w:r>
    </w:p>
    <w:p w14:paraId="65B800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2024</w:t>
      </w:r>
      <w:r>
        <w:rPr>
          <w:rFonts w:hint="eastAsia" w:ascii="黑体" w:hAnsi="黑体" w:eastAsia="黑体" w:cs="黑体"/>
          <w:color w:val="auto"/>
          <w:sz w:val="32"/>
          <w:szCs w:val="32"/>
        </w:rPr>
        <w:t>年工作</w:t>
      </w:r>
      <w:r>
        <w:rPr>
          <w:rFonts w:hint="eastAsia" w:ascii="黑体" w:hAnsi="黑体" w:eastAsia="黑体" w:cs="黑体"/>
          <w:color w:val="auto"/>
          <w:sz w:val="32"/>
          <w:szCs w:val="32"/>
          <w:lang w:eastAsia="zh-CN"/>
        </w:rPr>
        <w:t>开展情况</w:t>
      </w:r>
    </w:p>
    <w:p w14:paraId="55CB6DC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（一）强党建、提素质，着力营造风清气正、务实高效的机关工作环境</w:t>
      </w:r>
    </w:p>
    <w:p w14:paraId="45698C0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加强理论武装，夯实思想基础。</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坚持以党建工作为引领，不断强化理论武装、提升党性修养。系统学习了《中国共产党章程》《习近平关于调查研究论述摘编》等内容。截止目前，共开展理论中心组学习44次，党员周学习42次。</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印发</w:t>
      </w:r>
      <w:r>
        <w:rPr>
          <w:rFonts w:hint="eastAsia" w:ascii="仿宋_GB2312" w:hAnsi="仿宋_GB2312" w:eastAsia="仿宋_GB2312" w:cs="仿宋_GB2312"/>
          <w:color w:val="auto"/>
          <w:sz w:val="32"/>
          <w:szCs w:val="32"/>
          <w:lang w:val="en-US" w:eastAsia="zh-CN"/>
        </w:rPr>
        <w:t>《2024年党建暨党风廉政建设工作要点》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2024年全面从严治党责任清单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党建及</w:t>
      </w:r>
      <w:r>
        <w:rPr>
          <w:rFonts w:hint="eastAsia" w:ascii="仿宋_GB2312" w:hAnsi="仿宋_GB2312" w:eastAsia="仿宋_GB2312" w:cs="仿宋_GB2312"/>
          <w:color w:val="auto"/>
          <w:sz w:val="32"/>
          <w:szCs w:val="32"/>
        </w:rPr>
        <w:t>党风廉政建设工作进行安排部署,</w:t>
      </w:r>
      <w:r>
        <w:rPr>
          <w:rFonts w:hint="eastAsia" w:ascii="仿宋_GB2312" w:hAnsi="仿宋_GB2312" w:eastAsia="仿宋_GB2312" w:cs="仿宋_GB2312"/>
          <w:color w:val="auto"/>
          <w:sz w:val="32"/>
          <w:szCs w:val="32"/>
          <w:lang w:val="en-US" w:eastAsia="zh-CN"/>
        </w:rPr>
        <w:t>签订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2024年度党组织目标责任书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和《2024年度</w:t>
      </w:r>
      <w:r>
        <w:rPr>
          <w:rFonts w:hint="eastAsia" w:ascii="仿宋_GB2312" w:hAnsi="仿宋_GB2312" w:eastAsia="仿宋_GB2312" w:cs="仿宋_GB2312"/>
          <w:color w:val="auto"/>
          <w:sz w:val="32"/>
          <w:szCs w:val="32"/>
        </w:rPr>
        <w:t>党风廉政建设责任书</w:t>
      </w:r>
      <w:r>
        <w:rPr>
          <w:rFonts w:hint="eastAsia" w:ascii="仿宋_GB2312" w:hAnsi="仿宋_GB2312" w:eastAsia="仿宋_GB2312" w:cs="仿宋_GB2312"/>
          <w:color w:val="auto"/>
          <w:sz w:val="32"/>
          <w:szCs w:val="32"/>
          <w:lang w:val="en-US" w:eastAsia="zh-CN"/>
        </w:rPr>
        <w:t>》，推动党建及党风廉政建设主体责任全面覆盖、“一岗双责”有效落实。</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全面落实意识形态工作责任制，印发《2024年意识形态工作要点》，定期研究意识形态工作，坚持正面宣传，营造良好舆论氛围。截止目前，共报送意识形态季报表3次。</w:t>
      </w:r>
    </w:p>
    <w:p w14:paraId="7AA8A45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坚持全面从严，建设廉洁机关。</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印发《关于廉政警示教育月活动的实施方案》《全面推动清廉阳城建设2024年工作要点》，进一步筑牢反腐倡廉的思想防线。</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紧盯年节假期，召开中心组扩大会议，学习市县纪委相关规定精神，同时进行经常廉政谈话，驰而不息正风肃纪，推动建设清廉机关走深走实。截止目前，</w:t>
      </w:r>
      <w:r>
        <w:rPr>
          <w:rFonts w:hint="eastAsia" w:ascii="仿宋_GB2312" w:hAnsi="仿宋_GB2312" w:eastAsia="仿宋_GB2312" w:cs="仿宋_GB2312"/>
          <w:color w:val="auto"/>
          <w:sz w:val="32"/>
          <w:szCs w:val="32"/>
        </w:rPr>
        <w:t>共组织集</w:t>
      </w:r>
      <w:r>
        <w:rPr>
          <w:rFonts w:hint="eastAsia" w:ascii="仿宋_GB2312" w:hAnsi="仿宋_GB2312" w:eastAsia="仿宋_GB2312" w:cs="仿宋_GB2312"/>
          <w:color w:val="auto"/>
          <w:sz w:val="32"/>
          <w:szCs w:val="32"/>
          <w:lang w:eastAsia="zh-CN"/>
        </w:rPr>
        <w:t>体廉政谈话</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val="en-US" w:eastAsia="zh-CN"/>
        </w:rPr>
        <w:t>，开展民主生活会1次，组织生活会1次，党组织书记上党课3次，集中观看警示教育片2次。</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组织党员干部职工前往阳城县第一农村党支部等地开展主题党日活动，进一步继承和发扬艰苦奋斗的革命精神，坚定理想信念、忠诚履职尽责、勇于担当作为。</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扎实开展党纪学习教育。结合工作实际，合理制定学习计划，通过集中学习、研讨交流、自查问题、观看警示教育片、通报案例等多种形式，进一步使党纪学习教育入心入脑。截止目前，专题研讨15次，党支部排查问题3个，个人排查问题139个，排查违纪风险点94个，防控措施94个。</w:t>
      </w:r>
    </w:p>
    <w:p w14:paraId="5A2BD7B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（二）强担当、重实干，助力审批改革各项举措落地生效</w:t>
      </w:r>
    </w:p>
    <w:p w14:paraId="199B096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进一步深化企业投资项目承诺制改革。</w:t>
      </w:r>
      <w:r>
        <w:rPr>
          <w:rFonts w:hint="eastAsia" w:ascii="仿宋_GB2312" w:hAnsi="仿宋_GB2312" w:eastAsia="仿宋_GB2312" w:cs="仿宋_GB2312"/>
          <w:color w:val="auto"/>
          <w:sz w:val="32"/>
          <w:szCs w:val="32"/>
        </w:rPr>
        <w:t>对于企业投资项目，在水土保持方案评、取水许可、洪水影响评价等9类单体事项、企业投资核准项目和承诺制“一本制”上实行承诺办理。截止</w:t>
      </w:r>
      <w:r>
        <w:rPr>
          <w:rFonts w:hint="eastAsia" w:ascii="仿宋_GB2312" w:hAnsi="仿宋_GB2312" w:eastAsia="仿宋_GB2312" w:cs="仿宋_GB2312"/>
          <w:color w:val="auto"/>
          <w:sz w:val="32"/>
          <w:szCs w:val="32"/>
          <w:lang w:val="en-US" w:eastAsia="zh-CN"/>
        </w:rPr>
        <w:t>目前</w:t>
      </w:r>
      <w:r>
        <w:rPr>
          <w:rFonts w:hint="eastAsia" w:ascii="仿宋_GB2312" w:hAnsi="仿宋_GB2312" w:eastAsia="仿宋_GB2312" w:cs="仿宋_GB2312"/>
          <w:color w:val="auto"/>
          <w:sz w:val="32"/>
          <w:szCs w:val="32"/>
        </w:rPr>
        <w:t>，共</w:t>
      </w:r>
      <w:r>
        <w:rPr>
          <w:rFonts w:hint="eastAsia" w:ascii="仿宋_GB2312" w:hAnsi="仿宋_GB2312" w:eastAsia="仿宋_GB2312" w:cs="仿宋_GB2312"/>
          <w:color w:val="auto"/>
          <w:sz w:val="32"/>
          <w:szCs w:val="32"/>
          <w:lang w:val="en-US" w:eastAsia="zh-CN"/>
        </w:rPr>
        <w:t>为80</w:t>
      </w:r>
      <w:r>
        <w:rPr>
          <w:rFonts w:hint="eastAsia" w:ascii="仿宋_GB2312" w:hAnsi="仿宋_GB2312" w:eastAsia="仿宋_GB2312" w:cs="仿宋_GB2312"/>
          <w:color w:val="auto"/>
          <w:sz w:val="32"/>
          <w:szCs w:val="32"/>
        </w:rPr>
        <w:t>个项目</w:t>
      </w:r>
      <w:r>
        <w:rPr>
          <w:rFonts w:hint="eastAsia" w:ascii="仿宋_GB2312" w:hAnsi="仿宋_GB2312" w:eastAsia="仿宋_GB2312" w:cs="仿宋_GB2312"/>
          <w:color w:val="auto"/>
          <w:sz w:val="32"/>
          <w:szCs w:val="32"/>
          <w:lang w:val="en-US" w:eastAsia="zh-CN"/>
        </w:rPr>
        <w:t>91</w:t>
      </w:r>
      <w:r>
        <w:rPr>
          <w:rFonts w:hint="eastAsia" w:ascii="仿宋_GB2312" w:hAnsi="仿宋_GB2312" w:eastAsia="仿宋_GB2312" w:cs="仿宋_GB2312"/>
          <w:color w:val="auto"/>
          <w:sz w:val="32"/>
          <w:szCs w:val="32"/>
        </w:rPr>
        <w:t>个事项实行承诺制，其中：水土保持方案报告表</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项、取水许可25项、施工许可</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项、动物防疫条件合格证2项、人防工程设计条件审查</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项、“一本制”项目事项2项、企业投资项目核准</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项。</w:t>
      </w:r>
    </w:p>
    <w:p w14:paraId="23ECB26D">
      <w:pPr>
        <w:keepNext w:val="0"/>
        <w:keepLines w:val="0"/>
        <w:pageBreakBefore w:val="0"/>
        <w:widowControl w:val="0"/>
        <w:kinsoku/>
        <w:wordWrap/>
        <w:overflowPunct/>
        <w:topLinePunct w:val="0"/>
        <w:autoSpaceDE/>
        <w:autoSpaceDN/>
        <w:bidi w:val="0"/>
        <w:spacing w:after="0" w:line="560" w:lineRule="exact"/>
        <w:ind w:firstLine="643" w:firstLineChars="200"/>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b/>
          <w:bCs/>
          <w:color w:val="auto"/>
          <w:sz w:val="32"/>
          <w:szCs w:val="32"/>
          <w:lang w:val="en-US" w:eastAsia="zh-CN"/>
        </w:rPr>
        <w:t>持续提升政务服务能力。一是</w:t>
      </w:r>
      <w:r>
        <w:rPr>
          <w:rFonts w:hint="eastAsia" w:ascii="仿宋_GB2312" w:hAnsi="仿宋_GB2312" w:eastAsia="仿宋_GB2312" w:cs="仿宋_GB2312"/>
          <w:color w:val="auto"/>
          <w:sz w:val="32"/>
          <w:szCs w:val="32"/>
          <w:lang w:val="en-US" w:eastAsia="zh-CN"/>
        </w:rPr>
        <w:t>持续深化“一网通办”改革。对一体化政务服务平台县直部门发布事项办事指南要素持续优化更新，统一事项标准。截止目前，政务服务网已标准化发布依申请六类办事指南1255</w:t>
      </w:r>
      <w:r>
        <w:rPr>
          <w:rFonts w:hint="eastAsia" w:ascii="仿宋_GB2312" w:hAnsi="仿宋_GB2312" w:eastAsia="仿宋_GB2312" w:cs="仿宋_GB2312"/>
          <w:color w:val="auto"/>
          <w:kern w:val="2"/>
          <w:sz w:val="32"/>
          <w:szCs w:val="32"/>
          <w:lang w:val="en-US" w:eastAsia="zh-CN" w:bidi="ar-SA"/>
        </w:rPr>
        <w:t>项，可网办率100%，即办事项占比61.5%。</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kern w:val="2"/>
          <w:sz w:val="32"/>
          <w:szCs w:val="32"/>
          <w:lang w:val="en-US" w:eastAsia="zh-CN" w:bidi="ar-SA"/>
        </w:rPr>
        <w:t>深入开展智慧政务体系建设。</w:t>
      </w:r>
      <w:r>
        <w:rPr>
          <w:rFonts w:hint="eastAsia" w:ascii="仿宋_GB2312" w:hAnsi="仿宋_GB2312" w:eastAsia="仿宋_GB2312" w:cs="仿宋_GB2312"/>
          <w:color w:val="auto"/>
          <w:sz w:val="32"/>
          <w:szCs w:val="32"/>
          <w:lang w:val="en-US" w:eastAsia="zh-CN"/>
        </w:rPr>
        <w:t>全力打造“智慧审批”服务新模式，通过县乡两级自助办理一体机内设的“办事项”、“秒批秒办”、“公共服务”等模块，采取自动化、智能化手段，1255项审批事项通过自助办理一体机实现就近申报，</w:t>
      </w:r>
      <w:r>
        <w:rPr>
          <w:rFonts w:hint="eastAsia" w:ascii="仿宋_GB2312" w:hAnsi="仿宋_GB2312" w:eastAsia="仿宋_GB2312" w:cs="仿宋_GB2312"/>
          <w:color w:val="auto"/>
          <w:kern w:val="2"/>
          <w:sz w:val="32"/>
          <w:szCs w:val="32"/>
          <w:u w:val="none"/>
          <w:shd w:val="clear" w:color="auto" w:fill="auto"/>
          <w:lang w:val="en-US" w:eastAsia="zh-CN" w:bidi="ar-SA"/>
        </w:rPr>
        <w:t>26个高频极简事项实现“秒批秒办”，</w:t>
      </w:r>
      <w:r>
        <w:rPr>
          <w:rFonts w:hint="eastAsia" w:ascii="仿宋_GB2312" w:hAnsi="仿宋_GB2312" w:eastAsia="仿宋_GB2312" w:cs="仿宋_GB2312"/>
          <w:color w:val="auto"/>
          <w:sz w:val="32"/>
          <w:szCs w:val="32"/>
          <w:lang w:val="en-US" w:eastAsia="zh-CN"/>
        </w:rPr>
        <w:t>51项公共服务事项实现查询及链接跳转，</w:t>
      </w:r>
      <w:r>
        <w:rPr>
          <w:rFonts w:hint="eastAsia" w:ascii="仿宋_GB2312" w:hAnsi="仿宋_GB2312" w:eastAsia="仿宋_GB2312" w:cs="仿宋_GB2312"/>
          <w:color w:val="auto"/>
          <w:kern w:val="2"/>
          <w:sz w:val="32"/>
          <w:szCs w:val="32"/>
          <w:u w:val="none"/>
          <w:shd w:val="clear" w:color="auto" w:fill="auto"/>
          <w:lang w:val="en-US" w:eastAsia="zh-CN" w:bidi="ar-SA"/>
        </w:rPr>
        <w:t>申办人从事项申报到证照领取可全流程自助办理。截止目前，通过一体机办理许可事项11件。</w:t>
      </w:r>
    </w:p>
    <w:p w14:paraId="44D53CE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扎实推进政府在线监管能力。一是</w:t>
      </w:r>
      <w:r>
        <w:rPr>
          <w:rFonts w:hint="eastAsia" w:ascii="仿宋_GB2312" w:hAnsi="仿宋_GB2312" w:eastAsia="仿宋_GB2312" w:cs="仿宋_GB2312"/>
          <w:color w:val="auto"/>
          <w:sz w:val="32"/>
          <w:szCs w:val="32"/>
          <w:lang w:val="en-US" w:eastAsia="zh-CN"/>
        </w:rPr>
        <w:t>做好监管事项动态管理。督促各监管部门在山西省“互联网+监管”系统中按照监管事项实施层级，对未认领的“监管事项目录清单”完成认领，并以“监管事项目录清单”为基础，编制本级“检查实施清单”。共</w:t>
      </w:r>
      <w:r>
        <w:rPr>
          <w:rFonts w:hint="eastAsia" w:ascii="仿宋_GB2312" w:hAnsi="仿宋_GB2312" w:eastAsia="仿宋_GB2312" w:cs="仿宋_GB2312"/>
          <w:color w:val="auto"/>
          <w:sz w:val="32"/>
          <w:szCs w:val="32"/>
          <w:lang w:val="en-GB" w:eastAsia="zh-CN"/>
        </w:rPr>
        <w:t>认领目录清单</w:t>
      </w:r>
      <w:r>
        <w:rPr>
          <w:rFonts w:hint="eastAsia" w:ascii="仿宋_GB2312" w:hAnsi="仿宋_GB2312" w:eastAsia="仿宋_GB2312" w:cs="仿宋_GB2312"/>
          <w:color w:val="auto"/>
          <w:sz w:val="32"/>
          <w:szCs w:val="32"/>
          <w:lang w:val="en-US" w:eastAsia="zh-CN"/>
        </w:rPr>
        <w:t>1020</w:t>
      </w:r>
      <w:r>
        <w:rPr>
          <w:rFonts w:hint="eastAsia" w:ascii="仿宋_GB2312" w:hAnsi="仿宋_GB2312" w:eastAsia="仿宋_GB2312" w:cs="仿宋_GB2312"/>
          <w:color w:val="auto"/>
          <w:sz w:val="32"/>
          <w:szCs w:val="32"/>
          <w:lang w:val="en-GB" w:eastAsia="zh-CN"/>
        </w:rPr>
        <w:t>条，编制检查实施清单10</w:t>
      </w:r>
      <w:r>
        <w:rPr>
          <w:rFonts w:hint="eastAsia" w:ascii="仿宋_GB2312" w:hAnsi="仿宋_GB2312" w:eastAsia="仿宋_GB2312" w:cs="仿宋_GB2312"/>
          <w:color w:val="auto"/>
          <w:sz w:val="32"/>
          <w:szCs w:val="32"/>
          <w:lang w:val="en-US" w:eastAsia="zh-CN"/>
        </w:rPr>
        <w:t>36个</w:t>
      </w:r>
      <w:r>
        <w:rPr>
          <w:rFonts w:hint="eastAsia" w:ascii="仿宋_GB2312" w:hAnsi="仿宋_GB2312" w:eastAsia="仿宋_GB2312" w:cs="仿宋_GB2312"/>
          <w:color w:val="auto"/>
          <w:sz w:val="32"/>
          <w:szCs w:val="32"/>
          <w:lang w:val="en-GB"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提高监管数据质量。督促各监管部门要对照清单，持续将监管行为数据及时进行上报，保证数据及时性，并配合各部门做好系统账号配置等保障工作。截止目前，“互联网+监管”系统共汇集监管业务数据</w:t>
      </w:r>
      <w:r>
        <w:rPr>
          <w:rFonts w:hint="eastAsia" w:ascii="仿宋_GB2312" w:hAnsi="仿宋_GB2312" w:eastAsia="仿宋_GB2312" w:cs="仿宋_GB2312"/>
          <w:color w:val="auto"/>
          <w:kern w:val="2"/>
          <w:sz w:val="32"/>
          <w:szCs w:val="32"/>
          <w:lang w:val="en-US" w:eastAsia="zh-CN" w:bidi="ar-SA"/>
        </w:rPr>
        <w:t>13659</w:t>
      </w:r>
      <w:r>
        <w:rPr>
          <w:rFonts w:hint="eastAsia" w:ascii="仿宋_GB2312" w:hAnsi="仿宋_GB2312" w:eastAsia="仿宋_GB2312" w:cs="仿宋_GB2312"/>
          <w:color w:val="auto"/>
          <w:sz w:val="32"/>
          <w:szCs w:val="32"/>
          <w:lang w:val="en-US" w:eastAsia="zh-CN"/>
        </w:rPr>
        <w:t>条。三</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val="en-US" w:eastAsia="zh-CN"/>
        </w:rPr>
        <w:t>创新监管信息化建设水平。依托全国一体化在线监管平台，搭建阳城县跨部门综合监管“一件事”管理系统，梳理跨部门综合监管“一件事”清单19个，组织召开跨部门综合监管工作推进会及系统应用培训会，形成监管合力，提升监管效能。</w:t>
      </w:r>
    </w:p>
    <w:p w14:paraId="33AE02F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推行“双承诺免评审”</w:t>
      </w:r>
      <w:r>
        <w:rPr>
          <w:rFonts w:hint="eastAsia" w:ascii="仿宋_GB2312" w:hAnsi="仿宋_GB2312" w:eastAsia="仿宋_GB2312" w:cs="仿宋_GB2312"/>
          <w:b/>
          <w:bCs/>
          <w:color w:val="auto"/>
          <w:sz w:val="32"/>
          <w:szCs w:val="32"/>
        </w:rPr>
        <w:t>机制</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rPr>
        <w:t>对于符合条件的政府投资项目初步设计阶段推行“设计单位</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建设单位双承诺、审批过程免评审”机制，</w:t>
      </w:r>
      <w:r>
        <w:rPr>
          <w:rFonts w:hint="eastAsia" w:ascii="仿宋_GB2312" w:hAnsi="仿宋_GB2312" w:eastAsia="仿宋_GB2312" w:cs="仿宋_GB2312"/>
          <w:color w:val="auto"/>
          <w:sz w:val="32"/>
          <w:szCs w:val="32"/>
          <w:lang w:val="en-US" w:eastAsia="zh-CN"/>
        </w:rPr>
        <w:t>截止目前，</w:t>
      </w:r>
      <w:r>
        <w:rPr>
          <w:rFonts w:hint="eastAsia" w:ascii="仿宋_GB2312" w:hAnsi="仿宋_GB2312" w:eastAsia="仿宋_GB2312" w:cs="仿宋_GB2312"/>
          <w:color w:val="auto"/>
          <w:sz w:val="32"/>
          <w:szCs w:val="32"/>
        </w:rPr>
        <w:t>已对阳城县西河乡宋王至柏坡沟段农村道路提质改造工程等</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个政府投资项目审查合格后直接予以批复；</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对于符合条件的企业投资核准类项目在符合行业规划前提下，实行“技术方案备案”模式，</w:t>
      </w:r>
      <w:r>
        <w:rPr>
          <w:rFonts w:hint="eastAsia" w:ascii="仿宋_GB2312" w:hAnsi="仿宋_GB2312" w:eastAsia="仿宋_GB2312" w:cs="仿宋_GB2312"/>
          <w:color w:val="auto"/>
          <w:sz w:val="32"/>
          <w:szCs w:val="32"/>
          <w:lang w:val="en-US" w:eastAsia="zh-CN"/>
        </w:rPr>
        <w:t>截止目前，</w:t>
      </w:r>
      <w:r>
        <w:rPr>
          <w:rFonts w:hint="eastAsia" w:ascii="仿宋_GB2312" w:hAnsi="仿宋_GB2312" w:eastAsia="仿宋_GB2312" w:cs="仿宋_GB2312"/>
          <w:color w:val="auto"/>
          <w:sz w:val="32"/>
          <w:szCs w:val="32"/>
        </w:rPr>
        <w:t>已对山西晋城阳城刘庄110kV输变电工程项目等</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个企业投资核准项目审查合格后直接予以核准。双承诺免评审审批方式</w:t>
      </w:r>
      <w:r>
        <w:rPr>
          <w:rFonts w:hint="eastAsia" w:ascii="仿宋_GB2312" w:hAnsi="仿宋_GB2312" w:eastAsia="仿宋_GB2312" w:cs="仿宋_GB2312"/>
          <w:color w:val="auto"/>
          <w:sz w:val="32"/>
          <w:szCs w:val="32"/>
          <w:lang w:eastAsia="zh-CN"/>
        </w:rPr>
        <w:t>推行</w:t>
      </w:r>
      <w:r>
        <w:rPr>
          <w:rFonts w:hint="eastAsia" w:ascii="仿宋_GB2312" w:hAnsi="仿宋_GB2312" w:eastAsia="仿宋_GB2312" w:cs="仿宋_GB2312"/>
          <w:color w:val="auto"/>
          <w:sz w:val="32"/>
          <w:szCs w:val="32"/>
          <w:lang w:val="en-US" w:eastAsia="zh-CN"/>
        </w:rPr>
        <w:t>以来</w:t>
      </w:r>
      <w:r>
        <w:rPr>
          <w:rFonts w:hint="eastAsia" w:ascii="仿宋_GB2312" w:hAnsi="仿宋_GB2312" w:eastAsia="仿宋_GB2312" w:cs="仿宋_GB2312"/>
          <w:color w:val="auto"/>
          <w:sz w:val="32"/>
          <w:szCs w:val="32"/>
        </w:rPr>
        <w:t>，为项目单位节约评审费用约</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余万元，</w:t>
      </w:r>
      <w:r>
        <w:rPr>
          <w:rFonts w:hint="eastAsia" w:ascii="仿宋_GB2312" w:hAnsi="仿宋_GB2312" w:eastAsia="仿宋_GB2312" w:cs="仿宋_GB2312"/>
          <w:color w:val="auto"/>
          <w:sz w:val="32"/>
          <w:szCs w:val="32"/>
          <w:lang w:val="en-US" w:eastAsia="zh-CN"/>
        </w:rPr>
        <w:t>审批时限缩短</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个</w:t>
      </w:r>
      <w:r>
        <w:rPr>
          <w:rFonts w:hint="eastAsia" w:ascii="仿宋_GB2312" w:hAnsi="仿宋_GB2312" w:eastAsia="仿宋_GB2312" w:cs="仿宋_GB2312"/>
          <w:color w:val="auto"/>
          <w:sz w:val="32"/>
          <w:szCs w:val="32"/>
        </w:rPr>
        <w:t>工作日</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w:t>
      </w:r>
    </w:p>
    <w:p w14:paraId="7832DAF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持续推动“高效办成一件事”集成服务改革</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eastAsia="zh-CN"/>
        </w:rPr>
        <w:t>印发《关于进一步优化政务服务提升行政效能推动“高效办成一件事”实施方案》《</w:t>
      </w:r>
      <w:r>
        <w:rPr>
          <w:rFonts w:hint="eastAsia" w:ascii="仿宋_GB2312" w:hAnsi="仿宋_GB2312" w:eastAsia="仿宋_GB2312" w:cs="仿宋_GB2312"/>
          <w:b w:val="0"/>
          <w:bCs w:val="0"/>
          <w:color w:val="auto"/>
          <w:sz w:val="32"/>
          <w:szCs w:val="32"/>
        </w:rPr>
        <w:t>高效办成一件事实施方案任务分解表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重点事项清单任务分解表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并</w:t>
      </w:r>
      <w:r>
        <w:rPr>
          <w:rFonts w:hint="eastAsia" w:ascii="仿宋_GB2312" w:hAnsi="仿宋_GB2312" w:eastAsia="仿宋_GB2312" w:cs="仿宋_GB2312"/>
          <w:color w:val="auto"/>
          <w:sz w:val="32"/>
          <w:szCs w:val="32"/>
        </w:rPr>
        <w:t>召开会议</w:t>
      </w:r>
      <w:r>
        <w:rPr>
          <w:rFonts w:hint="eastAsia" w:ascii="仿宋_GB2312" w:hAnsi="仿宋_GB2312" w:eastAsia="仿宋_GB2312" w:cs="仿宋_GB2312"/>
          <w:color w:val="auto"/>
          <w:sz w:val="32"/>
          <w:szCs w:val="32"/>
          <w:lang w:val="en-US" w:eastAsia="zh-CN"/>
        </w:rPr>
        <w:t>进行安排</w:t>
      </w:r>
      <w:r>
        <w:rPr>
          <w:rFonts w:hint="eastAsia" w:ascii="仿宋_GB2312" w:hAnsi="仿宋_GB2312" w:eastAsia="仿宋_GB2312" w:cs="仿宋_GB2312"/>
          <w:color w:val="auto"/>
          <w:sz w:val="32"/>
          <w:szCs w:val="32"/>
        </w:rPr>
        <w:t>部署。</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eastAsia="zh-CN"/>
        </w:rPr>
        <w:t>根据企业和群众办事需求、办事便利度等因素量体裁衣，</w:t>
      </w:r>
      <w:r>
        <w:rPr>
          <w:rFonts w:hint="eastAsia" w:ascii="仿宋_GB2312" w:hAnsi="仿宋_GB2312" w:eastAsia="仿宋_GB2312" w:cs="仿宋_GB2312"/>
          <w:color w:val="auto"/>
          <w:sz w:val="32"/>
          <w:szCs w:val="32"/>
          <w:lang w:eastAsia="zh-CN"/>
        </w:rPr>
        <w:t>设置“高效办成一件事”服务专区，同时提供帮办代办服务。</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是</w:t>
      </w:r>
      <w:r>
        <w:rPr>
          <w:rFonts w:hint="eastAsia" w:ascii="仿宋_GB2312" w:hAnsi="仿宋_GB2312" w:eastAsia="仿宋_GB2312" w:cs="仿宋_GB2312"/>
          <w:color w:val="auto"/>
          <w:sz w:val="32"/>
          <w:szCs w:val="32"/>
          <w:lang w:eastAsia="zh-CN"/>
        </w:rPr>
        <w:t>编制了“企业运营”“企业开办”等工作操作规程、办事指南和一次性告知、申请表和流程图，</w:t>
      </w:r>
      <w:r>
        <w:rPr>
          <w:rFonts w:hint="eastAsia" w:ascii="仿宋_GB2312" w:hAnsi="仿宋_GB2312" w:eastAsia="仿宋_GB2312" w:cs="仿宋_GB2312"/>
          <w:color w:val="auto"/>
          <w:sz w:val="32"/>
          <w:szCs w:val="32"/>
          <w:lang w:val="en-US" w:eastAsia="zh-CN"/>
        </w:rPr>
        <w:t>依托山西省政务服务网、“晋来办”微信小程序，实现教育入学、企业准入准营、新生儿出生一件事等多个特色服务事项“一网办理”。</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打造道路货物运输“一件事一次办”新模式。将原先的道路运输经营许可证、道路运输证配发两件事整合成“货运车辆营运一件事”，关联山西省运政系统和政务服务平台，加快审批智能化改革。</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rPr>
        <w:t>“新生儿出生一件事”开始线上联办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多次组织医院、卫健、公安、医保、人社等多个涉及的相关部门召开了部门联动座谈会，</w:t>
      </w:r>
      <w:r>
        <w:rPr>
          <w:rFonts w:hint="eastAsia" w:ascii="仿宋_GB2312" w:hAnsi="仿宋_GB2312" w:eastAsia="仿宋_GB2312" w:cs="仿宋_GB2312"/>
          <w:color w:val="auto"/>
          <w:sz w:val="32"/>
          <w:szCs w:val="32"/>
          <w:lang w:val="en-US" w:eastAsia="zh-CN"/>
        </w:rPr>
        <w:t>就相关问题进行研究讨论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制作了“新生儿出生一件事”宣传版面和办理用户端二维码，指导用户线上办理。</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color w:val="auto"/>
          <w:sz w:val="32"/>
          <w:szCs w:val="32"/>
        </w:rPr>
        <w:t>设置军人退役“一件事”综合服务窗口，将9个事项整合为“一件事”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实现了一次性收齐申请材料、部门流转联动联办，提升了服务效率。</w:t>
      </w:r>
      <w:r>
        <w:rPr>
          <w:rFonts w:hint="eastAsia" w:ascii="仿宋_GB2312" w:hAnsi="仿宋_GB2312" w:eastAsia="仿宋_GB2312" w:cs="仿宋_GB2312"/>
          <w:color w:val="auto"/>
          <w:sz w:val="32"/>
          <w:szCs w:val="32"/>
          <w:lang w:val="en-US" w:eastAsia="zh-CN"/>
        </w:rPr>
        <w:t>截止目前，依托山西政务服务网线上办理准入类一件事8130件，线下推进项目类联办一件事59件。</w:t>
      </w:r>
    </w:p>
    <w:p w14:paraId="58609B8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持续推进“一业一证”改革</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持续做好“一业一证”改革深入推进工作，探索更宽领域行业综合许可证应用，将一个行业准入涉及的多张许可证整合为一张许可证，实现“一证准营、一码亮证”，切实降低企业准营成本。通过设置专窗、配置专人、帮办代办全流程助力，以“一表申请、一窗受理、一并审批、一证综合” 办理模式完成相关事项一次办结，实现“一表申请、一码变更、免申即办”。</w:t>
      </w:r>
      <w:r>
        <w:rPr>
          <w:rFonts w:hint="eastAsia" w:ascii="仿宋_GB2312" w:hAnsi="仿宋_GB2312" w:eastAsia="仿宋_GB2312" w:cs="仿宋_GB2312"/>
          <w:color w:val="auto"/>
          <w:sz w:val="32"/>
          <w:szCs w:val="32"/>
          <w:lang w:val="en-US" w:eastAsia="zh-CN"/>
        </w:rPr>
        <w:t>截止目前，</w:t>
      </w:r>
      <w:r>
        <w:rPr>
          <w:rFonts w:hint="eastAsia" w:ascii="仿宋_GB2312" w:hAnsi="仿宋_GB2312" w:eastAsia="仿宋_GB2312" w:cs="仿宋_GB2312"/>
          <w:color w:val="auto"/>
          <w:sz w:val="32"/>
          <w:szCs w:val="32"/>
        </w:rPr>
        <w:t>发放《行业综合许可证》</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p>
    <w:p w14:paraId="008B37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color w:val="auto"/>
          <w:sz w:val="32"/>
          <w:szCs w:val="32"/>
          <w:lang w:eastAsia="zh-CN"/>
        </w:rPr>
        <w:t>做好消防审验事项承接和专项整治工作。一是</w:t>
      </w:r>
      <w:r>
        <w:rPr>
          <w:rFonts w:hint="eastAsia" w:ascii="仿宋_GB2312" w:hAnsi="仿宋_GB2312" w:eastAsia="仿宋_GB2312" w:cs="仿宋_GB2312"/>
          <w:color w:val="auto"/>
          <w:sz w:val="32"/>
          <w:szCs w:val="32"/>
          <w:lang w:eastAsia="zh-CN"/>
        </w:rPr>
        <w:t>按照上级部门事项下放相关文件，做好消防审验事项承接，制作一次性告知流程，完成</w:t>
      </w:r>
      <w:r>
        <w:rPr>
          <w:rFonts w:hint="eastAsia" w:ascii="仿宋_GB2312" w:hAnsi="仿宋_GB2312" w:eastAsia="仿宋_GB2312" w:cs="仿宋_GB2312"/>
          <w:color w:val="auto"/>
          <w:sz w:val="32"/>
          <w:szCs w:val="32"/>
          <w:lang w:val="en-US" w:eastAsia="zh-CN"/>
        </w:rPr>
        <w:t>消防审查验收数字化管理平台的审批账号权限及电子印章的配置，确保消防审验事项可以顺利开展；</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根据消防专项整治工作要求，针对整治清单中1762个项目，按照《全省建设工程消防审验问题专项整治分类处置措施》，针对不同情形的建设工程，分类明确审批流程，加快推进历史项目消防整治工作。</w:t>
      </w:r>
    </w:p>
    <w:p w14:paraId="7A5B3A56">
      <w:pPr>
        <w:pStyle w:val="2"/>
        <w:widowControl w:val="0"/>
        <w:numPr>
          <w:ilvl w:val="0"/>
          <w:numId w:val="0"/>
        </w:numPr>
        <w:ind w:firstLine="643" w:firstLineChars="200"/>
        <w:jc w:val="both"/>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（三）优服务、疏堵点，打造更加优质、高效、便捷的政务服务环境</w:t>
      </w:r>
    </w:p>
    <w:p w14:paraId="2075A7F7">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jc w:val="both"/>
        <w:textAlignment w:val="auto"/>
        <w:outlineLvl w:val="9"/>
        <w:rPr>
          <w:rFonts w:hint="eastAsia"/>
          <w:color w:val="auto"/>
        </w:rPr>
      </w:pPr>
      <w:r>
        <w:rPr>
          <w:rFonts w:hint="eastAsia" w:ascii="仿宋_GB2312" w:hAnsi="仿宋_GB2312" w:eastAsia="仿宋_GB2312" w:cs="仿宋_GB2312"/>
          <w:b/>
          <w:bCs/>
          <w:color w:val="auto"/>
          <w:sz w:val="32"/>
          <w:szCs w:val="32"/>
        </w:rPr>
        <w:t>持续做好优化营商环境工作。</w:t>
      </w:r>
      <w:r>
        <w:rPr>
          <w:rFonts w:hint="eastAsia" w:ascii="仿宋_GB2312" w:hAnsi="仿宋_GB2312" w:eastAsia="仿宋_GB2312" w:cs="仿宋_GB2312"/>
          <w:b/>
          <w:bCs/>
          <w:i w:val="0"/>
          <w:iCs w:val="0"/>
          <w:caps w:val="0"/>
          <w:color w:val="auto"/>
          <w:spacing w:val="0"/>
          <w:sz w:val="32"/>
          <w:szCs w:val="32"/>
          <w:lang w:val="en-US" w:eastAsia="zh-CN"/>
        </w:rPr>
        <w:t>一是</w:t>
      </w:r>
      <w:r>
        <w:rPr>
          <w:rFonts w:hint="eastAsia" w:ascii="仿宋_GB2312" w:hAnsi="仿宋_GB2312" w:eastAsia="仿宋_GB2312" w:cs="仿宋_GB2312"/>
          <w:b w:val="0"/>
          <w:bCs w:val="0"/>
          <w:i w:val="0"/>
          <w:iCs w:val="0"/>
          <w:caps w:val="0"/>
          <w:color w:val="auto"/>
          <w:spacing w:val="0"/>
          <w:sz w:val="32"/>
          <w:szCs w:val="32"/>
          <w:lang w:val="en-US" w:eastAsia="zh-CN"/>
        </w:rPr>
        <w:t>出台《阳城县2024年营商环境创新提升行动方案》，细化形成“六定”“四清单”，聚焦“五大环境”建设推出52项具体举措，</w:t>
      </w:r>
      <w:r>
        <w:rPr>
          <w:rFonts w:hint="eastAsia" w:ascii="仿宋_GB2312" w:hAnsi="仿宋_GB2312" w:eastAsia="仿宋_GB2312" w:cs="仿宋_GB2312"/>
          <w:color w:val="auto"/>
          <w:sz w:val="32"/>
          <w:szCs w:val="32"/>
          <w:highlight w:val="none"/>
          <w:lang w:val="en-US" w:eastAsia="zh-CN"/>
        </w:rPr>
        <w:t>更大激发市场活力和社会创造力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印发《关于成立阳城县落实省市优化营商环境和文物保护利用政治监督专项检查反馈意见整改工作领导小组的通知》，成立领导小组，高位推动整改。制定</w:t>
      </w:r>
      <w:r>
        <w:rPr>
          <w:rFonts w:hint="eastAsia" w:ascii="仿宋_GB2312" w:hAnsi="仿宋_GB2312" w:eastAsia="仿宋_GB2312" w:cs="仿宋_GB2312"/>
          <w:color w:val="auto"/>
          <w:kern w:val="2"/>
          <w:sz w:val="32"/>
          <w:szCs w:val="32"/>
          <w:lang w:val="en-US" w:eastAsia="zh-CN" w:bidi="ar-SA"/>
        </w:rPr>
        <w:t>《关于优化营商环境政治监督专项检查反馈问题的整改方案》，针对整改精准施策、系统施治、靶向攻坚，已经11月11日十四届县委第121次常委会会议审议通过。</w:t>
      </w:r>
    </w:p>
    <w:p w14:paraId="0938DE9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bCs/>
          <w:color w:val="auto"/>
          <w:sz w:val="32"/>
          <w:szCs w:val="32"/>
          <w:lang w:val="en-US" w:eastAsia="zh-CN"/>
        </w:rPr>
        <w:t>高效推进项目前期手续集中办理。</w:t>
      </w:r>
      <w:r>
        <w:rPr>
          <w:rFonts w:hint="eastAsia" w:ascii="仿宋_GB2312" w:hAnsi="仿宋_GB2312" w:eastAsia="仿宋_GB2312" w:cs="仿宋_GB2312"/>
          <w:color w:val="auto"/>
          <w:sz w:val="32"/>
          <w:szCs w:val="32"/>
          <w:lang w:val="en-US" w:eastAsia="zh-CN"/>
        </w:rPr>
        <w:t>按照项目前期手续办理攻坚工作统一安排部署，对攻坚清单113个项目实行台账式管理。</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精准服务。对项目开展“一站式”研判、“全链条”分析，实行全代办服务，实施“一项目一清单”，开辟“7×24小时”审批通道，提供全天候延时服务，对今年攻坚清单中113个项目涉及的346个审批事项建立了全流程审批台账，“办结一个、销号一个”；</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破解难题。针对制约项目手续办理的堵点和难点，逐项列出问题清单、剖析问题原因，组织相关职能部门进行集中会诊，梳理出各类问题31个，协调解决25个，有效加快了项目审批进度；</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强化调度。细化责任分工、时间节点和保障措施，对项目实施挂图作战，对前期手续办理情况“日收集、日汇总、周调度”，先后组织召开10余次调度会。截至目前，前期手续集中办理攻坚113个项目涉及审批事项346个，已办结287个事项，占比82.9%，95个项目已具备开工条件，占比84.1%，圆满完成了既定目标任务。</w:t>
      </w:r>
    </w:p>
    <w:p w14:paraId="690F0A3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持续推进高频事项“跨省通办”</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政务服务事项“全域通办”</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有效解决企业和群众异地办事“多地跑”“折返跑”等问题，</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rPr>
        <w:t>持续推动公安、税务、公积金、不动产登记等高频简单事项实现全市域通办；进一步梳理我县跨省通办高频事项，完善跨省工作机制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截止目前，</w:t>
      </w:r>
      <w:r>
        <w:rPr>
          <w:rFonts w:hint="eastAsia" w:ascii="仿宋_GB2312" w:hAnsi="仿宋_GB2312" w:eastAsia="仿宋_GB2312" w:cs="仿宋_GB2312"/>
          <w:color w:val="auto"/>
          <w:sz w:val="32"/>
          <w:szCs w:val="32"/>
        </w:rPr>
        <w:t>和江苏省如皋市、昆山市、山东省济南市莱芜区等11个地市签署了《政务服务“跨省通办”联动机制合作框架协议》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办理“跨省通办”相关事项</w:t>
      </w:r>
      <w:r>
        <w:rPr>
          <w:rFonts w:hint="eastAsia" w:ascii="仿宋_GB2312" w:hAnsi="仿宋_GB2312" w:eastAsia="仿宋_GB2312" w:cs="仿宋_GB2312"/>
          <w:color w:val="auto"/>
          <w:sz w:val="32"/>
          <w:szCs w:val="32"/>
          <w:lang w:val="en-US" w:eastAsia="zh-CN"/>
        </w:rPr>
        <w:t>42019</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印发《阳城县政务服务事项“全域通办”实施方案》，规范建立线上、线下事项流转机制，依托市政务中心开发的政务服务“全域通办”流转系统，切实解决企业和群众异地办事“多地跑”、“折返跑”等问题。</w:t>
      </w:r>
    </w:p>
    <w:p w14:paraId="511473D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推行公路设计审查“自审承诺”。</w:t>
      </w:r>
      <w:r>
        <w:rPr>
          <w:rFonts w:hint="eastAsia" w:ascii="仿宋_GB2312" w:hAnsi="仿宋_GB2312" w:eastAsia="仿宋_GB2312" w:cs="仿宋_GB2312"/>
          <w:color w:val="auto"/>
          <w:sz w:val="32"/>
          <w:szCs w:val="32"/>
          <w:lang w:val="en-US" w:eastAsia="zh-CN"/>
        </w:rPr>
        <w:t>为简化农村公路项目审批程序，印发《进一步优化公路建设项目审批程序的实施意见》，对投资200万元以下的农村公路项目，施工图设计实行“自审承诺”，勘察设计单位出具符合相关标准、规范的质量承诺后，不再组织设计文件评审，直接予以批复，不仅为项目单位节约了费用，而且还缩短了审批时间。截至目前，为13个农村道路项目实行了施工图设计审查“自审承诺”，平均节省了15天的时间，节约费用约20余万元，有效助力农村公路提质增效。</w:t>
      </w:r>
    </w:p>
    <w:p w14:paraId="135FAA5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推行容缺承诺审批。</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进一步压缩报批时限、加快项目开工建设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印发</w:t>
      </w:r>
      <w:r>
        <w:rPr>
          <w:rFonts w:hint="eastAsia" w:ascii="仿宋_GB2312" w:hAnsi="仿宋_GB2312" w:eastAsia="仿宋_GB2312" w:cs="仿宋_GB2312"/>
          <w:color w:val="auto"/>
          <w:sz w:val="32"/>
          <w:szCs w:val="32"/>
          <w:lang w:eastAsia="zh-CN"/>
        </w:rPr>
        <w:t>《关于投资建设项目容缺承诺制审批的实施意见》，推行“告知承诺</w:t>
      </w:r>
      <w:r>
        <w:rPr>
          <w:rFonts w:hint="eastAsia" w:ascii="仿宋_GB2312" w:hAnsi="仿宋_GB2312" w:eastAsia="仿宋_GB2312" w:cs="仿宋_GB2312"/>
          <w:color w:val="auto"/>
          <w:sz w:val="32"/>
          <w:szCs w:val="32"/>
          <w:lang w:val="en-US" w:eastAsia="zh-CN"/>
        </w:rPr>
        <w:t>+容缺办理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编制并公布了</w:t>
      </w:r>
      <w:r>
        <w:rPr>
          <w:rFonts w:hint="eastAsia" w:ascii="仿宋_GB2312" w:hAnsi="仿宋_GB2312" w:eastAsia="仿宋_GB2312" w:cs="仿宋_GB2312"/>
          <w:color w:val="auto"/>
          <w:sz w:val="32"/>
          <w:szCs w:val="32"/>
          <w:lang w:eastAsia="zh-CN"/>
        </w:rPr>
        <w:t>工程建设领域全流程</w:t>
      </w:r>
      <w:r>
        <w:rPr>
          <w:rFonts w:hint="eastAsia" w:ascii="仿宋_GB2312" w:hAnsi="仿宋_GB2312" w:eastAsia="仿宋_GB2312" w:cs="仿宋_GB2312"/>
          <w:color w:val="auto"/>
          <w:sz w:val="32"/>
          <w:szCs w:val="32"/>
        </w:rPr>
        <w:t>实行告知承诺制</w:t>
      </w:r>
      <w:r>
        <w:rPr>
          <w:rFonts w:hint="eastAsia" w:ascii="仿宋_GB2312" w:hAnsi="仿宋_GB2312" w:eastAsia="仿宋_GB2312" w:cs="仿宋_GB2312"/>
          <w:color w:val="auto"/>
          <w:sz w:val="32"/>
          <w:szCs w:val="32"/>
          <w:lang w:val="en-US" w:eastAsia="zh-CN"/>
        </w:rPr>
        <w:t>14个事项</w:t>
      </w:r>
      <w:r>
        <w:rPr>
          <w:rFonts w:hint="eastAsia" w:ascii="仿宋_GB2312" w:hAnsi="仿宋_GB2312" w:eastAsia="仿宋_GB2312" w:cs="仿宋_GB2312"/>
          <w:color w:val="auto"/>
          <w:sz w:val="32"/>
          <w:szCs w:val="32"/>
        </w:rPr>
        <w:t>的目录清单，</w:t>
      </w:r>
      <w:r>
        <w:rPr>
          <w:rFonts w:hint="eastAsia" w:ascii="仿宋_GB2312" w:hAnsi="仿宋_GB2312" w:eastAsia="仿宋_GB2312" w:cs="仿宋_GB2312"/>
          <w:color w:val="auto"/>
          <w:sz w:val="32"/>
          <w:szCs w:val="32"/>
          <w:lang w:eastAsia="zh-CN"/>
        </w:rPr>
        <w:t>明确可容缺申请材料共</w:t>
      </w:r>
      <w:r>
        <w:rPr>
          <w:rFonts w:hint="eastAsia" w:ascii="仿宋_GB2312" w:hAnsi="仿宋_GB2312" w:eastAsia="仿宋_GB2312" w:cs="仿宋_GB2312"/>
          <w:color w:val="auto"/>
          <w:sz w:val="32"/>
          <w:szCs w:val="32"/>
          <w:lang w:val="en-US" w:eastAsia="zh-CN"/>
        </w:rPr>
        <w:t>28项，并</w:t>
      </w:r>
      <w:r>
        <w:rPr>
          <w:rFonts w:hint="eastAsia" w:ascii="仿宋_GB2312" w:hAnsi="仿宋_GB2312" w:eastAsia="仿宋_GB2312" w:cs="仿宋_GB2312"/>
          <w:color w:val="auto"/>
          <w:sz w:val="32"/>
          <w:szCs w:val="32"/>
        </w:rPr>
        <w:t>按照“要件齐全、次件容缺”原则，</w:t>
      </w:r>
      <w:r>
        <w:rPr>
          <w:rFonts w:hint="eastAsia" w:ascii="仿宋_GB2312" w:hAnsi="仿宋_GB2312" w:eastAsia="仿宋_GB2312" w:cs="仿宋_GB2312"/>
          <w:color w:val="auto"/>
          <w:sz w:val="32"/>
          <w:szCs w:val="32"/>
          <w:lang w:eastAsia="zh-CN"/>
        </w:rPr>
        <w:t>先许可、后规范，切实提升审批服务效能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截止目前，</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lang w:val="en-US" w:eastAsia="zh-CN"/>
        </w:rPr>
        <w:t>为4个项目的4项非要件申请材料实行了容缺后补，有效缩短审批时间，加快审批效率。</w:t>
      </w:r>
    </w:p>
    <w:p w14:paraId="028793E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创新推出双休节假日政务服务“不打烊”。</w:t>
      </w:r>
      <w:r>
        <w:rPr>
          <w:rFonts w:hint="eastAsia" w:ascii="仿宋_GB2312" w:hAnsi="仿宋_GB2312" w:eastAsia="仿宋_GB2312" w:cs="仿宋_GB2312"/>
          <w:color w:val="auto"/>
          <w:sz w:val="32"/>
          <w:szCs w:val="32"/>
        </w:rPr>
        <w:t>推出了双休日、节假日（周六上午9：00-11：30及节假日第一天上午9：00-11：30）“不打烊”预约服务，提供多种渠道预约，进一步解决上班没空办、下班没处办的问题。企业、群众有三种方式可以享受到“不打烊”服务。认真梳理了企业投资项目备案、个体工商户登记、护照申请、不动产登记等39项事项以及窗口首席代表的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color w:val="auto"/>
          <w:sz w:val="32"/>
          <w:szCs w:val="32"/>
        </w:rPr>
        <w:t>融媒体微信公众号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阳城新闻</w:t>
      </w:r>
      <w:r>
        <w:rPr>
          <w:rFonts w:hint="eastAsia" w:ascii="仿宋_GB2312" w:hAnsi="仿宋_GB2312" w:eastAsia="仿宋_GB2312" w:cs="仿宋_GB2312"/>
          <w:color w:val="auto"/>
          <w:sz w:val="32"/>
          <w:szCs w:val="32"/>
        </w:rPr>
        <w:t>等形式进行公示，方便群众办事。</w:t>
      </w:r>
    </w:p>
    <w:p w14:paraId="7E11130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深入开展“我陪群众走流程”。</w:t>
      </w:r>
      <w:r>
        <w:rPr>
          <w:rFonts w:hint="eastAsia" w:ascii="仿宋_GB2312" w:hAnsi="仿宋_GB2312" w:eastAsia="仿宋_GB2312" w:cs="仿宋_GB2312"/>
          <w:color w:val="auto"/>
          <w:sz w:val="32"/>
          <w:szCs w:val="32"/>
          <w:lang w:val="en-US" w:eastAsia="zh-CN"/>
        </w:rPr>
        <w:t>围绕就业创业、社会保障、婚育服务、老年人服务、助残服务等政务服务领域，多举措持续性推进“我陪群众走流程”体验工作走深走细。多渠道收集企业群众关于优化政务服务、营商环境等意见建议，通过发现“一个问题”推动解决“一类问题”，进一步推动了制度优化、流程再造和服务提升。</w:t>
      </w:r>
    </w:p>
    <w:p w14:paraId="3F0E4036">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打造“村能办2.0”新样板。</w:t>
      </w:r>
      <w:r>
        <w:rPr>
          <w:rFonts w:hint="eastAsia" w:ascii="仿宋_GB2312" w:hAnsi="仿宋_GB2312" w:eastAsia="仿宋_GB2312" w:cs="仿宋_GB2312"/>
          <w:color w:val="auto"/>
          <w:sz w:val="32"/>
          <w:szCs w:val="32"/>
          <w:lang w:val="en-US" w:eastAsia="zh-CN"/>
        </w:rPr>
        <w:t>印发《阳城县政务服务中心关于“村能办”便民服务工作提档升级的通知》《关于创建精品示范村级便民服务站工作实施方案》，统一“村能办”场地建设标准，动态扩展“村能办”事项清单，以洎水新城社区为试点，在2023年的基础上扩容为32大类71项事项。制作“村能办”便民服务事项《办事指南》，方便群众获取查阅。2024年1-10月，开展“村能办”便民服务32184件，“村能办”延伸服务9156件。</w:t>
      </w:r>
    </w:p>
    <w:p w14:paraId="651EBBC5">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提升红色代办服务能力。</w:t>
      </w:r>
      <w:r>
        <w:rPr>
          <w:rFonts w:hint="eastAsia" w:ascii="仿宋_GB2312" w:hAnsi="仿宋_GB2312" w:eastAsia="仿宋_GB2312" w:cs="仿宋_GB2312"/>
          <w:b w:val="0"/>
          <w:bCs w:val="0"/>
          <w:color w:val="auto"/>
          <w:sz w:val="32"/>
          <w:szCs w:val="32"/>
          <w:lang w:val="en-US" w:eastAsia="zh-CN"/>
        </w:rPr>
        <w:t>印发</w:t>
      </w:r>
      <w:r>
        <w:rPr>
          <w:rFonts w:hint="eastAsia" w:ascii="仿宋_GB2312" w:hAnsi="仿宋_GB2312" w:eastAsia="仿宋_GB2312" w:cs="仿宋_GB2312"/>
          <w:color w:val="auto"/>
          <w:sz w:val="32"/>
          <w:szCs w:val="32"/>
          <w:lang w:val="en-US" w:eastAsia="zh-CN"/>
        </w:rPr>
        <w:t>《关于推行村级“红色代办”便民服务的实施方案》，强建扩容红色代办队伍。梳理《阳城县推行村级“红色代办”便民服务村庄分类建设名单》，按照精品示范村、提档升级村分类推动红色代办服务拓展提升。组建了红色代办工作群，实行“村级吹哨、镇县响应”工作机制，真正将便民服务从“窗口”搬到“村口”。2024年1-10月，开展红色代办14381件。</w:t>
      </w:r>
    </w:p>
    <w:p w14:paraId="6AC58CE4">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深入推进公共资源交易。一是</w:t>
      </w:r>
      <w:r>
        <w:rPr>
          <w:rFonts w:hint="eastAsia" w:ascii="仿宋_GB2312" w:hAnsi="仿宋_GB2312" w:eastAsia="仿宋_GB2312" w:cs="仿宋_GB2312"/>
          <w:b w:val="0"/>
          <w:bCs w:val="0"/>
          <w:color w:val="auto"/>
          <w:sz w:val="32"/>
          <w:szCs w:val="32"/>
          <w:lang w:val="en-US" w:eastAsia="zh-CN"/>
        </w:rPr>
        <w:t>继续推进政府采购“不见面开标”。</w:t>
      </w:r>
      <w:r>
        <w:rPr>
          <w:rFonts w:hint="eastAsia" w:ascii="仿宋_GB2312" w:hAnsi="仿宋_GB2312" w:eastAsia="仿宋_GB2312" w:cs="仿宋_GB2312"/>
          <w:color w:val="auto"/>
          <w:sz w:val="32"/>
          <w:szCs w:val="32"/>
          <w:lang w:val="en-US" w:eastAsia="zh-CN"/>
        </w:rPr>
        <w:t>坚持“互联网+政府采购”，简化资格审查形式，供应商在线获取采购文件、书面承诺形式在线投标，在线开标、在线评标、在线获取中标（成交）通知书，实现能用则用，应用尽用。</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扎实推进基建工程领域招投标专项整治工作。</w:t>
      </w:r>
      <w:r>
        <w:rPr>
          <w:rFonts w:hint="eastAsia" w:ascii="仿宋_GB2312" w:hAnsi="仿宋_GB2312" w:eastAsia="仿宋_GB2312" w:cs="仿宋_GB2312"/>
          <w:color w:val="auto"/>
          <w:sz w:val="32"/>
          <w:szCs w:val="32"/>
          <w:lang w:val="en-US" w:eastAsia="zh-CN"/>
        </w:rPr>
        <w:t>制定《阳城县公共资源交易中心关于推动开展基建工程领域招投标突出问题专项整治的实施方案》，明确责任分工，确保专项整治落地落实。</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加快推进交易招投标区域改造。</w:t>
      </w:r>
      <w:r>
        <w:rPr>
          <w:rFonts w:hint="eastAsia" w:ascii="仿宋_GB2312" w:hAnsi="仿宋_GB2312" w:eastAsia="仿宋_GB2312" w:cs="仿宋_GB2312"/>
          <w:color w:val="auto"/>
          <w:sz w:val="32"/>
          <w:szCs w:val="32"/>
          <w:lang w:val="en-US" w:eastAsia="zh-CN"/>
        </w:rPr>
        <w:t>根据市交易中心关于“一个平台管交易”改革要求，对交易开评标区实行场所改造。2024年1月—10月实施政府采购4宗，预算资金247.36万元，合同金额227.74万元，节约财政资金19.61万元，节支率7.93%。实施工程建设项目交易83宗，交易额约23.13亿元。实施国有建设用地使用权出让1宗，成交金额435万元。</w:t>
      </w:r>
    </w:p>
    <w:p w14:paraId="355EF153">
      <w:pPr>
        <w:pStyle w:val="24"/>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加强热线考核督办力度。</w:t>
      </w:r>
      <w:r>
        <w:rPr>
          <w:rFonts w:hint="eastAsia" w:ascii="仿宋_GB2312" w:hAnsi="仿宋_GB2312" w:eastAsia="仿宋_GB2312" w:cs="仿宋_GB2312"/>
          <w:color w:val="auto"/>
          <w:sz w:val="32"/>
          <w:szCs w:val="32"/>
          <w:lang w:val="en-US" w:eastAsia="zh-CN"/>
        </w:rPr>
        <w:t>从3月份开始，每周召开调度会议，</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2023年以来的工单全量起底，对</w:t>
      </w:r>
      <w:r>
        <w:rPr>
          <w:rFonts w:hint="eastAsia" w:ascii="仿宋_GB2312" w:hAnsi="仿宋_GB2312" w:eastAsia="仿宋_GB2312" w:cs="仿宋_GB2312"/>
          <w:color w:val="auto"/>
          <w:sz w:val="32"/>
          <w:szCs w:val="32"/>
        </w:rPr>
        <w:t>不满意、未解决等工单办理情况调度督办</w:t>
      </w:r>
      <w:r>
        <w:rPr>
          <w:rFonts w:hint="eastAsia" w:ascii="仿宋_GB2312" w:hAnsi="仿宋_GB2312" w:eastAsia="仿宋_GB2312" w:cs="仿宋_GB2312"/>
          <w:color w:val="auto"/>
          <w:sz w:val="32"/>
          <w:szCs w:val="32"/>
          <w:lang w:val="en-US" w:eastAsia="zh-CN"/>
        </w:rPr>
        <w:t>，推动工单落实办理。今年2024年1-10月，受理闭环办结的3532件工单中，经单位跟进办理反馈，满意工单3511件，满意率达99.4%。</w:t>
      </w:r>
    </w:p>
    <w:p w14:paraId="4DE9C4C8">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提升综窗运行质效。</w:t>
      </w:r>
      <w:r>
        <w:rPr>
          <w:rFonts w:hint="eastAsia" w:ascii="仿宋_GB2312" w:hAnsi="仿宋_GB2312" w:eastAsia="仿宋_GB2312" w:cs="仿宋_GB2312"/>
          <w:b/>
          <w:bCs/>
          <w:color w:val="auto"/>
          <w:kern w:val="0"/>
          <w:sz w:val="32"/>
          <w:szCs w:val="32"/>
          <w:lang w:val="en-US" w:eastAsia="zh-CN"/>
        </w:rPr>
        <w:t>一是</w:t>
      </w:r>
      <w:r>
        <w:rPr>
          <w:rFonts w:hint="eastAsia" w:ascii="仿宋_GB2312" w:hAnsi="仿宋_GB2312" w:eastAsia="仿宋_GB2312" w:cs="仿宋_GB2312"/>
          <w:color w:val="auto"/>
          <w:sz w:val="32"/>
          <w:szCs w:val="32"/>
          <w:lang w:val="en-US" w:eastAsia="zh-CN"/>
        </w:rPr>
        <w:t>聚焦企业群众的办事需求，扩大无差别受理事项范围，将即办件、高频件纳入无差别事项范围，根据事项难易程度及办件量对个体工商户登记、食品小经营店备案等七项事项实行受审合一，真正实现“前台综合受理、后台分类审批、综合窗口出件”工作模式。</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color w:val="auto"/>
          <w:sz w:val="32"/>
          <w:szCs w:val="32"/>
          <w:lang w:val="en-US" w:eastAsia="zh-CN"/>
        </w:rPr>
        <w:t>加强一窗人员管理。对《“一窗受理”工作人员管理考核办法》进行重新修订，从行为规范、业务规范、日常考勤、考评考核四个方面进行细致规定，增强综窗人员组织纪律性。</w:t>
      </w:r>
      <w:r>
        <w:rPr>
          <w:rFonts w:hint="eastAsia" w:ascii="仿宋_GB2312" w:hAnsi="仿宋_GB2312" w:eastAsia="仿宋_GB2312" w:cs="仿宋_GB2312"/>
          <w:b/>
          <w:bCs/>
          <w:color w:val="auto"/>
          <w:kern w:val="0"/>
          <w:sz w:val="32"/>
          <w:szCs w:val="32"/>
          <w:lang w:val="en-US" w:eastAsia="zh-CN"/>
        </w:rPr>
        <w:t>三是</w:t>
      </w:r>
      <w:r>
        <w:rPr>
          <w:rFonts w:hint="eastAsia" w:ascii="仿宋_GB2312" w:hAnsi="仿宋_GB2312" w:eastAsia="仿宋_GB2312" w:cs="仿宋_GB2312"/>
          <w:color w:val="auto"/>
          <w:sz w:val="32"/>
          <w:szCs w:val="32"/>
          <w:lang w:val="en-US" w:eastAsia="zh-CN"/>
        </w:rPr>
        <w:t>结合业务实际情况，有计划有针对性地对业务人员和“一窗人员”开展轮岗，进一步拓宽业务知识面，提高工作积极性，激活内生动力。</w:t>
      </w:r>
    </w:p>
    <w:p w14:paraId="5CC6FC9A">
      <w:pPr>
        <w:keepNext w:val="0"/>
        <w:keepLines w:val="0"/>
        <w:pageBreakBefore w:val="0"/>
        <w:widowControl w:val="0"/>
        <w:numPr>
          <w:ilvl w:val="0"/>
          <w:numId w:val="2"/>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抓整合、出实招，扎实推进经营主体提升</w:t>
      </w:r>
    </w:p>
    <w:p w14:paraId="2BFBB71C">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截止目前，我县经营主体存量32195户，其中企业10134户，个体工商户22061户，企业和个体工商户比例为1:2.18。</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持续推进食品经营许可改革。</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推行简单变更审批事项“免申即办”改革举措，对部分许可（备案）事项变更不涉及许可资质及条件审查的，营业执照发生变更后，同步免申请变更办理许可（备案）证。</w:t>
      </w:r>
      <w:r>
        <w:rPr>
          <w:rFonts w:hint="eastAsia" w:ascii="仿宋_GB2312" w:hAnsi="仿宋_GB2312" w:eastAsia="仿宋_GB2312" w:cs="仿宋_GB2312"/>
          <w:color w:val="auto"/>
          <w:sz w:val="32"/>
          <w:szCs w:val="32"/>
          <w:lang w:eastAsia="zh-CN"/>
        </w:rPr>
        <w:t>目前</w:t>
      </w:r>
      <w:r>
        <w:rPr>
          <w:rFonts w:hint="eastAsia" w:ascii="仿宋_GB2312" w:hAnsi="仿宋_GB2312" w:eastAsia="仿宋_GB2312" w:cs="仿宋_GB2312"/>
          <w:color w:val="auto"/>
          <w:sz w:val="32"/>
          <w:szCs w:val="32"/>
        </w:rPr>
        <w:t>共办理免申即办</w:t>
      </w:r>
      <w:r>
        <w:rPr>
          <w:rFonts w:hint="eastAsia" w:ascii="仿宋_GB2312" w:hAnsi="仿宋_GB2312" w:eastAsia="仿宋_GB2312" w:cs="仿宋_GB2312"/>
          <w:color w:val="auto"/>
          <w:sz w:val="32"/>
          <w:szCs w:val="32"/>
          <w:highlight w:val="none"/>
          <w:lang w:val="en-US" w:eastAsia="zh-CN"/>
        </w:rPr>
        <w:t>198</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在保障食品安全的前提下，进一步拓宽了食品备案范围和告知承诺制范围，优化食品经营许可流程，压缩许可时限，</w:t>
      </w:r>
      <w:r>
        <w:rPr>
          <w:rFonts w:hint="eastAsia" w:ascii="仿宋_GB2312" w:hAnsi="仿宋_GB2312" w:eastAsia="仿宋_GB2312" w:cs="仿宋_GB2312"/>
          <w:color w:val="auto"/>
          <w:sz w:val="32"/>
          <w:szCs w:val="32"/>
          <w:lang w:eastAsia="zh-CN"/>
        </w:rPr>
        <w:t>目前共</w:t>
      </w:r>
      <w:r>
        <w:rPr>
          <w:rFonts w:hint="eastAsia" w:ascii="仿宋_GB2312" w:hAnsi="仿宋_GB2312" w:eastAsia="仿宋_GB2312" w:cs="仿宋_GB2312"/>
          <w:color w:val="auto"/>
          <w:sz w:val="32"/>
          <w:szCs w:val="32"/>
        </w:rPr>
        <w:t>办理仅销售预包装食品备案事项</w:t>
      </w:r>
      <w:r>
        <w:rPr>
          <w:rFonts w:hint="eastAsia" w:ascii="仿宋_GB2312" w:hAnsi="仿宋_GB2312" w:eastAsia="仿宋_GB2312" w:cs="仿宋_GB2312"/>
          <w:color w:val="auto"/>
          <w:sz w:val="32"/>
          <w:szCs w:val="32"/>
          <w:highlight w:val="none"/>
          <w:lang w:val="en-US" w:eastAsia="zh-CN"/>
        </w:rPr>
        <w:t>579</w:t>
      </w:r>
      <w:r>
        <w:rPr>
          <w:rFonts w:hint="eastAsia" w:ascii="仿宋_GB2312" w:hAnsi="仿宋_GB2312" w:eastAsia="仿宋_GB2312" w:cs="仿宋_GB2312"/>
          <w:color w:val="auto"/>
          <w:sz w:val="32"/>
          <w:szCs w:val="32"/>
        </w:rPr>
        <w:t>件，以告知承诺制审批形式办理食品经营许可事项</w:t>
      </w:r>
      <w:r>
        <w:rPr>
          <w:rFonts w:hint="eastAsia" w:ascii="仿宋_GB2312" w:hAnsi="仿宋_GB2312" w:eastAsia="仿宋_GB2312" w:cs="仿宋_GB2312"/>
          <w:color w:val="auto"/>
          <w:sz w:val="32"/>
          <w:szCs w:val="32"/>
          <w:highlight w:val="none"/>
          <w:lang w:val="en-US" w:eastAsia="zh-CN"/>
        </w:rPr>
        <w:t>319</w:t>
      </w:r>
      <w:r>
        <w:rPr>
          <w:rFonts w:hint="eastAsia" w:ascii="仿宋_GB2312" w:hAnsi="仿宋_GB2312" w:eastAsia="仿宋_GB2312" w:cs="仿宋_GB2312"/>
          <w:color w:val="auto"/>
          <w:sz w:val="32"/>
          <w:szCs w:val="32"/>
        </w:rPr>
        <w:t>件。</w:t>
      </w:r>
    </w:p>
    <w:p w14:paraId="5AD11DEA">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rPr>
        <w:t>深入推进市场主体登记“一网通、一窗办、半日结、零成本”。</w:t>
      </w:r>
      <w:r>
        <w:rPr>
          <w:rFonts w:hint="eastAsia" w:ascii="仿宋_GB2312" w:hAnsi="仿宋_GB2312" w:eastAsia="仿宋_GB2312" w:cs="仿宋_GB2312"/>
          <w:color w:val="auto"/>
          <w:sz w:val="32"/>
          <w:szCs w:val="32"/>
        </w:rPr>
        <w:t>我们进一步</w:t>
      </w:r>
      <w:r>
        <w:rPr>
          <w:rFonts w:hint="eastAsia" w:ascii="仿宋_GB2312" w:hAnsi="仿宋_GB2312" w:eastAsia="仿宋_GB2312" w:cs="仿宋_GB2312"/>
          <w:color w:val="auto"/>
          <w:sz w:val="32"/>
          <w:szCs w:val="32"/>
          <w:shd w:val="clear" w:color="auto" w:fill="FFFFFF"/>
        </w:rPr>
        <w:t>优化服务，</w:t>
      </w:r>
      <w:r>
        <w:rPr>
          <w:rFonts w:hint="eastAsia" w:ascii="仿宋_GB2312" w:hAnsi="仿宋_GB2312" w:eastAsia="仿宋_GB2312" w:cs="仿宋_GB2312"/>
          <w:color w:val="auto"/>
          <w:sz w:val="32"/>
          <w:szCs w:val="32"/>
        </w:rPr>
        <w:t>升级企业开办服务专区功能，构建“一支队伍帮办、一个平台登录、一套材料申请、一个窗口受理、一次结果领取、一个系统评价”为一体的市场准入集成办理机制。将企业开办涉及的企业注册、公章刻制、银行开户、税务Ukey和发票申领、社保登记、公积金开户6个环节全部纳入“开办企业”流程，线上大力推行运用“企业开办全程网办系统”实现一次信息采集、多个结果反馈，线下设置《企业开办线下一表申请单》，整合企业开办各个环节采集信息，在企业登记申请的同时即可完成银行进调，压缩企业开办时限，提升企业办事便利。实现了</w:t>
      </w:r>
      <w:r>
        <w:rPr>
          <w:rFonts w:hint="eastAsia" w:ascii="仿宋_GB2312" w:hAnsi="仿宋_GB2312" w:eastAsia="仿宋_GB2312" w:cs="仿宋_GB2312"/>
          <w:color w:val="auto"/>
          <w:sz w:val="32"/>
          <w:szCs w:val="32"/>
          <w:shd w:val="clear" w:color="auto" w:fill="FFFFFF"/>
        </w:rPr>
        <w:t>企业开办全程免费。</w:t>
      </w:r>
      <w:r>
        <w:rPr>
          <w:rFonts w:hint="eastAsia" w:ascii="仿宋_GB2312" w:hAnsi="仿宋_GB2312" w:eastAsia="仿宋_GB2312" w:cs="仿宋_GB2312"/>
          <w:color w:val="auto"/>
          <w:sz w:val="32"/>
          <w:szCs w:val="32"/>
        </w:rPr>
        <w:t>所有市场主体新开办注册登记、公章刻制、税务</w:t>
      </w:r>
      <w:r>
        <w:rPr>
          <w:rFonts w:hint="eastAsia" w:ascii="仿宋_GB2312" w:hAnsi="仿宋_GB2312" w:eastAsia="仿宋_GB2312" w:cs="仿宋_GB2312"/>
          <w:color w:val="auto"/>
          <w:sz w:val="32"/>
          <w:szCs w:val="32"/>
          <w:lang w:eastAsia="zh-CN"/>
        </w:rPr>
        <w:t>数电票</w:t>
      </w:r>
      <w:r>
        <w:rPr>
          <w:rFonts w:hint="eastAsia" w:ascii="仿宋_GB2312" w:hAnsi="仿宋_GB2312" w:eastAsia="仿宋_GB2312" w:cs="仿宋_GB2312"/>
          <w:color w:val="auto"/>
          <w:sz w:val="32"/>
          <w:szCs w:val="32"/>
        </w:rPr>
        <w:t>、银行开户、证照寄递全程免费。</w:t>
      </w: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rPr>
        <w:t>年以来共为</w:t>
      </w:r>
      <w:r>
        <w:rPr>
          <w:rFonts w:hint="eastAsia" w:ascii="仿宋_GB2312" w:hAnsi="仿宋_GB2312" w:eastAsia="仿宋_GB2312" w:cs="仿宋_GB2312"/>
          <w:color w:val="auto"/>
          <w:sz w:val="32"/>
          <w:szCs w:val="32"/>
          <w:highlight w:val="none"/>
          <w:lang w:val="en-US" w:eastAsia="zh-CN"/>
        </w:rPr>
        <w:t>3005</w:t>
      </w:r>
      <w:r>
        <w:rPr>
          <w:rFonts w:hint="eastAsia" w:ascii="仿宋_GB2312" w:hAnsi="仿宋_GB2312" w:eastAsia="仿宋_GB2312" w:cs="仿宋_GB2312"/>
          <w:color w:val="auto"/>
          <w:sz w:val="32"/>
          <w:szCs w:val="32"/>
        </w:rPr>
        <w:t>户企业（个体工商户）免费刻制公章，约减免费用</w:t>
      </w: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shd w:val="clear" w:color="auto" w:fill="FFFFFF"/>
        </w:rPr>
        <w:t>进一步减轻企业开办负担，助力企业“轻装快跑”。</w:t>
      </w:r>
    </w:p>
    <w:p w14:paraId="1E1EFA51">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实行“一城通办”登记模式。</w:t>
      </w:r>
      <w:r>
        <w:rPr>
          <w:rFonts w:hint="eastAsia" w:ascii="仿宋_GB2312" w:hAnsi="仿宋_GB2312" w:eastAsia="仿宋_GB2312" w:cs="仿宋_GB2312"/>
          <w:color w:val="auto"/>
          <w:sz w:val="32"/>
          <w:szCs w:val="32"/>
        </w:rPr>
        <w:t>在15个乡镇便民服务中心设立了“一城通办”登记专窗，完成了市场主体登记事项的登录账号配置，在集中培训的基础上多次开展现场实践指导教学，加快基层市场主体登记效率，实现“多点可办、就近能办、少跑快办”。</w:t>
      </w:r>
      <w:r>
        <w:rPr>
          <w:rFonts w:hint="eastAsia" w:ascii="仿宋_GB2312" w:hAnsi="仿宋_GB2312" w:eastAsia="仿宋_GB2312" w:cs="仿宋_GB2312"/>
          <w:color w:val="auto"/>
          <w:sz w:val="32"/>
          <w:szCs w:val="32"/>
          <w:lang w:val="en-US" w:eastAsia="zh-CN"/>
        </w:rPr>
        <w:t>截止目前，</w:t>
      </w:r>
      <w:r>
        <w:rPr>
          <w:rFonts w:hint="eastAsia" w:ascii="仿宋_GB2312" w:hAnsi="仿宋_GB2312" w:eastAsia="仿宋_GB2312" w:cs="仿宋_GB2312"/>
          <w:color w:val="auto"/>
          <w:sz w:val="32"/>
          <w:szCs w:val="32"/>
        </w:rPr>
        <w:t>委托授权乡镇便民服务中心完成市场主体登记</w:t>
      </w:r>
      <w:r>
        <w:rPr>
          <w:rFonts w:hint="eastAsia" w:ascii="仿宋_GB2312" w:hAnsi="仿宋_GB2312" w:eastAsia="仿宋_GB2312" w:cs="仿宋_GB2312"/>
          <w:color w:val="auto"/>
          <w:sz w:val="32"/>
          <w:szCs w:val="32"/>
          <w:highlight w:val="none"/>
          <w:lang w:val="en-US" w:eastAsia="zh-CN"/>
        </w:rPr>
        <w:t>8508</w:t>
      </w:r>
      <w:r>
        <w:rPr>
          <w:rFonts w:hint="eastAsia" w:ascii="仿宋_GB2312" w:hAnsi="仿宋_GB2312" w:eastAsia="仿宋_GB2312" w:cs="仿宋_GB2312"/>
          <w:color w:val="auto"/>
          <w:sz w:val="32"/>
          <w:szCs w:val="32"/>
        </w:rPr>
        <w:t>户。</w:t>
      </w:r>
    </w:p>
    <w:p w14:paraId="5CEE90EC">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推行市场主体歇业制、简易注销登记改革。</w:t>
      </w:r>
      <w:r>
        <w:rPr>
          <w:rFonts w:hint="eastAsia" w:ascii="仿宋_GB2312" w:hAnsi="仿宋_GB2312" w:eastAsia="仿宋_GB2312" w:cs="仿宋_GB2312"/>
          <w:color w:val="auto"/>
          <w:sz w:val="32"/>
          <w:szCs w:val="32"/>
        </w:rPr>
        <w:t>积极推行市场主体歇业制，深化企业简易注销改革，</w:t>
      </w: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rPr>
        <w:t>年共办理简易注销</w:t>
      </w:r>
      <w:r>
        <w:rPr>
          <w:rFonts w:hint="eastAsia" w:ascii="仿宋_GB2312" w:hAnsi="仿宋_GB2312" w:eastAsia="仿宋_GB2312" w:cs="仿宋_GB2312"/>
          <w:color w:val="auto"/>
          <w:sz w:val="32"/>
          <w:szCs w:val="32"/>
          <w:highlight w:val="none"/>
          <w:lang w:val="en-US" w:eastAsia="zh-CN"/>
        </w:rPr>
        <w:t>3732</w:t>
      </w:r>
      <w:r>
        <w:rPr>
          <w:rFonts w:hint="eastAsia" w:ascii="仿宋_GB2312" w:hAnsi="仿宋_GB2312" w:eastAsia="仿宋_GB2312" w:cs="仿宋_GB2312"/>
          <w:color w:val="auto"/>
          <w:sz w:val="32"/>
          <w:szCs w:val="32"/>
        </w:rPr>
        <w:t>件，适用代位注销模式办理</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eastAsia="zh-CN"/>
        </w:rPr>
        <w:t>。</w:t>
      </w:r>
    </w:p>
    <w:p w14:paraId="69B17F22">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实行</w:t>
      </w:r>
      <w:r>
        <w:rPr>
          <w:rFonts w:hint="eastAsia" w:ascii="仿宋_GB2312" w:hAnsi="仿宋_GB2312" w:eastAsia="仿宋_GB2312" w:cs="仿宋_GB2312"/>
          <w:b/>
          <w:color w:val="auto"/>
          <w:sz w:val="32"/>
          <w:szCs w:val="32"/>
        </w:rPr>
        <w:t>个体工商户“智能审批”服务。</w:t>
      </w:r>
      <w:r>
        <w:rPr>
          <w:rFonts w:hint="eastAsia" w:ascii="仿宋_GB2312" w:hAnsi="仿宋_GB2312" w:eastAsia="仿宋_GB2312" w:cs="仿宋_GB2312"/>
          <w:color w:val="auto"/>
          <w:sz w:val="32"/>
          <w:szCs w:val="32"/>
        </w:rPr>
        <w:t>依托省个体工商户“智能审批”系统，对小吃店、便利店、水果店、服装店、美容店、建材店、道路运输服务队、养殖场、信息咨询服务部9类高频个体户事项实行智能审批，累计办理了</w:t>
      </w:r>
      <w:r>
        <w:rPr>
          <w:rFonts w:hint="eastAsia" w:ascii="仿宋_GB2312" w:hAnsi="仿宋_GB2312" w:eastAsia="仿宋_GB2312" w:cs="仿宋_GB2312"/>
          <w:color w:val="auto"/>
          <w:sz w:val="32"/>
          <w:szCs w:val="32"/>
          <w:highlight w:val="none"/>
          <w:lang w:val="en-US" w:eastAsia="zh-CN"/>
        </w:rPr>
        <w:t>129</w:t>
      </w:r>
      <w:r>
        <w:rPr>
          <w:rFonts w:hint="eastAsia" w:ascii="仿宋_GB2312" w:hAnsi="仿宋_GB2312" w:eastAsia="仿宋_GB2312" w:cs="仿宋_GB2312"/>
          <w:color w:val="auto"/>
          <w:sz w:val="32"/>
          <w:szCs w:val="32"/>
        </w:rPr>
        <w:t>户，实现“零见面、零跑腿、零干预”。</w:t>
      </w:r>
    </w:p>
    <w:p w14:paraId="081EB207">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提供“证照管家”服务。</w:t>
      </w:r>
      <w:r>
        <w:rPr>
          <w:rFonts w:hint="eastAsia" w:ascii="仿宋_GB2312" w:hAnsi="仿宋_GB2312" w:eastAsia="仿宋_GB2312" w:cs="仿宋_GB2312"/>
          <w:color w:val="auto"/>
          <w:kern w:val="2"/>
          <w:sz w:val="32"/>
          <w:szCs w:val="32"/>
          <w:lang w:val="en-US" w:eastAsia="zh-CN" w:bidi="ar-SA"/>
        </w:rPr>
        <w:t>建立县乡两级“证照管家”服务团队，持续做好辖区新设市场主体登记免费帮办和年报指导工作，持续跟进到期证照提醒服务，提醒证照持有者及时办理延期手续。</w:t>
      </w:r>
      <w:r>
        <w:rPr>
          <w:rFonts w:hint="eastAsia" w:ascii="仿宋_GB2312" w:hAnsi="仿宋_GB2312" w:eastAsia="仿宋_GB2312" w:cs="仿宋_GB2312"/>
          <w:color w:val="auto"/>
          <w:sz w:val="32"/>
          <w:szCs w:val="32"/>
        </w:rPr>
        <w:t>目前已通过阳城政务中心公众号及阳城政务服务网发布了</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rPr>
        <w:t>期公告。</w:t>
      </w:r>
    </w:p>
    <w:p w14:paraId="06543612">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lang w:eastAsia="zh-CN"/>
        </w:rPr>
        <w:t>）强沟通、促协同，</w:t>
      </w:r>
      <w:r>
        <w:rPr>
          <w:rFonts w:hint="eastAsia" w:ascii="楷体_GB2312" w:hAnsi="楷体_GB2312" w:eastAsia="楷体_GB2312" w:cs="楷体_GB2312"/>
          <w:b/>
          <w:bCs/>
          <w:color w:val="auto"/>
          <w:sz w:val="32"/>
          <w:szCs w:val="32"/>
          <w:lang w:val="en-US" w:eastAsia="zh-CN"/>
        </w:rPr>
        <w:t>切实</w:t>
      </w:r>
      <w:r>
        <w:rPr>
          <w:rFonts w:hint="eastAsia" w:ascii="楷体_GB2312" w:hAnsi="楷体_GB2312" w:eastAsia="楷体_GB2312" w:cs="楷体_GB2312"/>
          <w:b/>
          <w:bCs/>
          <w:color w:val="auto"/>
          <w:sz w:val="32"/>
          <w:szCs w:val="32"/>
          <w:lang w:eastAsia="zh-CN"/>
        </w:rPr>
        <w:t>抓好各项整治工作</w:t>
      </w:r>
    </w:p>
    <w:p w14:paraId="70B1FD89">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i w:val="0"/>
          <w:iCs w:val="0"/>
          <w:caps w:val="0"/>
          <w:color w:val="auto"/>
          <w:kern w:val="0"/>
          <w:sz w:val="32"/>
          <w:szCs w:val="32"/>
          <w:shd w:val="clear" w:fill="FFFFFF"/>
          <w:lang w:val="en-US" w:eastAsia="zh-CN" w:bidi="ar-SA"/>
        </w:rPr>
        <w:t>开展“听民意办实事”项目。一是</w:t>
      </w:r>
      <w:r>
        <w:rPr>
          <w:rFonts w:hint="eastAsia" w:ascii="仿宋_GB2312" w:hAnsi="仿宋_GB2312" w:eastAsia="仿宋_GB2312" w:cs="仿宋_GB2312"/>
          <w:b w:val="0"/>
          <w:bCs w:val="0"/>
          <w:i w:val="0"/>
          <w:iCs w:val="0"/>
          <w:caps w:val="0"/>
          <w:color w:val="auto"/>
          <w:kern w:val="0"/>
          <w:sz w:val="32"/>
          <w:szCs w:val="32"/>
          <w:shd w:val="clear" w:fill="FFFFFF"/>
          <w:lang w:val="en-US" w:eastAsia="zh-CN" w:bidi="ar-SA"/>
        </w:rPr>
        <w:t>印发</w:t>
      </w:r>
      <w:r>
        <w:rPr>
          <w:rFonts w:hint="eastAsia" w:ascii="仿宋_GB2312" w:hAnsi="仿宋_GB2312" w:eastAsia="仿宋_GB2312" w:cs="仿宋_GB2312"/>
          <w:color w:val="auto"/>
          <w:sz w:val="32"/>
          <w:szCs w:val="32"/>
          <w:lang w:val="en-US" w:eastAsia="zh-CN"/>
        </w:rPr>
        <w:t>《关于开展纠治审批服务中的“办事难、办事慢、办事繁”问题的工作方案》，集中攻坚破堵点，提升审批服务质效。</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对187项审批事项进行进一步梳理，共减少申请材料148份，减少办事环节61个，减少时间770天，规范简化了审批流程。</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印发《关于开展行政审批政务服务全过程自查自纠工作的通知》，围绕行政审批全过程进行自查自纠，制定相应的整改措施，实时跟踪问效，确保自查自纠工作纵向到底、横向到边、不留死角。</w:t>
      </w:r>
    </w:p>
    <w:p w14:paraId="340E5585">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积极落实黄河流域晋城段水资源开发利用保护情况审计报告整改工作。</w:t>
      </w:r>
      <w:r>
        <w:rPr>
          <w:rFonts w:hint="eastAsia" w:ascii="仿宋_GB2312" w:hAnsi="仿宋_GB2312" w:eastAsia="仿宋_GB2312" w:cs="仿宋_GB2312"/>
          <w:color w:val="auto"/>
          <w:sz w:val="32"/>
          <w:szCs w:val="32"/>
          <w:lang w:val="en-US" w:eastAsia="zh-CN"/>
        </w:rPr>
        <w:t>《山西黄河流域晋城段水资源开发利用保护情况审计报告》反映，我县“十四五”用水总量控制目标为9500万方，截至2022年底，一级用水户许可水量6928.41万方，晋城市向我县分配张峰水库许可水量2841万方，合计9769.41万方，超过“十四五”用水总量控制目标269.41万方。针对这一问题，我局高度重视，克服认识不到位、纪律规矩意识不强等问题，举一反三，真找问题、找准问题、找全问题，对于取水许可审批，我们暂停新增取水审批，对延续许可的用水户，由县水务局重新核实水量，及时核减闲置取水指标，从源头上抓好我县的水资源开发利用保护工作。</w:t>
      </w:r>
    </w:p>
    <w:p w14:paraId="18E3D413">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开展“两不”问题专项整治。</w:t>
      </w:r>
      <w:r>
        <w:rPr>
          <w:rFonts w:hint="eastAsia" w:ascii="仿宋_GB2312" w:hAnsi="仿宋_GB2312" w:eastAsia="仿宋_GB2312" w:cs="仿宋_GB2312"/>
          <w:color w:val="auto"/>
          <w:sz w:val="32"/>
          <w:szCs w:val="32"/>
          <w:lang w:val="en-US" w:eastAsia="zh-CN"/>
        </w:rPr>
        <w:t>开展“新官不理旧账、政策不兑现”问题专项整治，</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全县</w:t>
      </w:r>
      <w:r>
        <w:rPr>
          <w:rFonts w:hint="eastAsia" w:ascii="仿宋_GB2312" w:hAnsi="仿宋_GB2312" w:eastAsia="仿宋_GB2312" w:cs="仿宋_GB2312"/>
          <w:color w:val="auto"/>
          <w:sz w:val="32"/>
          <w:szCs w:val="32"/>
        </w:rPr>
        <w:t>“两不”问题进行全面摸排、积极化解</w:t>
      </w:r>
      <w:r>
        <w:rPr>
          <w:rFonts w:hint="eastAsia" w:ascii="仿宋_GB2312" w:hAnsi="仿宋_GB2312" w:eastAsia="仿宋_GB2312" w:cs="仿宋_GB2312"/>
          <w:color w:val="auto"/>
          <w:kern w:val="2"/>
          <w:sz w:val="32"/>
          <w:szCs w:val="32"/>
          <w:lang w:val="en-US" w:eastAsia="zh-CN" w:bidi="ar-SA"/>
        </w:rPr>
        <w:t>，督促相关单位加大整改力度，加快整改进度，</w:t>
      </w:r>
      <w:r>
        <w:rPr>
          <w:rFonts w:hint="eastAsia" w:ascii="仿宋_GB2312" w:hAnsi="仿宋_GB2312" w:eastAsia="仿宋_GB2312" w:cs="仿宋_GB2312"/>
          <w:b w:val="0"/>
          <w:bCs w:val="0"/>
          <w:color w:val="auto"/>
          <w:kern w:val="2"/>
          <w:sz w:val="32"/>
          <w:szCs w:val="32"/>
          <w:lang w:val="en-US" w:eastAsia="zh-CN" w:bidi="ar-SA"/>
        </w:rPr>
        <w:t>稳妥化解历史旧账、兑现政策承诺</w:t>
      </w:r>
      <w:r>
        <w:rPr>
          <w:rFonts w:hint="eastAsia" w:ascii="仿宋_GB2312" w:hAnsi="仿宋_GB2312" w:eastAsia="仿宋_GB2312" w:cs="仿宋_GB2312"/>
          <w:color w:val="auto"/>
          <w:kern w:val="2"/>
          <w:sz w:val="32"/>
          <w:szCs w:val="32"/>
          <w:lang w:val="en-US" w:eastAsia="zh-CN" w:bidi="ar-SA"/>
        </w:rPr>
        <w:t>。2024年我县彻查清查发现的7个问题</w:t>
      </w:r>
      <w:r>
        <w:rPr>
          <w:rFonts w:hint="eastAsia" w:ascii="仿宋_GB2312" w:hAnsi="仿宋_GB2312" w:eastAsia="仿宋_GB2312" w:cs="仿宋_GB2312"/>
          <w:b w:val="0"/>
          <w:bCs w:val="0"/>
          <w:color w:val="auto"/>
          <w:sz w:val="32"/>
          <w:szCs w:val="32"/>
          <w:lang w:val="en-US" w:eastAsia="zh-CN"/>
        </w:rPr>
        <w:t>已全部化解完毕，兑现政策资金、清偿拖欠民营企业账款共计148.57万元</w:t>
      </w:r>
      <w:r>
        <w:rPr>
          <w:rFonts w:hint="eastAsia" w:ascii="仿宋_GB2312" w:hAnsi="仿宋_GB2312" w:eastAsia="仿宋_GB2312" w:cs="仿宋_GB2312"/>
          <w:b w:val="0"/>
          <w:bCs w:val="0"/>
          <w:color w:val="auto"/>
          <w:kern w:val="2"/>
          <w:sz w:val="32"/>
          <w:szCs w:val="32"/>
          <w:lang w:val="en-US" w:eastAsia="zh-CN" w:bidi="ar-SA"/>
        </w:rPr>
        <w:t>。</w:t>
      </w:r>
    </w:p>
    <w:p w14:paraId="6C892F3D">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二、存在的问题</w:t>
      </w:r>
    </w:p>
    <w:p w14:paraId="456B99E8">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（一）信息壁垒需进一步打破。</w:t>
      </w:r>
      <w:r>
        <w:rPr>
          <w:rFonts w:hint="eastAsia" w:ascii="仿宋_GB2312" w:hAnsi="仿宋_GB2312" w:eastAsia="仿宋_GB2312" w:cs="仿宋_GB2312"/>
          <w:color w:val="auto"/>
          <w:sz w:val="32"/>
          <w:szCs w:val="32"/>
          <w:lang w:val="en-US" w:eastAsia="zh-CN"/>
        </w:rPr>
        <w:t>目前各部门均建有各自的信息系统，甚至同一部门的不同股室也有相对独立的信息系统，而这些系统之间往往互不相容，存在“信息壁垒”,同时国家数据共享平台尚未完全建成，省、市、县数据平台之间并未互联互通，导致在办理行政审批事项时，需要重复录入相关信息，造成资源浪费且严重影响办事效率。</w:t>
      </w:r>
    </w:p>
    <w:p w14:paraId="341B1CFA">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（二）政务信息化程度还需进一步提升。</w:t>
      </w:r>
      <w:r>
        <w:rPr>
          <w:rFonts w:hint="eastAsia" w:ascii="仿宋_GB2312" w:hAnsi="仿宋_GB2312" w:eastAsia="仿宋_GB2312" w:cs="仿宋_GB2312"/>
          <w:color w:val="auto"/>
          <w:sz w:val="32"/>
          <w:szCs w:val="32"/>
          <w:lang w:val="en-US" w:eastAsia="zh-CN"/>
        </w:rPr>
        <w:t>数字政府建设滞后，“一网通办”比例不高，部分便民服务事项不能全程网办，在实现“让信息多跑路、群众少跑腿”目标上还有差距。</w:t>
      </w:r>
    </w:p>
    <w:p w14:paraId="69940A15">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（三）在营商环境工作牵头协调上还有困难。</w:t>
      </w:r>
      <w:r>
        <w:rPr>
          <w:rFonts w:hint="eastAsia" w:ascii="仿宋_GB2312" w:hAnsi="仿宋_GB2312" w:eastAsia="仿宋_GB2312" w:cs="仿宋_GB2312"/>
          <w:color w:val="auto"/>
          <w:sz w:val="32"/>
          <w:szCs w:val="32"/>
          <w:lang w:val="en-US" w:eastAsia="zh-CN"/>
        </w:rPr>
        <w:t>审批局作为优化营商环境、审批制度改革的牵头部门，在处理各方利益、协调各方工作、统筹各项事务中客观存在困难，各单位营商环境所涉任务配合程度、政务服务办事指南准确度、政务数据资源目录录入量等还有差距。</w:t>
      </w:r>
    </w:p>
    <w:p w14:paraId="1E731831">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（四）改革措施宣传力度仍需加强。</w:t>
      </w:r>
      <w:r>
        <w:rPr>
          <w:rFonts w:hint="eastAsia" w:ascii="仿宋_GB2312" w:hAnsi="仿宋_GB2312" w:eastAsia="仿宋_GB2312" w:cs="仿宋_GB2312"/>
          <w:color w:val="auto"/>
          <w:kern w:val="2"/>
          <w:sz w:val="32"/>
          <w:szCs w:val="32"/>
          <w:lang w:val="en-US" w:eastAsia="zh-CN" w:bidi="ar-SA"/>
        </w:rPr>
        <w:t>虽然扎实推进深化“放管服”改革、优化营商环境、政务服务改革、行政审批制度改革、工程建设项目审批制度改革等各项改革工作，并创新推出一系列改革措施，但是宣传改革措施形式单一，主要依靠信息宣传、电子屏宣传等，企业和群众对创新改革措施的知晓率有待提高。</w:t>
      </w:r>
    </w:p>
    <w:p w14:paraId="7C2082A1">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（五）审管联动需持续加强。</w:t>
      </w:r>
      <w:r>
        <w:rPr>
          <w:rFonts w:hint="eastAsia" w:ascii="仿宋_GB2312" w:hAnsi="仿宋_GB2312" w:eastAsia="仿宋_GB2312" w:cs="仿宋_GB2312"/>
          <w:color w:val="auto"/>
          <w:kern w:val="2"/>
          <w:sz w:val="32"/>
          <w:szCs w:val="32"/>
          <w:lang w:val="en-US" w:eastAsia="zh-CN" w:bidi="ar-SA"/>
        </w:rPr>
        <w:t>尽管上级部门多次强调在取消和下放权力的同时要加强事中事后监管，但一些部门仍然存在“以审批代替监管”的思想，需加大对市场主体及从业行为事中事后监管工作。</w:t>
      </w:r>
    </w:p>
    <w:p w14:paraId="707E22F7">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（六）帮办队伍稳定性不强，服务提升空间不大。</w:t>
      </w:r>
      <w:r>
        <w:rPr>
          <w:rFonts w:hint="eastAsia" w:ascii="仿宋_GB2312" w:hAnsi="仿宋_GB2312" w:eastAsia="仿宋_GB2312" w:cs="仿宋_GB2312"/>
          <w:color w:val="auto"/>
          <w:kern w:val="2"/>
          <w:sz w:val="32"/>
          <w:szCs w:val="32"/>
          <w:lang w:val="en-US" w:eastAsia="zh-CN" w:bidi="ar-SA"/>
        </w:rPr>
        <w:t>企业开办专区免费帮办队伍由刻章、代理记账、银行等社会人员组成，工作环境差，工作强度大，长期在“聚光灯”下工作，精神始终保持高度紧张，心理压力大，薪酬不高。导致人员流动性大，换人相对频繁，无法长期保持一个固定的帮办队伍班底，培养出的骨干力量无法保留。加上政府帮办力量缺失，造成免费帮办专业化程度停滞不前，服务品质和品牌形象无法得到一个质的提升。</w:t>
      </w:r>
    </w:p>
    <w:p w14:paraId="3BEBD8FE">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三、2025年工作计划</w:t>
      </w:r>
    </w:p>
    <w:p w14:paraId="446520A0">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（一）坚定信心定力，全面加强党的建设。</w:t>
      </w:r>
      <w:r>
        <w:rPr>
          <w:rFonts w:hint="eastAsia" w:ascii="仿宋_GB2312" w:hAnsi="仿宋_GB2312" w:eastAsia="仿宋_GB2312" w:cs="仿宋_GB2312"/>
          <w:color w:val="auto"/>
          <w:sz w:val="32"/>
          <w:szCs w:val="32"/>
          <w:lang w:val="en-US" w:eastAsia="zh-CN"/>
        </w:rPr>
        <w:t>坚持“以党建促业务，以业务强党建”的思路，推动党建与行政审批工作深度融合。</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夯实党建基础。按照“支部建在窗口上、先锋亮在岗位上”的工作思路，增强党组织的凝聚力、向心力和战斗力。</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擦亮党建品牌。围绕优化企业开办、优化工程建设项目审批、优化营商环境评价等重点工作，将党建品牌创建和改革专项行动有机结合，争取推出有影响力的改革实践样本。</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彰显党建优势。充分调动全体干部职工干事创业激情，营造奋勇争先、不甘平庸的良好氛围，在全体行政审批干部中开展“党员示范岗”“文明服务示范岗”评比活动，引导大家主动对齐标杆，虚心治学，推动审批服务提质增效。</w:t>
      </w:r>
    </w:p>
    <w:p w14:paraId="504C4226">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（二）坚持稳中求进，扎实推进审批改革。</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进一步推进政务大厅“综窗改革”。按照“前台综合受理、后台分类审批、统一窗口出件”的审批服务模式，在已实现分区域推行审批事项实现综窗接件的基础上，进一步优化完善内部流程运转机制，提升“综窗”运行效率，切实提升企业和群众办事便捷度和满意度。</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建立审管联动机制。理顺行政审批局与行业主管部门、监管部门、执法机构等相关部门之间的权责关系明确审批和监管部门的职能界定与划分,将审批后的行政许可事项及时推送相关部门，通过审批、监管信息双推送，建立事项业务申报、受理办理、事前事中事后全过程监管的全流程闭环体系。</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进一步提升政务服务事项标准化。对省、市、县三级行政许可事项清单内的事项逐项制定行政许可实施规范，推动线上线下融合、事项清单一致、实施要件统一、办事指南同源，实现同一事项在同层级同要素管理、同标准办理。</w:t>
      </w:r>
    </w:p>
    <w:p w14:paraId="734C41AA">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（三）继续深入开展“我陪群众走流程”专项活动。</w:t>
      </w:r>
      <w:r>
        <w:rPr>
          <w:rFonts w:hint="eastAsia" w:ascii="仿宋_GB2312" w:hAnsi="仿宋_GB2312" w:eastAsia="仿宋_GB2312" w:cs="仿宋_GB2312"/>
          <w:color w:val="auto"/>
          <w:sz w:val="32"/>
          <w:szCs w:val="32"/>
          <w:lang w:val="en-US" w:eastAsia="zh-CN"/>
        </w:rPr>
        <w:t>以“走流程”检查集成办工作成效，持续推动业务整合和流程再造，强化线上线下联动审批，优化县乡村联动工作机制，以县乡村一体共同推进政务服务优化落实落地。同时将聚焦企业群众办理频次多、关注度高的政务服务事项，打造定制化、套餐式、模块化的“我陪群众走流程”场景，为企业和办事群众提供精准化、个性化的优质衍生服务，助力我县营商环境持续优化。</w:t>
      </w:r>
    </w:p>
    <w:p w14:paraId="7995034E">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（四）健全“高效办成一件事”常态化推进机制。</w:t>
      </w:r>
      <w:r>
        <w:rPr>
          <w:rFonts w:hint="eastAsia" w:ascii="仿宋_GB2312" w:hAnsi="仿宋_GB2312" w:eastAsia="仿宋_GB2312" w:cs="仿宋_GB2312"/>
          <w:color w:val="auto"/>
          <w:sz w:val="32"/>
          <w:szCs w:val="32"/>
          <w:lang w:val="en-US" w:eastAsia="zh-CN"/>
        </w:rPr>
        <w:t>推动线上线下政务服务能力整体提升，对照国务院“个人事项一件事”清单，继续深入推进新生儿出生、教育入学、社保卡居民服务、残疾人服务、退休等多项“一件事”套餐落实。明确每个“一件事”的牵头部门和配合部门及各自职责，强化跨部门政策、业务、系统协同和数据共享。重构跨部门办理业务流程，强化线上线下联动，优化前后置环节，推动申请表单多表合一、线上一网申请、材料一次提交，大幅压减办理时长和办事成本。</w:t>
      </w:r>
    </w:p>
    <w:p w14:paraId="58FB676C">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（五）扎实推进“一个平台管交易”。</w:t>
      </w:r>
      <w:r>
        <w:rPr>
          <w:rFonts w:hint="eastAsia" w:ascii="仿宋_GB2312" w:hAnsi="仿宋_GB2312" w:eastAsia="仿宋_GB2312" w:cs="仿宋_GB2312"/>
          <w:color w:val="auto"/>
          <w:sz w:val="32"/>
          <w:szCs w:val="32"/>
          <w:lang w:val="en-US" w:eastAsia="zh-CN"/>
        </w:rPr>
        <w:t>按照省、市有关文件要求和进度安排，持续推进公共资源交易平台整合共享，结合中心实际情况合理规划，高标准开展交易场所改造。优化设置各功能区域，为目录内交易项目进场提供必要支撑。在此基础上，推进场地管理向智能化迈进，引入全方位监控监督系统、评标信息推送系统、专家人脸识别系统、评标区智能门禁管理系统、专家轨迹定位系统和专家对讲系统等，达到更优更便捷的开评标过程管控，实现场地管理智能化、监督手段智慧化、预警信息及时化。</w:t>
      </w:r>
    </w:p>
    <w:p w14:paraId="7BCD0A69">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微软雅黑" w:eastAsia="仿宋_GB2312" w:cs="仿宋_GB2312"/>
          <w:i w:val="0"/>
          <w:iCs w:val="0"/>
          <w:caps w:val="0"/>
          <w:color w:val="auto"/>
          <w:spacing w:val="0"/>
          <w:sz w:val="32"/>
          <w:szCs w:val="32"/>
          <w:shd w:val="clear" w:fill="FFFFFF"/>
          <w:lang w:eastAsia="zh-CN"/>
        </w:rPr>
      </w:pPr>
      <w:r>
        <w:rPr>
          <w:rFonts w:hint="eastAsia" w:ascii="楷体_GB2312" w:hAnsi="楷体_GB2312" w:eastAsia="楷体_GB2312" w:cs="楷体_GB2312"/>
          <w:b/>
          <w:bCs/>
          <w:color w:val="auto"/>
          <w:sz w:val="32"/>
          <w:szCs w:val="32"/>
          <w:lang w:val="en-US" w:eastAsia="zh-CN"/>
        </w:rPr>
        <w:t>（六）</w:t>
      </w:r>
      <w:r>
        <w:rPr>
          <w:rFonts w:hint="eastAsia" w:ascii="楷体_GB2312" w:hAnsi="楷体_GB2312" w:eastAsia="楷体_GB2312" w:cs="楷体_GB2312"/>
          <w:b/>
          <w:bCs/>
          <w:color w:val="auto"/>
          <w:sz w:val="32"/>
          <w:szCs w:val="32"/>
          <w:lang w:eastAsia="zh-CN"/>
        </w:rPr>
        <w:t>优化市场准入，让市场活力迸发。</w:t>
      </w:r>
      <w:r>
        <w:rPr>
          <w:rFonts w:hint="eastAsia" w:ascii="仿宋_GB2312" w:hAnsi="微软雅黑" w:eastAsia="仿宋_GB2312" w:cs="仿宋_GB2312"/>
          <w:i w:val="0"/>
          <w:iCs w:val="0"/>
          <w:caps w:val="0"/>
          <w:color w:val="auto"/>
          <w:spacing w:val="0"/>
          <w:sz w:val="32"/>
          <w:szCs w:val="32"/>
          <w:shd w:val="clear" w:fill="FFFFFF"/>
        </w:rPr>
        <w:t>深化商事制度改革，以</w:t>
      </w:r>
      <w:r>
        <w:rPr>
          <w:rFonts w:hint="eastAsia" w:ascii="仿宋_GB2312" w:hAnsi="微软雅黑" w:eastAsia="仿宋_GB2312" w:cs="仿宋_GB2312"/>
          <w:i w:val="0"/>
          <w:iCs w:val="0"/>
          <w:caps w:val="0"/>
          <w:color w:val="auto"/>
          <w:spacing w:val="0"/>
          <w:sz w:val="32"/>
          <w:szCs w:val="32"/>
          <w:shd w:val="clear" w:fill="FFFFFF"/>
          <w:lang w:eastAsia="zh-CN"/>
        </w:rPr>
        <w:t>持续优化</w:t>
      </w:r>
      <w:r>
        <w:rPr>
          <w:rFonts w:hint="eastAsia" w:ascii="仿宋_GB2312" w:hAnsi="微软雅黑" w:eastAsia="仿宋_GB2312" w:cs="仿宋_GB2312"/>
          <w:i w:val="0"/>
          <w:iCs w:val="0"/>
          <w:caps w:val="0"/>
          <w:color w:val="auto"/>
          <w:spacing w:val="0"/>
          <w:sz w:val="32"/>
          <w:szCs w:val="32"/>
          <w:shd w:val="clear" w:fill="FFFFFF"/>
        </w:rPr>
        <w:t>企业开办为核心，以“证照分离”“住所申报承诺制”“一网通办”</w:t>
      </w:r>
      <w:r>
        <w:rPr>
          <w:rFonts w:hint="eastAsia" w:ascii="仿宋_GB2312" w:hAnsi="微软雅黑" w:eastAsia="仿宋_GB2312" w:cs="仿宋_GB2312"/>
          <w:i w:val="0"/>
          <w:iCs w:val="0"/>
          <w:caps w:val="0"/>
          <w:color w:val="auto"/>
          <w:spacing w:val="0"/>
          <w:sz w:val="32"/>
          <w:szCs w:val="32"/>
          <w:shd w:val="clear" w:fill="FFFFFF"/>
          <w:lang w:eastAsia="zh-CN"/>
        </w:rPr>
        <w:t>“免费帮办”</w:t>
      </w:r>
      <w:r>
        <w:rPr>
          <w:rFonts w:hint="eastAsia" w:ascii="仿宋_GB2312" w:hAnsi="微软雅黑" w:eastAsia="仿宋_GB2312" w:cs="仿宋_GB2312"/>
          <w:i w:val="0"/>
          <w:iCs w:val="0"/>
          <w:caps w:val="0"/>
          <w:color w:val="auto"/>
          <w:spacing w:val="0"/>
          <w:sz w:val="32"/>
          <w:szCs w:val="32"/>
          <w:shd w:val="clear" w:fill="FFFFFF"/>
        </w:rPr>
        <w:t>等一系列改革</w:t>
      </w:r>
      <w:r>
        <w:rPr>
          <w:rFonts w:hint="eastAsia" w:ascii="仿宋_GB2312" w:hAnsi="微软雅黑" w:eastAsia="仿宋_GB2312" w:cs="仿宋_GB2312"/>
          <w:i w:val="0"/>
          <w:iCs w:val="0"/>
          <w:caps w:val="0"/>
          <w:color w:val="auto"/>
          <w:spacing w:val="0"/>
          <w:sz w:val="32"/>
          <w:szCs w:val="32"/>
          <w:shd w:val="clear" w:fill="FFFFFF"/>
          <w:lang w:eastAsia="zh-CN"/>
        </w:rPr>
        <w:t>服务</w:t>
      </w:r>
      <w:r>
        <w:rPr>
          <w:rFonts w:hint="eastAsia" w:ascii="仿宋_GB2312" w:hAnsi="微软雅黑" w:eastAsia="仿宋_GB2312" w:cs="仿宋_GB2312"/>
          <w:i w:val="0"/>
          <w:iCs w:val="0"/>
          <w:caps w:val="0"/>
          <w:color w:val="auto"/>
          <w:spacing w:val="0"/>
          <w:sz w:val="32"/>
          <w:szCs w:val="32"/>
          <w:shd w:val="clear" w:fill="FFFFFF"/>
        </w:rPr>
        <w:t>举措为抓手，努力营造“审批更少、流程更优、效率更高、服务更好”的</w:t>
      </w:r>
      <w:r>
        <w:rPr>
          <w:rFonts w:hint="eastAsia" w:ascii="仿宋_GB2312" w:hAnsi="微软雅黑" w:eastAsia="仿宋_GB2312" w:cs="仿宋_GB2312"/>
          <w:i w:val="0"/>
          <w:iCs w:val="0"/>
          <w:caps w:val="0"/>
          <w:color w:val="auto"/>
          <w:spacing w:val="0"/>
          <w:sz w:val="32"/>
          <w:szCs w:val="32"/>
          <w:shd w:val="clear" w:fill="FFFFFF"/>
          <w:lang w:eastAsia="zh-CN"/>
        </w:rPr>
        <w:t>市场准入</w:t>
      </w:r>
      <w:r>
        <w:rPr>
          <w:rFonts w:hint="eastAsia" w:ascii="仿宋_GB2312" w:hAnsi="微软雅黑" w:eastAsia="仿宋_GB2312" w:cs="仿宋_GB2312"/>
          <w:i w:val="0"/>
          <w:iCs w:val="0"/>
          <w:caps w:val="0"/>
          <w:color w:val="auto"/>
          <w:spacing w:val="0"/>
          <w:sz w:val="32"/>
          <w:szCs w:val="32"/>
          <w:shd w:val="clear" w:fill="FFFFFF"/>
        </w:rPr>
        <w:t>环境，进一步激发市场主体活力</w:t>
      </w:r>
      <w:r>
        <w:rPr>
          <w:rFonts w:hint="eastAsia" w:ascii="仿宋_GB2312" w:hAnsi="微软雅黑" w:eastAsia="仿宋_GB2312" w:cs="仿宋_GB2312"/>
          <w:i w:val="0"/>
          <w:iCs w:val="0"/>
          <w:caps w:val="0"/>
          <w:color w:val="auto"/>
          <w:spacing w:val="0"/>
          <w:sz w:val="32"/>
          <w:szCs w:val="32"/>
          <w:shd w:val="clear" w:fill="FFFFFF"/>
          <w:lang w:eastAsia="zh-CN"/>
        </w:rPr>
        <w:t>。聚焦高效服务企业登记，</w:t>
      </w:r>
      <w:r>
        <w:rPr>
          <w:rFonts w:hint="eastAsia" w:ascii="仿宋_GB2312" w:hAnsi="微软雅黑" w:eastAsia="仿宋_GB2312" w:cs="仿宋_GB2312"/>
          <w:b/>
          <w:bCs/>
          <w:i w:val="0"/>
          <w:iCs w:val="0"/>
          <w:caps w:val="0"/>
          <w:color w:val="auto"/>
          <w:spacing w:val="0"/>
          <w:sz w:val="32"/>
          <w:szCs w:val="32"/>
          <w:shd w:val="clear" w:fill="FFFFFF"/>
          <w:lang w:eastAsia="zh-CN"/>
        </w:rPr>
        <w:t>一是</w:t>
      </w:r>
      <w:r>
        <w:rPr>
          <w:rFonts w:hint="eastAsia" w:ascii="仿宋_GB2312" w:hAnsi="微软雅黑" w:eastAsia="仿宋_GB2312" w:cs="仿宋_GB2312"/>
          <w:i w:val="0"/>
          <w:iCs w:val="0"/>
          <w:caps w:val="0"/>
          <w:color w:val="auto"/>
          <w:spacing w:val="0"/>
          <w:sz w:val="32"/>
          <w:szCs w:val="32"/>
          <w:shd w:val="clear" w:fill="FFFFFF"/>
          <w:lang w:eastAsia="zh-CN"/>
        </w:rPr>
        <w:t>融入和服务全国统一大市场工作，除法律法规明确规定外，不得要求企业必须在某地登记注册，不得为企业跨区域迁移设置障碍。</w:t>
      </w:r>
      <w:r>
        <w:rPr>
          <w:rFonts w:hint="eastAsia" w:ascii="仿宋_GB2312" w:hAnsi="微软雅黑" w:eastAsia="仿宋_GB2312" w:cs="仿宋_GB2312"/>
          <w:b/>
          <w:bCs/>
          <w:i w:val="0"/>
          <w:iCs w:val="0"/>
          <w:caps w:val="0"/>
          <w:color w:val="auto"/>
          <w:spacing w:val="0"/>
          <w:sz w:val="32"/>
          <w:szCs w:val="32"/>
          <w:shd w:val="clear" w:fill="FFFFFF"/>
          <w:lang w:eastAsia="zh-CN"/>
        </w:rPr>
        <w:t>二是</w:t>
      </w:r>
      <w:r>
        <w:rPr>
          <w:rFonts w:hint="eastAsia" w:ascii="仿宋_GB2312" w:hAnsi="微软雅黑" w:eastAsia="仿宋_GB2312" w:cs="仿宋_GB2312"/>
          <w:i w:val="0"/>
          <w:iCs w:val="0"/>
          <w:caps w:val="0"/>
          <w:color w:val="auto"/>
          <w:spacing w:val="0"/>
          <w:sz w:val="32"/>
          <w:szCs w:val="32"/>
          <w:shd w:val="clear" w:fill="FFFFFF"/>
          <w:lang w:eastAsia="zh-CN"/>
        </w:rPr>
        <w:t>巩固企业开办"一网通、一窗办、半日结、零成本"改革成果，为企业提供流程更优、成本更低的登记服务。</w:t>
      </w:r>
      <w:r>
        <w:rPr>
          <w:rFonts w:hint="eastAsia" w:ascii="仿宋_GB2312" w:hAnsi="微软雅黑" w:eastAsia="仿宋_GB2312" w:cs="仿宋_GB2312"/>
          <w:b/>
          <w:bCs/>
          <w:i w:val="0"/>
          <w:iCs w:val="0"/>
          <w:caps w:val="0"/>
          <w:color w:val="auto"/>
          <w:spacing w:val="0"/>
          <w:sz w:val="32"/>
          <w:szCs w:val="32"/>
          <w:shd w:val="clear" w:fill="FFFFFF"/>
          <w:lang w:eastAsia="zh-CN"/>
        </w:rPr>
        <w:t>三是</w:t>
      </w:r>
      <w:r>
        <w:rPr>
          <w:rFonts w:hint="eastAsia" w:ascii="仿宋_GB2312" w:hAnsi="微软雅黑" w:eastAsia="仿宋_GB2312" w:cs="仿宋_GB2312"/>
          <w:i w:val="0"/>
          <w:iCs w:val="0"/>
          <w:caps w:val="0"/>
          <w:color w:val="auto"/>
          <w:spacing w:val="0"/>
          <w:sz w:val="32"/>
          <w:szCs w:val="32"/>
          <w:shd w:val="clear" w:fill="FFFFFF"/>
          <w:lang w:eastAsia="zh-CN"/>
        </w:rPr>
        <w:t>推动落实新《公司法》注册资本认缴制改革，指导公司依法便捷调整出资期限和数额。</w:t>
      </w:r>
      <w:r>
        <w:rPr>
          <w:rFonts w:hint="eastAsia" w:ascii="仿宋_GB2312" w:hAnsi="微软雅黑" w:eastAsia="仿宋_GB2312" w:cs="仿宋_GB2312"/>
          <w:b/>
          <w:bCs/>
          <w:i w:val="0"/>
          <w:iCs w:val="0"/>
          <w:caps w:val="0"/>
          <w:color w:val="auto"/>
          <w:spacing w:val="0"/>
          <w:sz w:val="32"/>
          <w:szCs w:val="32"/>
          <w:shd w:val="clear" w:fill="FFFFFF"/>
          <w:lang w:eastAsia="zh-CN"/>
        </w:rPr>
        <w:t>四是</w:t>
      </w:r>
      <w:r>
        <w:rPr>
          <w:rFonts w:hint="eastAsia" w:ascii="仿宋_GB2312" w:hAnsi="微软雅黑" w:eastAsia="仿宋_GB2312" w:cs="仿宋_GB2312"/>
          <w:i w:val="0"/>
          <w:iCs w:val="0"/>
          <w:caps w:val="0"/>
          <w:color w:val="auto"/>
          <w:spacing w:val="0"/>
          <w:sz w:val="32"/>
          <w:szCs w:val="32"/>
          <w:shd w:val="clear" w:fill="FFFFFF"/>
          <w:lang w:eastAsia="zh-CN"/>
        </w:rPr>
        <w:t>深化经营主体住所（经营场所）改革，有效释放场地资源。</w:t>
      </w:r>
      <w:r>
        <w:rPr>
          <w:rFonts w:hint="eastAsia" w:ascii="仿宋_GB2312" w:hAnsi="微软雅黑" w:eastAsia="仿宋_GB2312" w:cs="仿宋_GB2312"/>
          <w:b/>
          <w:bCs/>
          <w:i w:val="0"/>
          <w:iCs w:val="0"/>
          <w:caps w:val="0"/>
          <w:color w:val="auto"/>
          <w:spacing w:val="0"/>
          <w:sz w:val="32"/>
          <w:szCs w:val="32"/>
          <w:shd w:val="clear" w:fill="FFFFFF"/>
          <w:lang w:eastAsia="zh-CN"/>
        </w:rPr>
        <w:t>五是</w:t>
      </w:r>
      <w:r>
        <w:rPr>
          <w:rFonts w:hint="eastAsia" w:ascii="仿宋_GB2312" w:hAnsi="微软雅黑" w:eastAsia="仿宋_GB2312" w:cs="仿宋_GB2312"/>
          <w:i w:val="0"/>
          <w:iCs w:val="0"/>
          <w:caps w:val="0"/>
          <w:color w:val="auto"/>
          <w:spacing w:val="0"/>
          <w:sz w:val="32"/>
          <w:szCs w:val="32"/>
          <w:shd w:val="clear" w:fill="FFFFFF"/>
          <w:lang w:eastAsia="zh-CN"/>
        </w:rPr>
        <w:t>严格执行市场主体登记管理条例及其实施细则，贯彻落实全国统一的经营主体登记规范和审查标准，引导企业依法理性申报名称。六是受益所有人信息备案工作，督促经营主体及时备案受益所有人信息，对未按规定办理备案的相关主体依法进行处理。</w:t>
      </w:r>
    </w:p>
    <w:p w14:paraId="3BC15B7D">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sz w:val="32"/>
          <w:szCs w:val="32"/>
          <w:lang w:val="en-US" w:eastAsia="zh-CN"/>
        </w:rPr>
      </w:pPr>
    </w:p>
    <w:p w14:paraId="0F0D1826">
      <w:pPr>
        <w:pStyle w:val="6"/>
        <w:keepNext w:val="0"/>
        <w:keepLines w:val="0"/>
        <w:pageBreakBefore w:val="0"/>
        <w:widowControl w:val="0"/>
        <w:kinsoku/>
        <w:wordWrap/>
        <w:overflowPunct/>
        <w:topLinePunct w:val="0"/>
        <w:autoSpaceDE/>
        <w:autoSpaceDN/>
        <w:bidi w:val="0"/>
        <w:spacing w:line="560" w:lineRule="exact"/>
        <w:ind w:firstLine="3520" w:firstLineChars="1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阳城县行政审批服务管理局</w:t>
      </w:r>
    </w:p>
    <w:p w14:paraId="00B58702">
      <w:pPr>
        <w:pStyle w:val="6"/>
        <w:keepNext w:val="0"/>
        <w:keepLines w:val="0"/>
        <w:pageBreakBefore w:val="0"/>
        <w:widowControl w:val="0"/>
        <w:kinsoku/>
        <w:wordWrap/>
        <w:overflowPunct/>
        <w:topLinePunct w:val="0"/>
        <w:autoSpaceDE/>
        <w:autoSpaceDN/>
        <w:bidi w:val="0"/>
        <w:spacing w:line="560" w:lineRule="exact"/>
        <w:ind w:firstLine="4160" w:firstLineChars="13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2024年11月21日</w:t>
      </w:r>
    </w:p>
    <w:p w14:paraId="56045C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魏碑">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DC21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2664460</wp:posOffset>
              </wp:positionH>
              <wp:positionV relativeFrom="paragraph">
                <wp:posOffset>-71755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08214">
                          <w:pPr>
                            <w:pStyle w:val="11"/>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8pt;margin-top:-5.65pt;height:144pt;width:144pt;mso-position-horizontal-relative:margin;mso-wrap-style:none;z-index:251659264;mso-width-relative:page;mso-height-relative:page;" filled="f" stroked="f" coordsize="21600,21600" o:gfxdata="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RHcEN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5E108214">
                    <w:pPr>
                      <w:pStyle w:val="11"/>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4209D"/>
    <w:multiLevelType w:val="singleLevel"/>
    <w:tmpl w:val="D4E4209D"/>
    <w:lvl w:ilvl="0" w:tentative="0">
      <w:start w:val="4"/>
      <w:numFmt w:val="chineseCounting"/>
      <w:suff w:val="nothing"/>
      <w:lvlText w:val="（%1）"/>
      <w:lvlJc w:val="left"/>
      <w:rPr>
        <w:rFonts w:hint="eastAsia"/>
      </w:rPr>
    </w:lvl>
  </w:abstractNum>
  <w:abstractNum w:abstractNumId="1">
    <w:nsid w:val="799293B0"/>
    <w:multiLevelType w:val="multilevel"/>
    <w:tmpl w:val="799293B0"/>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OTBkY2U0ODg2MmU1NDFiMzQ0YWUxN2UyMDFlMTgifQ=="/>
  </w:docVars>
  <w:rsids>
    <w:rsidRoot w:val="65D32D0E"/>
    <w:rsid w:val="00BC3A1F"/>
    <w:rsid w:val="016C0FA1"/>
    <w:rsid w:val="04BE76D1"/>
    <w:rsid w:val="07091040"/>
    <w:rsid w:val="08732C15"/>
    <w:rsid w:val="08BD0334"/>
    <w:rsid w:val="08E81A21"/>
    <w:rsid w:val="09093579"/>
    <w:rsid w:val="09896468"/>
    <w:rsid w:val="0A3B36EA"/>
    <w:rsid w:val="0A56459C"/>
    <w:rsid w:val="0B09160F"/>
    <w:rsid w:val="0C170752"/>
    <w:rsid w:val="0D662D48"/>
    <w:rsid w:val="0F4946D0"/>
    <w:rsid w:val="0FBA256A"/>
    <w:rsid w:val="10A10E9D"/>
    <w:rsid w:val="11333889"/>
    <w:rsid w:val="13E6604D"/>
    <w:rsid w:val="14171240"/>
    <w:rsid w:val="17BB0135"/>
    <w:rsid w:val="18835749"/>
    <w:rsid w:val="18B03A11"/>
    <w:rsid w:val="18E00C35"/>
    <w:rsid w:val="196F567B"/>
    <w:rsid w:val="1A366198"/>
    <w:rsid w:val="1B6805D3"/>
    <w:rsid w:val="1B900157"/>
    <w:rsid w:val="1FAB1453"/>
    <w:rsid w:val="20360CA0"/>
    <w:rsid w:val="22364F87"/>
    <w:rsid w:val="24961D0D"/>
    <w:rsid w:val="24FD3B3B"/>
    <w:rsid w:val="269E134D"/>
    <w:rsid w:val="2BEB3C69"/>
    <w:rsid w:val="2E0777D8"/>
    <w:rsid w:val="32FF3174"/>
    <w:rsid w:val="33FB7DDF"/>
    <w:rsid w:val="343B15F3"/>
    <w:rsid w:val="38657F1D"/>
    <w:rsid w:val="3B0C4680"/>
    <w:rsid w:val="3B9308FD"/>
    <w:rsid w:val="3E1F7437"/>
    <w:rsid w:val="3FA05806"/>
    <w:rsid w:val="3FB35A12"/>
    <w:rsid w:val="40CB28E7"/>
    <w:rsid w:val="435B43F6"/>
    <w:rsid w:val="441D16AC"/>
    <w:rsid w:val="447E2307"/>
    <w:rsid w:val="45124F88"/>
    <w:rsid w:val="45D40490"/>
    <w:rsid w:val="45F72D0F"/>
    <w:rsid w:val="474A5616"/>
    <w:rsid w:val="48D22655"/>
    <w:rsid w:val="48EE7ABB"/>
    <w:rsid w:val="497D499A"/>
    <w:rsid w:val="4AB368C6"/>
    <w:rsid w:val="4B683B54"/>
    <w:rsid w:val="4BDE7972"/>
    <w:rsid w:val="4C742085"/>
    <w:rsid w:val="4CB26ADE"/>
    <w:rsid w:val="4F275AD4"/>
    <w:rsid w:val="5080549C"/>
    <w:rsid w:val="54136627"/>
    <w:rsid w:val="56FC7846"/>
    <w:rsid w:val="599E1BC2"/>
    <w:rsid w:val="5A93401E"/>
    <w:rsid w:val="5ADC7773"/>
    <w:rsid w:val="5CDE306E"/>
    <w:rsid w:val="5E3839F1"/>
    <w:rsid w:val="5E783C56"/>
    <w:rsid w:val="5F5E14A7"/>
    <w:rsid w:val="5F797A54"/>
    <w:rsid w:val="61273712"/>
    <w:rsid w:val="62A3326C"/>
    <w:rsid w:val="63CC234F"/>
    <w:rsid w:val="63DA0F0F"/>
    <w:rsid w:val="65780471"/>
    <w:rsid w:val="658B0713"/>
    <w:rsid w:val="65C22A21"/>
    <w:rsid w:val="65D32D0E"/>
    <w:rsid w:val="6619775C"/>
    <w:rsid w:val="67B83316"/>
    <w:rsid w:val="68104F00"/>
    <w:rsid w:val="681F5143"/>
    <w:rsid w:val="6BF80185"/>
    <w:rsid w:val="6C335661"/>
    <w:rsid w:val="6CD75FEC"/>
    <w:rsid w:val="6D6B0AF5"/>
    <w:rsid w:val="6DC61F9D"/>
    <w:rsid w:val="71662034"/>
    <w:rsid w:val="7A813A3B"/>
    <w:rsid w:val="7B252618"/>
    <w:rsid w:val="7B5B24DE"/>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5">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99"/>
    <w:pPr>
      <w:ind w:left="420" w:leftChars="200"/>
    </w:pPr>
  </w:style>
  <w:style w:type="paragraph" w:styleId="6">
    <w:name w:val="Normal Indent"/>
    <w:basedOn w:val="1"/>
    <w:qFormat/>
    <w:uiPriority w:val="0"/>
    <w:pPr>
      <w:spacing w:line="240" w:lineRule="auto"/>
      <w:ind w:firstLine="420"/>
    </w:pPr>
    <w:rPr>
      <w:rFonts w:ascii="Calibri" w:hAnsi="Calibri" w:eastAsia="宋体" w:cs="黑体"/>
      <w:sz w:val="21"/>
    </w:rPr>
  </w:style>
  <w:style w:type="paragraph" w:styleId="7">
    <w:name w:val="Body Text"/>
    <w:basedOn w:val="1"/>
    <w:next w:val="1"/>
    <w:qFormat/>
    <w:uiPriority w:val="1"/>
    <w:pPr>
      <w:spacing w:before="1"/>
    </w:pPr>
    <w:rPr>
      <w:rFonts w:ascii="宋体" w:hAnsi="宋体" w:eastAsia="宋体" w:cs="宋体"/>
      <w:sz w:val="36"/>
      <w:szCs w:val="36"/>
      <w:lang w:val="zh-CN" w:eastAsia="zh-CN" w:bidi="zh-CN"/>
    </w:rPr>
  </w:style>
  <w:style w:type="paragraph" w:styleId="8">
    <w:name w:val="Block Text"/>
    <w:basedOn w:val="1"/>
    <w:next w:val="1"/>
    <w:qFormat/>
    <w:uiPriority w:val="0"/>
    <w:pPr>
      <w:spacing w:line="700" w:lineRule="exact"/>
      <w:ind w:left="-640" w:leftChars="-200" w:right="-330" w:rightChars="-103"/>
      <w:jc w:val="center"/>
    </w:pPr>
    <w:rPr>
      <w:rFonts w:ascii="金山简魏碑"/>
      <w:b/>
      <w:spacing w:val="-8"/>
      <w:sz w:val="54"/>
      <w:szCs w:val="20"/>
    </w:rPr>
  </w:style>
  <w:style w:type="paragraph" w:styleId="9">
    <w:name w:val="Date"/>
    <w:basedOn w:val="1"/>
    <w:next w:val="1"/>
    <w:qFormat/>
    <w:uiPriority w:val="0"/>
    <w:pPr>
      <w:ind w:left="100" w:leftChars="2500"/>
    </w:pPr>
  </w:style>
  <w:style w:type="paragraph" w:styleId="10">
    <w:name w:val="Body Text Indent 2"/>
    <w:basedOn w:val="1"/>
    <w:next w:val="2"/>
    <w:unhideWhenUsed/>
    <w:qFormat/>
    <w:uiPriority w:val="99"/>
    <w:pPr>
      <w:spacing w:line="480" w:lineRule="auto"/>
      <w:ind w:left="420" w:leftChars="200"/>
    </w:pPr>
    <w:rPr>
      <w:rFonts w:ascii="Times New Roman" w:hAnsi="Times New Roman" w:eastAsia="宋体" w:cs="Times New Roman"/>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paragraph" w:customStyle="1" w:styleId="17">
    <w:name w:val="Body Text First Indent 21"/>
    <w:basedOn w:val="18"/>
    <w:next w:val="9"/>
    <w:qFormat/>
    <w:uiPriority w:val="0"/>
    <w:pPr>
      <w:spacing w:before="100" w:beforeLines="0" w:beforeAutospacing="1" w:after="0" w:afterLines="0"/>
      <w:ind w:firstLine="420" w:firstLineChars="200"/>
    </w:pPr>
    <w:rPr>
      <w:rFonts w:ascii="Times New Roman" w:hAnsi="Times New Roman" w:eastAsia="仿宋_GB2312" w:cs="Times New Roman"/>
      <w:sz w:val="32"/>
      <w:szCs w:val="32"/>
    </w:rPr>
  </w:style>
  <w:style w:type="paragraph" w:customStyle="1" w:styleId="18">
    <w:name w:val="Body Text Indent1"/>
    <w:basedOn w:val="1"/>
    <w:next w:val="19"/>
    <w:qFormat/>
    <w:uiPriority w:val="0"/>
    <w:pPr>
      <w:spacing w:after="120" w:afterLines="0"/>
      <w:ind w:left="420" w:leftChars="200"/>
    </w:pPr>
    <w:rPr>
      <w:rFonts w:ascii="Times New Roman" w:hAnsi="Times New Roman" w:eastAsia="仿宋_GB2312" w:cs="Times New Roman"/>
      <w:sz w:val="32"/>
      <w:szCs w:val="32"/>
    </w:rPr>
  </w:style>
  <w:style w:type="paragraph" w:customStyle="1" w:styleId="19">
    <w:name w:val="Normal Indent"/>
    <w:basedOn w:val="1"/>
    <w:qFormat/>
    <w:uiPriority w:val="0"/>
    <w:pPr>
      <w:ind w:firstLine="420" w:firstLineChars="200"/>
    </w:pPr>
    <w:rPr>
      <w:rFonts w:eastAsia="仿宋"/>
      <w:sz w:val="32"/>
    </w:rPr>
  </w:style>
  <w:style w:type="character" w:customStyle="1" w:styleId="20">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21">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2">
    <w:name w:val="引文目录1"/>
    <w:basedOn w:val="1"/>
    <w:next w:val="1"/>
    <w:qFormat/>
    <w:uiPriority w:val="0"/>
    <w:pPr>
      <w:ind w:left="420" w:leftChars="200"/>
    </w:pPr>
    <w:rPr>
      <w:rFonts w:ascii="Calibri" w:hAnsi="Calibri" w:eastAsia="宋体" w:cs="Times New Roman"/>
      <w:sz w:val="32"/>
      <w:szCs w:val="32"/>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BodyText"/>
    <w:basedOn w:val="1"/>
    <w:next w:val="1"/>
    <w:qFormat/>
    <w:uiPriority w:val="0"/>
    <w:pPr>
      <w:spacing w:line="576" w:lineRule="exact"/>
    </w:pPr>
    <w:rPr>
      <w:rFonts w:asci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10068</Words>
  <Characters>10408</Characters>
  <Lines>0</Lines>
  <Paragraphs>0</Paragraphs>
  <TotalTime>17</TotalTime>
  <ScaleCrop>false</ScaleCrop>
  <LinksUpToDate>false</LinksUpToDate>
  <CharactersWithSpaces>10417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2024-07-08T06:40:00Z</dcterms:created>
  <dc:creator>Lenovo</dc:creator>
  <cp:lastModifiedBy>Lenovo</cp:lastModifiedBy>
  <cp:lastPrinted>2024-11-21T07:56:00Z</cp:lastPrinted>
  <dcterms:modified xsi:type="dcterms:W3CDTF">2025-01-15T03:31:31Z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DDBE311EF9B3497DA50CEB14FA6D6066_13</vt:lpwstr>
  </property>
  <property fmtid="{D5CDD505-2E9C-101B-9397-08002B2CF9AE}" pid="4" name="KSOTemplateDocerSaveRecord">
    <vt:lpwstr>eyJoZGlkIjoiOGJjOTBkY2U0ODg2MmU1NDFiMzQ0YWUxN2UyMDFlMTgifQ==</vt:lpwstr>
  </property>
</Properties>
</file>