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8E591">
      <w:pPr>
        <w:spacing w:line="660" w:lineRule="exact"/>
        <w:jc w:val="left"/>
        <w:rPr>
          <w:rFonts w:ascii="宋体" w:hAnsi="宋体"/>
          <w:b/>
          <w:color w:val="auto"/>
          <w:sz w:val="44"/>
          <w:u w:val="single"/>
        </w:rPr>
      </w:pPr>
      <w:r>
        <w:rPr>
          <w:rFonts w:hint="eastAsia" w:ascii="宋体" w:hAnsi="宋体"/>
          <w:b/>
          <w:color w:val="auto"/>
          <w:sz w:val="44"/>
          <w:u w:val="single"/>
        </w:rPr>
        <w:t xml:space="preserve">     </w:t>
      </w:r>
      <w:r>
        <w:rPr>
          <w:rFonts w:hint="eastAsia" w:ascii="方正小标宋简体" w:hAnsi="方正小标宋简体" w:eastAsia="方正小标宋简体" w:cs="方正小标宋简体"/>
          <w:b/>
          <w:color w:val="auto"/>
          <w:sz w:val="44"/>
          <w:u w:val="single"/>
        </w:rPr>
        <w:t xml:space="preserve"> </w:t>
      </w:r>
      <w:r>
        <w:rPr>
          <w:rFonts w:hint="eastAsia" w:ascii="方正小标宋简体" w:hAnsi="方正小标宋简体" w:eastAsia="方正小标宋简体" w:cs="方正小标宋简体"/>
          <w:b/>
          <w:color w:val="auto"/>
          <w:sz w:val="44"/>
          <w:u w:val="single"/>
          <w:lang w:val="en-US" w:eastAsia="zh-CN"/>
        </w:rPr>
        <w:t xml:space="preserve"> </w:t>
      </w:r>
      <w:r>
        <w:rPr>
          <w:rFonts w:hint="eastAsia" w:ascii="方正小标宋简体" w:hAnsi="方正小标宋简体" w:eastAsia="方正小标宋简体" w:cs="方正小标宋简体"/>
          <w:b/>
          <w:color w:val="auto"/>
          <w:spacing w:val="0"/>
          <w:sz w:val="44"/>
          <w:u w:val="single"/>
        </w:rPr>
        <w:t>阳城县行政审批服务管理局</w:t>
      </w:r>
      <w:r>
        <w:rPr>
          <w:rFonts w:hint="eastAsia" w:ascii="方正小标宋简体" w:hAnsi="方正小标宋简体" w:eastAsia="方正小标宋简体" w:cs="方正小标宋简体"/>
          <w:b/>
          <w:color w:val="auto"/>
          <w:sz w:val="44"/>
          <w:u w:val="single"/>
        </w:rPr>
        <w:t xml:space="preserve"> </w:t>
      </w:r>
      <w:r>
        <w:rPr>
          <w:rFonts w:hint="eastAsia" w:ascii="宋体" w:hAnsi="宋体"/>
          <w:b/>
          <w:color w:val="auto"/>
          <w:sz w:val="44"/>
          <w:u w:val="single"/>
        </w:rPr>
        <w:t xml:space="preserve">       </w:t>
      </w:r>
    </w:p>
    <w:p w14:paraId="5EEE2AAA">
      <w:pPr>
        <w:keepNext w:val="0"/>
        <w:keepLines w:val="0"/>
        <w:pageBreakBefore w:val="0"/>
        <w:wordWrap/>
        <w:topLinePunct w:val="0"/>
        <w:bidi w:val="0"/>
        <w:spacing w:line="560" w:lineRule="exact"/>
        <w:ind w:left="0"/>
        <w:jc w:val="left"/>
        <w:rPr>
          <w:rFonts w:hint="default" w:ascii="宋体" w:hAnsi="宋体" w:eastAsia="宋体"/>
          <w:b/>
          <w:color w:val="auto"/>
          <w:sz w:val="30"/>
          <w:u w:val="none"/>
          <w:lang w:val="en-US" w:eastAsia="zh-CN"/>
        </w:rPr>
      </w:pPr>
      <w:r>
        <w:rPr>
          <w:rFonts w:hint="eastAsia" w:ascii="宋体" w:hAnsi="宋体"/>
          <w:b/>
          <w:color w:val="auto"/>
          <w:sz w:val="30"/>
          <w:u w:val="none"/>
          <w:lang w:val="en-US" w:eastAsia="zh-CN"/>
        </w:rPr>
        <w:t xml:space="preserve">                                             A</w:t>
      </w:r>
    </w:p>
    <w:p w14:paraId="13BDFE05">
      <w:pPr>
        <w:keepNext w:val="0"/>
        <w:keepLines w:val="0"/>
        <w:pageBreakBefore w:val="0"/>
        <w:wordWrap/>
        <w:topLinePunct w:val="0"/>
        <w:bidi w:val="0"/>
        <w:spacing w:after="0" w:afterLines="0" w:line="600" w:lineRule="exact"/>
        <w:ind w:left="0"/>
        <w:jc w:val="center"/>
        <w:rPr>
          <w:rFonts w:hint="eastAsia" w:ascii="宋体" w:hAnsi="宋体"/>
          <w:b/>
          <w:color w:val="auto"/>
          <w:sz w:val="44"/>
        </w:rPr>
      </w:pPr>
      <w:r>
        <w:rPr>
          <w:rFonts w:hint="eastAsia" w:ascii="宋体" w:hAnsi="宋体"/>
          <w:b/>
          <w:color w:val="auto"/>
          <w:sz w:val="44"/>
        </w:rPr>
        <w:t>关于对县</w:t>
      </w:r>
      <w:r>
        <w:rPr>
          <w:rFonts w:hint="eastAsia" w:ascii="宋体" w:hAnsi="宋体"/>
          <w:b/>
          <w:color w:val="auto"/>
          <w:sz w:val="44"/>
          <w:lang w:val="en-US" w:eastAsia="zh-CN"/>
        </w:rPr>
        <w:t>政协十五</w:t>
      </w:r>
      <w:r>
        <w:rPr>
          <w:rFonts w:hint="eastAsia" w:ascii="宋体" w:hAnsi="宋体"/>
          <w:b/>
          <w:color w:val="auto"/>
          <w:sz w:val="44"/>
        </w:rPr>
        <w:t>届</w:t>
      </w:r>
      <w:r>
        <w:rPr>
          <w:rFonts w:hint="eastAsia" w:ascii="宋体" w:hAnsi="宋体"/>
          <w:b/>
          <w:color w:val="auto"/>
          <w:sz w:val="44"/>
          <w:lang w:val="en-US" w:eastAsia="zh-CN"/>
        </w:rPr>
        <w:t>四</w:t>
      </w:r>
      <w:r>
        <w:rPr>
          <w:rFonts w:hint="eastAsia" w:ascii="宋体" w:hAnsi="宋体"/>
          <w:b/>
          <w:color w:val="auto"/>
          <w:sz w:val="44"/>
        </w:rPr>
        <w:t>次会议第</w:t>
      </w:r>
      <w:r>
        <w:rPr>
          <w:rFonts w:hint="eastAsia" w:ascii="宋体" w:hAnsi="宋体"/>
          <w:b/>
          <w:color w:val="auto"/>
          <w:sz w:val="44"/>
          <w:lang w:val="en-US" w:eastAsia="zh-CN"/>
        </w:rPr>
        <w:t>144</w:t>
      </w:r>
      <w:r>
        <w:rPr>
          <w:rFonts w:hint="eastAsia" w:ascii="宋体" w:hAnsi="宋体"/>
          <w:b/>
          <w:color w:val="auto"/>
          <w:sz w:val="44"/>
        </w:rPr>
        <w:t>号</w:t>
      </w:r>
    </w:p>
    <w:p w14:paraId="195BBF98">
      <w:pPr>
        <w:keepNext w:val="0"/>
        <w:keepLines w:val="0"/>
        <w:pageBreakBefore w:val="0"/>
        <w:wordWrap/>
        <w:topLinePunct w:val="0"/>
        <w:bidi w:val="0"/>
        <w:spacing w:after="0" w:afterLines="0" w:line="600" w:lineRule="exact"/>
        <w:ind w:left="0"/>
        <w:jc w:val="center"/>
        <w:rPr>
          <w:rFonts w:hint="eastAsia" w:ascii="宋体" w:hAnsi="宋体"/>
          <w:b/>
          <w:color w:val="auto"/>
          <w:sz w:val="44"/>
        </w:rPr>
      </w:pPr>
      <w:r>
        <w:rPr>
          <w:rFonts w:hint="eastAsia" w:ascii="宋体" w:hAnsi="宋体"/>
          <w:b/>
          <w:color w:val="auto"/>
          <w:sz w:val="44"/>
          <w:lang w:val="en-US" w:eastAsia="zh-CN"/>
        </w:rPr>
        <w:t>提案</w:t>
      </w:r>
      <w:r>
        <w:rPr>
          <w:rFonts w:hint="eastAsia" w:ascii="宋体" w:hAnsi="宋体"/>
          <w:b/>
          <w:color w:val="auto"/>
          <w:sz w:val="44"/>
        </w:rPr>
        <w:t>的答复</w:t>
      </w:r>
    </w:p>
    <w:p w14:paraId="2307C2F1">
      <w:pPr>
        <w:pStyle w:val="4"/>
        <w:keepNext w:val="0"/>
        <w:keepLines w:val="0"/>
        <w:pageBreakBefore w:val="0"/>
        <w:wordWrap/>
        <w:overflowPunct/>
        <w:topLinePunct w:val="0"/>
        <w:bidi w:val="0"/>
        <w:spacing w:line="600" w:lineRule="exact"/>
        <w:ind w:left="0"/>
        <w:rPr>
          <w:rFonts w:hint="eastAsia"/>
          <w:color w:val="auto"/>
          <w:lang w:eastAsia="zh-CN"/>
        </w:rPr>
      </w:pPr>
    </w:p>
    <w:p w14:paraId="5A224786">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jc w:val="both"/>
        <w:textAlignment w:val="baseline"/>
        <w:outlineLvl w:val="9"/>
        <w:rPr>
          <w:rFonts w:hint="eastAsia" w:ascii="仿宋" w:hAnsi="仿宋" w:eastAsia="仿宋" w:cs="仿宋"/>
          <w:color w:val="auto"/>
          <w:spacing w:val="0"/>
          <w:w w:val="100"/>
          <w:sz w:val="32"/>
          <w:lang w:eastAsia="zh-CN"/>
        </w:rPr>
      </w:pPr>
      <w:r>
        <w:rPr>
          <w:rFonts w:hint="eastAsia" w:ascii="仿宋" w:hAnsi="仿宋" w:eastAsia="仿宋" w:cs="仿宋"/>
          <w:color w:val="auto"/>
          <w:spacing w:val="0"/>
          <w:w w:val="100"/>
          <w:sz w:val="32"/>
          <w:lang w:val="en-US" w:eastAsia="zh-CN"/>
        </w:rPr>
        <w:t>王成庚委员</w:t>
      </w:r>
      <w:r>
        <w:rPr>
          <w:rFonts w:hint="eastAsia" w:ascii="仿宋" w:hAnsi="仿宋" w:eastAsia="仿宋" w:cs="仿宋"/>
          <w:color w:val="auto"/>
          <w:spacing w:val="0"/>
          <w:w w:val="100"/>
          <w:sz w:val="32"/>
          <w:lang w:eastAsia="zh-CN"/>
        </w:rPr>
        <w:t>：</w:t>
      </w:r>
    </w:p>
    <w:p w14:paraId="26B0D57D">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eastAsia" w:ascii="仿宋" w:hAnsi="仿宋" w:eastAsia="仿宋" w:cs="仿宋"/>
          <w:color w:val="auto"/>
          <w:spacing w:val="0"/>
          <w:w w:val="100"/>
          <w:sz w:val="32"/>
          <w:lang w:eastAsia="zh-CN"/>
        </w:rPr>
      </w:pPr>
      <w:r>
        <w:rPr>
          <w:rFonts w:hint="eastAsia" w:ascii="仿宋" w:hAnsi="仿宋" w:eastAsia="仿宋" w:cs="仿宋"/>
          <w:color w:val="auto"/>
          <w:spacing w:val="0"/>
          <w:w w:val="100"/>
          <w:sz w:val="32"/>
          <w:lang w:eastAsia="zh-CN"/>
        </w:rPr>
        <w:t>您提出的</w:t>
      </w:r>
      <w:r>
        <w:rPr>
          <w:rFonts w:hint="eastAsia" w:ascii="仿宋" w:hAnsi="仿宋" w:eastAsia="仿宋" w:cs="仿宋"/>
          <w:color w:val="auto"/>
          <w:spacing w:val="0"/>
          <w:w w:val="100"/>
          <w:sz w:val="32"/>
          <w:lang w:val="en-US" w:eastAsia="zh-CN"/>
        </w:rPr>
        <w:t>144</w:t>
      </w:r>
      <w:r>
        <w:rPr>
          <w:rFonts w:hint="eastAsia" w:ascii="仿宋" w:hAnsi="仿宋" w:eastAsia="仿宋" w:cs="仿宋"/>
          <w:color w:val="auto"/>
          <w:spacing w:val="0"/>
          <w:w w:val="100"/>
          <w:sz w:val="32"/>
          <w:lang w:eastAsia="zh-CN"/>
        </w:rPr>
        <w:t>号关于</w:t>
      </w:r>
      <w:r>
        <w:rPr>
          <w:rFonts w:hint="eastAsia" w:ascii="仿宋" w:hAnsi="仿宋" w:eastAsia="仿宋" w:cs="仿宋"/>
          <w:color w:val="auto"/>
          <w:spacing w:val="0"/>
          <w:w w:val="100"/>
          <w:sz w:val="32"/>
          <w:lang w:val="en-US" w:eastAsia="zh-CN"/>
        </w:rPr>
        <w:t>优化营商环境，助推民营企业发展</w:t>
      </w:r>
      <w:r>
        <w:rPr>
          <w:rFonts w:hint="eastAsia" w:ascii="仿宋" w:hAnsi="仿宋" w:eastAsia="仿宋" w:cs="仿宋"/>
          <w:color w:val="auto"/>
          <w:spacing w:val="0"/>
          <w:w w:val="100"/>
          <w:sz w:val="32"/>
          <w:lang w:eastAsia="zh-CN"/>
        </w:rPr>
        <w:t>的</w:t>
      </w:r>
      <w:r>
        <w:rPr>
          <w:rFonts w:hint="eastAsia" w:ascii="仿宋" w:hAnsi="仿宋" w:eastAsia="仿宋" w:cs="仿宋"/>
          <w:color w:val="auto"/>
          <w:spacing w:val="0"/>
          <w:w w:val="100"/>
          <w:sz w:val="32"/>
          <w:lang w:val="en-US" w:eastAsia="zh-CN"/>
        </w:rPr>
        <w:t>提案</w:t>
      </w:r>
      <w:r>
        <w:rPr>
          <w:rFonts w:hint="eastAsia" w:ascii="仿宋" w:hAnsi="仿宋" w:eastAsia="仿宋" w:cs="仿宋"/>
          <w:color w:val="auto"/>
          <w:spacing w:val="0"/>
          <w:w w:val="100"/>
          <w:sz w:val="32"/>
          <w:lang w:eastAsia="zh-CN"/>
        </w:rPr>
        <w:t>收悉。现答复如下：</w:t>
      </w:r>
    </w:p>
    <w:p w14:paraId="0E24A047">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eastAsia" w:ascii="仿宋" w:hAnsi="仿宋" w:eastAsia="仿宋" w:cs="仿宋"/>
          <w:color w:val="auto"/>
          <w:spacing w:val="0"/>
          <w:w w:val="100"/>
          <w:sz w:val="32"/>
          <w:lang w:val="en-US" w:eastAsia="zh-CN"/>
        </w:rPr>
      </w:pPr>
      <w:r>
        <w:rPr>
          <w:rFonts w:hint="eastAsia" w:ascii="仿宋" w:hAnsi="仿宋" w:eastAsia="仿宋" w:cs="仿宋"/>
          <w:color w:val="auto"/>
          <w:spacing w:val="0"/>
          <w:w w:val="100"/>
          <w:sz w:val="32"/>
          <w:lang w:val="en-US" w:eastAsia="zh-CN"/>
        </w:rPr>
        <w:t>营商环境是一个地方经济发展的“软实力”。我县在</w:t>
      </w:r>
      <w:r>
        <w:rPr>
          <w:rFonts w:hint="eastAsia" w:ascii="仿宋" w:hAnsi="仿宋" w:eastAsia="仿宋" w:cs="仿宋"/>
          <w:b w:val="0"/>
          <w:bCs w:val="0"/>
          <w:color w:val="auto"/>
          <w:kern w:val="0"/>
          <w:sz w:val="32"/>
          <w:szCs w:val="32"/>
          <w:lang w:val="en-US" w:eastAsia="zh-CN" w:bidi="ar"/>
        </w:rPr>
        <w:t>省委省政府、市委市政府的正确领导下，紧跟大势、紧扣大局，不断深化“放管服”改革，坚持问题导向，聚力改革攻坚，强化政策落实，增强了民营企业高质量发展的信</w:t>
      </w:r>
      <w:r>
        <w:rPr>
          <w:rFonts w:hint="eastAsia" w:ascii="仿宋" w:hAnsi="仿宋" w:eastAsia="仿宋" w:cs="仿宋"/>
          <w:color w:val="auto"/>
          <w:spacing w:val="0"/>
          <w:w w:val="100"/>
          <w:sz w:val="32"/>
          <w:lang w:val="en-US" w:eastAsia="zh-CN"/>
        </w:rPr>
        <w:t>心和底气，让广大经营主体有更多实实在在的获得感。</w:t>
      </w:r>
    </w:p>
    <w:p w14:paraId="3B2CC524">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default" w:ascii="黑体" w:hAnsi="黑体" w:eastAsia="黑体" w:cs="黑体"/>
          <w:color w:val="auto"/>
          <w:spacing w:val="0"/>
          <w:w w:val="100"/>
          <w:sz w:val="32"/>
          <w:lang w:val="en-US" w:eastAsia="zh-CN"/>
        </w:rPr>
      </w:pPr>
      <w:r>
        <w:rPr>
          <w:rFonts w:hint="eastAsia" w:ascii="黑体" w:hAnsi="黑体" w:eastAsia="黑体" w:cs="黑体"/>
          <w:color w:val="auto"/>
          <w:spacing w:val="0"/>
          <w:w w:val="100"/>
          <w:sz w:val="32"/>
          <w:lang w:val="en-US" w:eastAsia="zh-CN"/>
        </w:rPr>
        <w:t>一、进一步解放思想</w:t>
      </w:r>
    </w:p>
    <w:p w14:paraId="0EC12C8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pacing w:val="0"/>
          <w:w w:val="100"/>
          <w:sz w:val="32"/>
          <w:lang w:val="en-US" w:eastAsia="zh-CN"/>
        </w:rPr>
      </w:pPr>
      <w:r>
        <w:rPr>
          <w:rFonts w:hint="eastAsia" w:ascii="仿宋" w:hAnsi="仿宋" w:eastAsia="仿宋" w:cs="仿宋"/>
          <w:color w:val="auto"/>
          <w:spacing w:val="0"/>
          <w:w w:val="100"/>
          <w:sz w:val="32"/>
          <w:lang w:val="en-US" w:eastAsia="zh-CN"/>
        </w:rPr>
        <w:t>持之以恒学习贯彻习近平总书记关于优化营商环境的重要讲话精神和视察山西时对优化营商环境作出的重要指示精神，深化思想认识，对优化营商环境的重要性认识再强化。在担当意识上，坚决破除“坐等上门”的懒政思想、“事不关己”的消极思想；在作为意识上，鼓励干部突破工作思路，树立创新意识，敢于向最高最好最优看齐，更加自觉、主动、积极地对标先进争创一流、比学赶超先行先试，真正让服务对象感受到营商环境的变化。</w:t>
      </w:r>
    </w:p>
    <w:p w14:paraId="6538D566">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eastAsia" w:ascii="黑体" w:hAnsi="黑体" w:eastAsia="黑体" w:cs="黑体"/>
          <w:color w:val="auto"/>
          <w:spacing w:val="0"/>
          <w:w w:val="100"/>
          <w:sz w:val="32"/>
          <w:lang w:val="en-US" w:eastAsia="zh-CN"/>
        </w:rPr>
      </w:pPr>
      <w:r>
        <w:rPr>
          <w:rFonts w:hint="eastAsia" w:ascii="黑体" w:hAnsi="黑体" w:eastAsia="黑体" w:cs="黑体"/>
          <w:color w:val="auto"/>
          <w:spacing w:val="0"/>
          <w:w w:val="100"/>
          <w:sz w:val="32"/>
          <w:lang w:val="en-US" w:eastAsia="zh-CN"/>
        </w:rPr>
        <w:t>二、持续推进“一网通办”</w:t>
      </w:r>
    </w:p>
    <w:p w14:paraId="05BE9246">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动态更新平台信息。对一体化政务服务平台县直部门发布事项办事指南要素持续优化实时更新，统一事项标准，提升网办事项要素的准确性和申报环节的便利性，增加企业群众网办意愿,提升政府办事效率。</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扩大电子证照互通互认应用领域，推动实现“免证办”。为乡（镇）申请电子印章，推动电子证照向基层延伸。截止6月底，已梳理制作147类电子证照模板，并纳入电子证照系统，加盖电子印章1017件。</w:t>
      </w:r>
      <w:r>
        <w:rPr>
          <w:rFonts w:hint="eastAsia" w:ascii="仿宋" w:hAnsi="仿宋" w:eastAsia="仿宋" w:cs="仿宋"/>
          <w:b/>
          <w:bCs/>
          <w:color w:val="auto"/>
          <w:spacing w:val="0"/>
          <w:kern w:val="2"/>
          <w:sz w:val="32"/>
          <w:szCs w:val="32"/>
          <w:lang w:val="en-US" w:eastAsia="zh-CN" w:bidi="ar-SA"/>
        </w:rPr>
        <w:t>三是</w:t>
      </w:r>
      <w:r>
        <w:rPr>
          <w:rFonts w:hint="eastAsia" w:ascii="仿宋" w:hAnsi="仿宋" w:eastAsia="仿宋" w:cs="仿宋"/>
          <w:b w:val="0"/>
          <w:bCs w:val="0"/>
          <w:color w:val="auto"/>
          <w:spacing w:val="0"/>
          <w:kern w:val="2"/>
          <w:sz w:val="32"/>
          <w:szCs w:val="32"/>
          <w:lang w:val="en-US" w:eastAsia="zh-CN" w:bidi="ar-SA"/>
        </w:rPr>
        <w:t>推动智慧政务改革。</w:t>
      </w:r>
      <w:r>
        <w:rPr>
          <w:rFonts w:hint="eastAsia" w:ascii="仿宋" w:hAnsi="仿宋" w:eastAsia="仿宋" w:cs="仿宋"/>
          <w:color w:val="auto"/>
          <w:spacing w:val="0"/>
          <w:kern w:val="2"/>
          <w:sz w:val="32"/>
          <w:szCs w:val="32"/>
          <w:lang w:val="en-US" w:eastAsia="zh-CN" w:bidi="ar-SA"/>
        </w:rPr>
        <w:t>建成“基层便民服务管理系统”和“智慧审批业务管理系统”，配置出具证明、秒批秒办等功能模块。目前，录入对接一体化平台审批事项1228项，</w:t>
      </w:r>
      <w:r>
        <w:rPr>
          <w:rFonts w:hint="eastAsia" w:ascii="仿宋" w:hAnsi="仿宋" w:eastAsia="仿宋" w:cs="仿宋"/>
          <w:color w:val="auto"/>
          <w:spacing w:val="0"/>
          <w:kern w:val="2"/>
          <w:sz w:val="32"/>
          <w:szCs w:val="32"/>
          <w:highlight w:val="none"/>
          <w:lang w:val="en-US" w:eastAsia="zh-CN" w:bidi="ar-SA"/>
        </w:rPr>
        <w:t>上线“秒批秒办”事项27项</w:t>
      </w:r>
      <w:r>
        <w:rPr>
          <w:rFonts w:hint="eastAsia" w:ascii="仿宋" w:hAnsi="仿宋" w:eastAsia="仿宋" w:cs="仿宋"/>
          <w:color w:val="auto"/>
          <w:spacing w:val="0"/>
          <w:sz w:val="32"/>
          <w:szCs w:val="32"/>
          <w:highlight w:val="none"/>
          <w:lang w:eastAsia="zh-CN"/>
        </w:rPr>
        <w:t>。</w:t>
      </w:r>
    </w:p>
    <w:p w14:paraId="076BD813">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eastAsia" w:ascii="黑体" w:hAnsi="黑体" w:eastAsia="黑体" w:cs="黑体"/>
          <w:color w:val="auto"/>
          <w:spacing w:val="0"/>
          <w:w w:val="100"/>
          <w:sz w:val="32"/>
          <w:lang w:val="en-US" w:eastAsia="zh-CN"/>
        </w:rPr>
      </w:pPr>
      <w:r>
        <w:rPr>
          <w:rFonts w:hint="eastAsia" w:ascii="黑体" w:hAnsi="黑体" w:eastAsia="黑体" w:cs="黑体"/>
          <w:color w:val="auto"/>
          <w:spacing w:val="0"/>
          <w:w w:val="100"/>
          <w:sz w:val="32"/>
          <w:lang w:val="en-US" w:eastAsia="zh-CN"/>
        </w:rPr>
        <w:t>三、健全金融服务体系</w:t>
      </w:r>
    </w:p>
    <w:p w14:paraId="58A85EB9">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pacing w:val="0"/>
          <w:kern w:val="2"/>
          <w:sz w:val="32"/>
          <w:szCs w:val="32"/>
          <w:lang w:val="en-US" w:eastAsia="zh-CN" w:bidi="ar-SA"/>
        </w:rPr>
        <w:t>建立报表制度。实行地方金融机构月报、季报、半年报、年报制度，辖区风险监测平台覆盖率和数据录入率均达到100%，做到了数字真实准确，情况掌握及时全面。</w:t>
      </w:r>
      <w:r>
        <w:rPr>
          <w:rFonts w:hint="eastAsia" w:ascii="仿宋" w:hAnsi="仿宋" w:eastAsia="仿宋" w:cs="仿宋"/>
          <w:b/>
          <w:bCs/>
          <w:color w:val="auto"/>
          <w:spacing w:val="0"/>
          <w:kern w:val="2"/>
          <w:sz w:val="32"/>
          <w:szCs w:val="32"/>
          <w:lang w:val="en-US" w:eastAsia="zh-CN" w:bidi="ar-SA"/>
        </w:rPr>
        <w:t>二是</w:t>
      </w:r>
      <w:r>
        <w:rPr>
          <w:rFonts w:hint="eastAsia" w:ascii="仿宋" w:hAnsi="仿宋" w:eastAsia="仿宋" w:cs="仿宋"/>
          <w:b w:val="0"/>
          <w:bCs w:val="0"/>
          <w:color w:val="auto"/>
          <w:spacing w:val="0"/>
          <w:kern w:val="2"/>
          <w:sz w:val="32"/>
          <w:szCs w:val="32"/>
          <w:lang w:val="en-US" w:eastAsia="zh-CN" w:bidi="ar-SA"/>
        </w:rPr>
        <w:t>召开“金融援企”暨民营企业投资项目推介会，</w:t>
      </w:r>
      <w:r>
        <w:rPr>
          <w:rFonts w:hint="eastAsia" w:ascii="仿宋" w:hAnsi="仿宋" w:eastAsia="仿宋" w:cs="仿宋"/>
          <w:color w:val="auto"/>
          <w:spacing w:val="0"/>
          <w:kern w:val="2"/>
          <w:sz w:val="32"/>
          <w:szCs w:val="32"/>
          <w:lang w:val="en-US" w:eastAsia="zh-CN" w:bidi="ar-SA"/>
        </w:rPr>
        <w:t>邮储银行阳城支行现场介绍了相关金融信贷产品；县发改局向民营企业推荐了一批适合民营企业参与的文旅、农林、物流、电商等领域重点项目，切实解决民营企业融资需求。</w:t>
      </w:r>
      <w:r>
        <w:rPr>
          <w:rFonts w:hint="eastAsia" w:ascii="仿宋" w:hAnsi="仿宋" w:eastAsia="仿宋" w:cs="仿宋"/>
          <w:b/>
          <w:bCs/>
          <w:color w:val="auto"/>
          <w:spacing w:val="0"/>
          <w:kern w:val="2"/>
          <w:sz w:val="32"/>
          <w:szCs w:val="32"/>
          <w:lang w:val="en-US" w:eastAsia="zh-CN" w:bidi="ar-SA"/>
        </w:rPr>
        <w:t>三是</w:t>
      </w:r>
      <w:r>
        <w:rPr>
          <w:rFonts w:hint="eastAsia" w:ascii="仿宋" w:hAnsi="仿宋" w:eastAsia="仿宋" w:cs="仿宋"/>
          <w:color w:val="auto"/>
          <w:spacing w:val="0"/>
          <w:kern w:val="2"/>
          <w:sz w:val="32"/>
          <w:szCs w:val="32"/>
          <w:lang w:val="en-US" w:eastAsia="zh-CN" w:bidi="ar-SA"/>
        </w:rPr>
        <w:t>成立阳城县首贷服务中心，通过进一步完善小微企业和个体工商户融资服务长效机制，持续提升小微企业和个体工商户首次贷款服务质量，改善和扩大了小微企业和个体工商户的贷款面。</w:t>
      </w:r>
    </w:p>
    <w:p w14:paraId="3FDCB8B5">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rPr>
          <w:rFonts w:hint="default" w:ascii="黑体" w:hAnsi="黑体" w:eastAsia="黑体" w:cs="黑体"/>
          <w:color w:val="auto"/>
          <w:spacing w:val="0"/>
          <w:w w:val="100"/>
          <w:sz w:val="32"/>
          <w:szCs w:val="22"/>
          <w:lang w:val="en-US" w:eastAsia="zh-CN"/>
        </w:rPr>
      </w:pPr>
      <w:r>
        <w:rPr>
          <w:rFonts w:hint="eastAsia" w:ascii="黑体" w:hAnsi="黑体" w:eastAsia="黑体" w:cs="黑体"/>
          <w:color w:val="auto"/>
          <w:spacing w:val="0"/>
          <w:w w:val="100"/>
          <w:sz w:val="32"/>
          <w:szCs w:val="22"/>
          <w:lang w:val="en-US" w:eastAsia="zh-CN"/>
        </w:rPr>
        <w:t>四、强化中介机构管理</w:t>
      </w:r>
    </w:p>
    <w:p w14:paraId="31C5AF75">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县行政审批局综合中介机构库共12家，对中介机构库实行动态调整，对评审机构进行严格管理和定期考核，规范了中介行为，提高了中介机构综合服务能力。为提高评估质量，近期印发了《关于进一步加强涉水审批事项评估中介服务管理的通知》，对建设项目涉水审批事项（水土保持方案报告书、防洪评价报告、水资源论证报告书）参会人员、评审流程、专家确定、审后报批等进行了具体规定，同时明确惩戒措施：有文件规定禁止行为的，初次提出批评，第二次暂停委托评审6个月，第三次移出机构库。</w:t>
      </w:r>
    </w:p>
    <w:p w14:paraId="784573ED">
      <w:pPr>
        <w:pStyle w:val="5"/>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rPr>
          <w:rFonts w:hint="eastAsia" w:ascii="黑体" w:hAnsi="黑体" w:eastAsia="黑体" w:cs="黑体"/>
          <w:color w:val="auto"/>
          <w:spacing w:val="0"/>
          <w:w w:val="100"/>
          <w:sz w:val="32"/>
          <w:szCs w:val="22"/>
          <w:lang w:val="en-US" w:eastAsia="zh-CN"/>
        </w:rPr>
      </w:pPr>
      <w:r>
        <w:rPr>
          <w:rFonts w:hint="eastAsia" w:ascii="黑体" w:hAnsi="黑体" w:eastAsia="黑体" w:cs="黑体"/>
          <w:color w:val="auto"/>
          <w:spacing w:val="0"/>
          <w:w w:val="100"/>
          <w:sz w:val="32"/>
          <w:szCs w:val="22"/>
          <w:lang w:val="en-US" w:eastAsia="zh-CN"/>
        </w:rPr>
        <w:t>五、规范执法行为</w:t>
      </w:r>
    </w:p>
    <w:p w14:paraId="1141C17A">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i w:val="0"/>
          <w:iCs w:val="0"/>
          <w:caps w:val="0"/>
          <w:color w:val="auto"/>
          <w:kern w:val="0"/>
          <w:sz w:val="32"/>
          <w:szCs w:val="32"/>
          <w:shd w:val="clear" w:fill="FFFFFF"/>
          <w:lang w:val="en-US" w:eastAsia="zh-CN"/>
        </w:rPr>
      </w:pPr>
      <w:r>
        <w:rPr>
          <w:rFonts w:hint="eastAsia" w:ascii="仿宋" w:hAnsi="仿宋" w:eastAsia="仿宋" w:cs="仿宋"/>
          <w:b/>
          <w:bCs/>
          <w:color w:val="auto"/>
          <w:spacing w:val="0"/>
          <w:kern w:val="2"/>
          <w:sz w:val="32"/>
          <w:szCs w:val="32"/>
          <w:lang w:val="en-US" w:eastAsia="zh-CN" w:bidi="ar-SA"/>
        </w:rPr>
        <w:t>一是</w:t>
      </w:r>
      <w:r>
        <w:rPr>
          <w:rFonts w:hint="eastAsia" w:ascii="仿宋" w:hAnsi="仿宋" w:eastAsia="仿宋" w:cs="仿宋"/>
          <w:color w:val="auto"/>
          <w:spacing w:val="0"/>
          <w:kern w:val="2"/>
          <w:sz w:val="32"/>
          <w:szCs w:val="32"/>
          <w:lang w:val="en-US" w:eastAsia="zh-CN" w:bidi="ar-SA"/>
        </w:rPr>
        <w:t>健全完善常态化学法机制。采取集中学习和自学相结合的方式，学习了《宪法》《民法典》《行政许可法》等与行政审批有关的法律法规，增强干部职工法律意识，提高依法办事能力和水平。结合具体工作多次组织法律知识培训和讲座，并发放学习资料，认真学习了行政审批、优化营商环境相关的法律法规，为我局干部职工依法行政奠定了理论基础。</w:t>
      </w:r>
      <w:r>
        <w:rPr>
          <w:rFonts w:hint="eastAsia" w:ascii="仿宋" w:hAnsi="仿宋" w:eastAsia="仿宋" w:cs="仿宋"/>
          <w:b/>
          <w:bCs/>
          <w:color w:val="auto"/>
          <w:spacing w:val="0"/>
          <w:kern w:val="2"/>
          <w:sz w:val="32"/>
          <w:szCs w:val="32"/>
          <w:lang w:val="en-US" w:eastAsia="zh-CN" w:bidi="ar-SA"/>
        </w:rPr>
        <w:t>二是</w:t>
      </w:r>
      <w:r>
        <w:rPr>
          <w:rFonts w:hint="eastAsia" w:ascii="仿宋" w:hAnsi="仿宋" w:eastAsia="仿宋" w:cs="仿宋"/>
          <w:color w:val="auto"/>
          <w:spacing w:val="0"/>
          <w:kern w:val="2"/>
          <w:sz w:val="32"/>
          <w:szCs w:val="32"/>
          <w:lang w:val="en-US" w:eastAsia="zh-CN" w:bidi="ar-SA"/>
        </w:rPr>
        <w:t>完善行政审批法律风险预防化解机制。严格落实执法全过程记录、重大行政决策合法性审查三项制度，做到执法记录合法规范、客观全面、及时准确。及时通过政府</w:t>
      </w:r>
      <w:r>
        <w:rPr>
          <w:rFonts w:hint="eastAsia" w:ascii="仿宋" w:hAnsi="仿宋" w:eastAsia="仿宋" w:cs="仿宋"/>
          <w:i w:val="0"/>
          <w:caps w:val="0"/>
          <w:color w:val="auto"/>
          <w:spacing w:val="0"/>
          <w:sz w:val="32"/>
          <w:szCs w:val="32"/>
          <w:lang w:eastAsia="zh-CN"/>
        </w:rPr>
        <w:t>网站、政务服务网</w:t>
      </w:r>
      <w:r>
        <w:rPr>
          <w:rFonts w:hint="eastAsia" w:ascii="仿宋" w:hAnsi="仿宋" w:eastAsia="仿宋" w:cs="仿宋"/>
          <w:i w:val="0"/>
          <w:caps w:val="0"/>
          <w:color w:val="auto"/>
          <w:spacing w:val="0"/>
          <w:sz w:val="32"/>
          <w:szCs w:val="32"/>
        </w:rPr>
        <w:t>向社会公开行政执法基本信息、结果信息。</w:t>
      </w:r>
      <w:r>
        <w:rPr>
          <w:rFonts w:hint="eastAsia" w:ascii="仿宋" w:hAnsi="仿宋" w:eastAsia="仿宋" w:cs="仿宋"/>
          <w:b/>
          <w:bCs/>
          <w:i w:val="0"/>
          <w:caps w:val="0"/>
          <w:color w:val="auto"/>
          <w:spacing w:val="0"/>
          <w:sz w:val="32"/>
          <w:szCs w:val="32"/>
          <w:lang w:val="en-US" w:eastAsia="zh-CN"/>
        </w:rPr>
        <w:t>三是</w:t>
      </w:r>
      <w:r>
        <w:rPr>
          <w:rFonts w:hint="eastAsia" w:ascii="仿宋" w:hAnsi="仿宋" w:eastAsia="仿宋" w:cs="仿宋"/>
          <w:i w:val="0"/>
          <w:caps w:val="0"/>
          <w:color w:val="auto"/>
          <w:spacing w:val="0"/>
          <w:sz w:val="32"/>
          <w:szCs w:val="32"/>
          <w:lang w:val="en-US" w:eastAsia="zh-CN"/>
        </w:rPr>
        <w:t>规范办件流程。</w:t>
      </w:r>
      <w:r>
        <w:rPr>
          <w:rFonts w:hint="eastAsia" w:ascii="仿宋" w:hAnsi="仿宋" w:eastAsia="仿宋" w:cs="仿宋"/>
          <w:b w:val="0"/>
          <w:bCs w:val="0"/>
          <w:color w:val="auto"/>
          <w:kern w:val="2"/>
          <w:sz w:val="32"/>
          <w:szCs w:val="32"/>
          <w:lang w:val="en-US" w:eastAsia="zh-CN" w:bidi="ar-SA"/>
        </w:rPr>
        <w:t>每周二、周四召开专题业务会，对疑难、重大审批事项进行讨论议定。</w:t>
      </w:r>
      <w:r>
        <w:rPr>
          <w:rFonts w:hint="eastAsia" w:ascii="仿宋" w:hAnsi="仿宋" w:eastAsia="仿宋" w:cs="仿宋"/>
          <w:b w:val="0"/>
          <w:bCs w:val="0"/>
          <w:color w:val="auto"/>
          <w:sz w:val="32"/>
          <w:szCs w:val="32"/>
          <w:lang w:val="en-US" w:eastAsia="zh-CN"/>
        </w:rPr>
        <w:t>开展行政审批案件抽查工作。严格执行我局《规范行政审批流程管理的办法》，</w:t>
      </w:r>
      <w:r>
        <w:rPr>
          <w:rFonts w:hint="eastAsia" w:ascii="仿宋" w:hAnsi="仿宋" w:eastAsia="仿宋" w:cs="仿宋"/>
          <w:b w:val="0"/>
          <w:bCs w:val="0"/>
          <w:i w:val="0"/>
          <w:iCs w:val="0"/>
          <w:caps w:val="0"/>
          <w:color w:val="auto"/>
          <w:kern w:val="0"/>
          <w:sz w:val="32"/>
          <w:szCs w:val="32"/>
          <w:shd w:val="clear" w:fill="FFFFFF"/>
          <w:lang w:eastAsia="zh-CN"/>
        </w:rPr>
        <w:t>持续实行否决权上移、行</w:t>
      </w:r>
      <w:r>
        <w:rPr>
          <w:rFonts w:hint="eastAsia" w:ascii="仿宋" w:hAnsi="仿宋" w:eastAsia="仿宋" w:cs="仿宋"/>
          <w:b w:val="0"/>
          <w:bCs w:val="0"/>
          <w:color w:val="auto"/>
          <w:kern w:val="0"/>
          <w:sz w:val="32"/>
          <w:szCs w:val="32"/>
        </w:rPr>
        <w:t>政审批</w:t>
      </w:r>
      <w:r>
        <w:rPr>
          <w:rFonts w:hint="eastAsia" w:ascii="仿宋" w:hAnsi="仿宋" w:eastAsia="仿宋" w:cs="仿宋"/>
          <w:b w:val="0"/>
          <w:bCs w:val="0"/>
          <w:color w:val="auto"/>
          <w:kern w:val="0"/>
          <w:sz w:val="32"/>
          <w:szCs w:val="32"/>
          <w:lang w:val="en-US" w:eastAsia="zh-CN"/>
        </w:rPr>
        <w:t>办</w:t>
      </w:r>
      <w:r>
        <w:rPr>
          <w:rFonts w:hint="eastAsia" w:ascii="仿宋" w:hAnsi="仿宋" w:eastAsia="仿宋" w:cs="仿宋"/>
          <w:b w:val="0"/>
          <w:bCs w:val="0"/>
          <w:color w:val="auto"/>
          <w:kern w:val="0"/>
          <w:sz w:val="32"/>
          <w:szCs w:val="32"/>
        </w:rPr>
        <w:t>件抽查</w:t>
      </w:r>
      <w:r>
        <w:rPr>
          <w:rFonts w:hint="eastAsia" w:ascii="仿宋" w:hAnsi="仿宋" w:eastAsia="仿宋" w:cs="仿宋"/>
          <w:b w:val="0"/>
          <w:bCs w:val="0"/>
          <w:color w:val="auto"/>
          <w:kern w:val="0"/>
          <w:sz w:val="32"/>
          <w:szCs w:val="32"/>
          <w:lang w:eastAsia="zh-CN"/>
        </w:rPr>
        <w:t>评议机制，全年共</w:t>
      </w:r>
      <w:r>
        <w:rPr>
          <w:rFonts w:hint="eastAsia" w:ascii="仿宋" w:hAnsi="仿宋" w:eastAsia="仿宋" w:cs="仿宋"/>
          <w:b w:val="0"/>
          <w:bCs w:val="0"/>
          <w:i w:val="0"/>
          <w:iCs w:val="0"/>
          <w:caps w:val="0"/>
          <w:color w:val="auto"/>
          <w:kern w:val="0"/>
          <w:sz w:val="32"/>
          <w:szCs w:val="32"/>
          <w:shd w:val="clear" w:fill="FFFFFF"/>
          <w:lang w:eastAsia="zh-CN"/>
        </w:rPr>
        <w:t>抽查评议</w:t>
      </w:r>
      <w:r>
        <w:rPr>
          <w:rFonts w:hint="eastAsia" w:ascii="仿宋" w:hAnsi="仿宋" w:eastAsia="仿宋" w:cs="仿宋"/>
          <w:b w:val="0"/>
          <w:bCs w:val="0"/>
          <w:i w:val="0"/>
          <w:iCs w:val="0"/>
          <w:caps w:val="0"/>
          <w:color w:val="auto"/>
          <w:kern w:val="0"/>
          <w:sz w:val="32"/>
          <w:szCs w:val="32"/>
          <w:shd w:val="clear" w:fill="FFFFFF"/>
          <w:lang w:val="en-US" w:eastAsia="zh-CN"/>
        </w:rPr>
        <w:t>办</w:t>
      </w:r>
      <w:r>
        <w:rPr>
          <w:rFonts w:hint="eastAsia" w:ascii="仿宋" w:hAnsi="仿宋" w:eastAsia="仿宋" w:cs="仿宋"/>
          <w:b w:val="0"/>
          <w:bCs w:val="0"/>
          <w:i w:val="0"/>
          <w:iCs w:val="0"/>
          <w:caps w:val="0"/>
          <w:color w:val="auto"/>
          <w:kern w:val="0"/>
          <w:sz w:val="32"/>
          <w:szCs w:val="32"/>
          <w:shd w:val="clear" w:fill="FFFFFF"/>
          <w:lang w:eastAsia="zh-CN"/>
        </w:rPr>
        <w:t>件</w:t>
      </w:r>
      <w:r>
        <w:rPr>
          <w:rFonts w:hint="eastAsia" w:ascii="仿宋" w:hAnsi="仿宋" w:eastAsia="仿宋" w:cs="仿宋"/>
          <w:b w:val="0"/>
          <w:bCs w:val="0"/>
          <w:i w:val="0"/>
          <w:iCs w:val="0"/>
          <w:caps w:val="0"/>
          <w:color w:val="auto"/>
          <w:kern w:val="0"/>
          <w:sz w:val="32"/>
          <w:szCs w:val="32"/>
          <w:shd w:val="clear" w:fill="FFFFFF"/>
          <w:lang w:val="en-US" w:eastAsia="zh-CN"/>
        </w:rPr>
        <w:t>120件，列出抽查问题清单，</w:t>
      </w:r>
      <w:r>
        <w:rPr>
          <w:rFonts w:hint="eastAsia" w:ascii="仿宋" w:hAnsi="仿宋" w:eastAsia="仿宋" w:cs="仿宋"/>
          <w:b w:val="0"/>
          <w:bCs w:val="0"/>
          <w:i w:val="0"/>
          <w:iCs w:val="0"/>
          <w:caps w:val="0"/>
          <w:color w:val="auto"/>
          <w:kern w:val="0"/>
          <w:sz w:val="32"/>
          <w:szCs w:val="32"/>
          <w:shd w:val="clear" w:fill="FFFFFF"/>
          <w:lang w:eastAsia="zh-CN"/>
        </w:rPr>
        <w:t>纠正违规审批事项，</w:t>
      </w:r>
      <w:r>
        <w:rPr>
          <w:rFonts w:hint="eastAsia" w:ascii="仿宋" w:hAnsi="仿宋" w:eastAsia="仿宋" w:cs="仿宋"/>
          <w:b w:val="0"/>
          <w:bCs w:val="0"/>
          <w:i w:val="0"/>
          <w:iCs w:val="0"/>
          <w:caps w:val="0"/>
          <w:color w:val="auto"/>
          <w:kern w:val="0"/>
          <w:sz w:val="32"/>
          <w:szCs w:val="32"/>
          <w:shd w:val="clear" w:fill="FFFFFF"/>
          <w:lang w:val="en-US" w:eastAsia="zh-CN"/>
        </w:rPr>
        <w:t>各业务股室对照问题清单进行整改，</w:t>
      </w:r>
      <w:r>
        <w:rPr>
          <w:rFonts w:hint="eastAsia" w:ascii="仿宋" w:hAnsi="仿宋" w:eastAsia="仿宋" w:cs="仿宋"/>
          <w:b w:val="0"/>
          <w:bCs w:val="0"/>
          <w:i w:val="0"/>
          <w:iCs w:val="0"/>
          <w:caps w:val="0"/>
          <w:color w:val="auto"/>
          <w:kern w:val="0"/>
          <w:sz w:val="32"/>
          <w:szCs w:val="32"/>
          <w:shd w:val="clear" w:fill="FFFFFF"/>
          <w:lang w:eastAsia="zh-CN"/>
        </w:rPr>
        <w:t>提高</w:t>
      </w:r>
      <w:r>
        <w:rPr>
          <w:rFonts w:hint="eastAsia" w:ascii="仿宋" w:hAnsi="仿宋" w:eastAsia="仿宋" w:cs="仿宋"/>
          <w:b w:val="0"/>
          <w:bCs w:val="0"/>
          <w:i w:val="0"/>
          <w:iCs w:val="0"/>
          <w:caps w:val="0"/>
          <w:color w:val="auto"/>
          <w:kern w:val="0"/>
          <w:sz w:val="32"/>
          <w:szCs w:val="32"/>
          <w:shd w:val="clear" w:fill="FFFFFF"/>
          <w:lang w:val="en-US" w:eastAsia="zh-CN"/>
        </w:rPr>
        <w:t>行政审批服务的质量和效率。</w:t>
      </w:r>
    </w:p>
    <w:p w14:paraId="490C6F61">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leftChars="0" w:firstLine="680" w:firstLineChars="200"/>
        <w:jc w:val="both"/>
        <w:textAlignment w:val="auto"/>
        <w:rPr>
          <w:rFonts w:hint="eastAsia" w:ascii="仿宋" w:hAnsi="仿宋" w:eastAsia="仿宋" w:cs="仿宋"/>
          <w:b w:val="0"/>
          <w:bCs w:val="0"/>
          <w:i w:val="0"/>
          <w:iCs w:val="0"/>
          <w:caps w:val="0"/>
          <w:color w:val="auto"/>
          <w:kern w:val="0"/>
          <w:sz w:val="32"/>
          <w:szCs w:val="32"/>
          <w:shd w:val="clear" w:fill="FFFFFF"/>
          <w:lang w:val="en-US" w:eastAsia="zh-CN"/>
        </w:rPr>
      </w:pPr>
      <w:r>
        <w:rPr>
          <w:rFonts w:hint="eastAsia" w:ascii="仿宋" w:hAnsi="仿宋" w:eastAsia="仿宋" w:cs="仿宋"/>
          <w:b w:val="0"/>
          <w:bCs w:val="0"/>
          <w:i w:val="0"/>
          <w:iCs w:val="0"/>
          <w:caps w:val="0"/>
          <w:color w:val="auto"/>
          <w:kern w:val="0"/>
          <w:sz w:val="32"/>
          <w:szCs w:val="32"/>
          <w:shd w:val="clear" w:fill="FFFFFF"/>
          <w:lang w:val="en" w:eastAsia="zh-CN"/>
        </w:rPr>
        <w:t>感谢您对</w:t>
      </w:r>
      <w:r>
        <w:rPr>
          <w:rFonts w:hint="eastAsia" w:ascii="仿宋" w:hAnsi="仿宋" w:eastAsia="仿宋" w:cs="仿宋"/>
          <w:b w:val="0"/>
          <w:bCs w:val="0"/>
          <w:i w:val="0"/>
          <w:iCs w:val="0"/>
          <w:caps w:val="0"/>
          <w:color w:val="auto"/>
          <w:kern w:val="0"/>
          <w:sz w:val="32"/>
          <w:szCs w:val="32"/>
          <w:shd w:val="clear" w:fill="FFFFFF"/>
          <w:lang w:val="en-US" w:eastAsia="zh-CN"/>
        </w:rPr>
        <w:t>营商环境工作的关心和支持，下一步，我们将聚力改革攻坚，强化政策落实，抓好经济工作中“营商环境”这个第一要件，为全县民营经济高质量发展提供坚实保障。欢迎您今后提出更多宝贵意见！</w:t>
      </w:r>
    </w:p>
    <w:p w14:paraId="24BBC9C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p>
    <w:p w14:paraId="2AF13CC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单位负责人：于建龙　　　　　</w:t>
      </w:r>
    </w:p>
    <w:p w14:paraId="4A4D1B82">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承办人员：王晓丽　　　　　</w:t>
      </w:r>
    </w:p>
    <w:p w14:paraId="329979BE">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联系电话：3201125</w:t>
      </w:r>
    </w:p>
    <w:p w14:paraId="24C7462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p>
    <w:p w14:paraId="39E74A92">
      <w:pPr>
        <w:pStyle w:val="2"/>
        <w:keepNext w:val="0"/>
        <w:keepLines w:val="0"/>
        <w:pageBreakBefore w:val="0"/>
        <w:kinsoku/>
        <w:wordWrap/>
        <w:overflowPunct/>
        <w:topLinePunct w:val="0"/>
        <w:autoSpaceDE/>
        <w:autoSpaceDN/>
        <w:bidi w:val="0"/>
        <w:adjustRightInd/>
        <w:snapToGrid/>
        <w:spacing w:after="0" w:afterLines="0" w:line="600" w:lineRule="exact"/>
        <w:ind w:left="0"/>
        <w:textAlignment w:val="auto"/>
        <w:rPr>
          <w:rFonts w:hint="eastAsia" w:ascii="仿宋" w:hAnsi="仿宋" w:eastAsia="仿宋" w:cs="仿宋"/>
          <w:color w:val="auto"/>
          <w:lang w:val="en-US" w:eastAsia="zh-CN"/>
        </w:rPr>
      </w:pPr>
    </w:p>
    <w:p w14:paraId="37A24F2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阳城县行政审批服务管理局　　　　</w:t>
      </w:r>
    </w:p>
    <w:p w14:paraId="5E9D73A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2024年8月22</w:t>
      </w:r>
      <w:bookmarkStart w:id="0" w:name="_GoBack"/>
      <w:bookmarkEnd w:id="0"/>
      <w:r>
        <w:rPr>
          <w:rFonts w:hint="eastAsia" w:ascii="仿宋" w:hAnsi="仿宋" w:eastAsia="仿宋" w:cs="仿宋"/>
          <w:color w:val="auto"/>
          <w:sz w:val="32"/>
          <w:szCs w:val="32"/>
          <w:lang w:val="en-US" w:eastAsia="zh-CN"/>
        </w:rPr>
        <w:t>日</w:t>
      </w:r>
      <w:r>
        <w:rPr>
          <w:rFonts w:hint="eastAsia" w:ascii="仿宋" w:hAnsi="仿宋" w:eastAsia="仿宋" w:cs="仿宋"/>
          <w:color w:val="auto"/>
          <w:lang w:val="en-US" w:eastAsia="zh-CN"/>
        </w:rPr>
        <w:t>　　</w:t>
      </w:r>
    </w:p>
    <w:p w14:paraId="69400BC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仿宋_GB2312" w:hAnsi="仿宋_GB2312" w:eastAsia="仿宋_GB2312" w:cs="仿宋_GB2312"/>
          <w:color w:val="auto"/>
          <w:spacing w:val="0"/>
          <w:w w:val="100"/>
          <w:sz w:val="32"/>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YTAwMjZhNTNlNzM0YzRmY2QzMTM1NzIxMGUzNjAifQ=="/>
  </w:docVars>
  <w:rsids>
    <w:rsidRoot w:val="00000000"/>
    <w:rsid w:val="002F21FB"/>
    <w:rsid w:val="053C560A"/>
    <w:rsid w:val="0FDF596F"/>
    <w:rsid w:val="17945DC8"/>
    <w:rsid w:val="20F022B9"/>
    <w:rsid w:val="32413DDA"/>
    <w:rsid w:val="35EB79DF"/>
    <w:rsid w:val="6B353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Calibri" w:hAnsi="Calibri" w:eastAsia="宋体" w:cs="Times New Roman"/>
      <w:spacing w:val="10"/>
      <w:sz w:val="21"/>
      <w:szCs w:val="22"/>
    </w:rPr>
  </w:style>
  <w:style w:type="paragraph" w:styleId="2">
    <w:name w:val="heading 1"/>
    <w:basedOn w:val="1"/>
    <w:next w:val="1"/>
    <w:qFormat/>
    <w:uiPriority w:val="0"/>
    <w:pPr>
      <w:spacing w:after="50" w:afterLines="50" w:line="640" w:lineRule="exact"/>
      <w:outlineLvl w:val="0"/>
    </w:pPr>
    <w:rPr>
      <w:rFonts w:ascii="方正小标宋简体" w:eastAsia="方正小标宋简体"/>
      <w:sz w:val="44"/>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240" w:lineRule="auto"/>
      <w:ind w:firstLine="420"/>
    </w:pPr>
    <w:rPr>
      <w:rFonts w:ascii="Calibri" w:hAnsi="Calibri" w:eastAsia="宋体" w:cs="黑体"/>
      <w:sz w:val="21"/>
    </w:rPr>
  </w:style>
  <w:style w:type="paragraph" w:styleId="4">
    <w:name w:val="Salutation"/>
    <w:next w:val="1"/>
    <w:qFormat/>
    <w:uiPriority w:val="0"/>
    <w:pPr>
      <w:widowControl w:val="0"/>
      <w:suppressAutoHyphens w:val="0"/>
      <w:spacing w:before="0" w:beforeLines="0" w:after="0" w:afterLines="0" w:line="365" w:lineRule="atLeast"/>
      <w:ind w:left="1" w:right="0" w:firstLine="0" w:firstLineChars="0"/>
      <w:jc w:val="both"/>
      <w:textAlignment w:val="bottom"/>
    </w:pPr>
    <w:rPr>
      <w:rFonts w:ascii="Calibri" w:hAnsi="Calibri" w:eastAsia="宋体" w:cs="Times New Roman"/>
      <w:spacing w:val="10"/>
      <w:sz w:val="21"/>
      <w:szCs w:val="20"/>
    </w:rPr>
  </w:style>
  <w:style w:type="paragraph" w:styleId="5">
    <w:name w:val="Body Text"/>
    <w:basedOn w:val="1"/>
    <w:next w:val="1"/>
    <w:qFormat/>
    <w:uiPriority w:val="0"/>
    <w:pPr>
      <w:spacing w:after="120"/>
    </w:pPr>
    <w:rPr>
      <w:rFonts w:ascii="Times New Roman" w:hAnsi="Times New Roman" w:eastAsia="宋体" w:cs="Times New Roman"/>
    </w:rPr>
  </w:style>
  <w:style w:type="paragraph" w:styleId="6">
    <w:name w:val="Body Text Indent"/>
    <w:basedOn w:val="1"/>
    <w:qFormat/>
    <w:uiPriority w:val="99"/>
    <w:pPr>
      <w:ind w:left="420" w:leftChars="200"/>
    </w:pPr>
  </w:style>
  <w:style w:type="paragraph" w:styleId="7">
    <w:name w:val="Body Text Indent 2"/>
    <w:basedOn w:val="1"/>
    <w:next w:val="8"/>
    <w:unhideWhenUsed/>
    <w:qFormat/>
    <w:uiPriority w:val="99"/>
    <w:pPr>
      <w:widowControl w:val="0"/>
      <w:spacing w:line="240" w:lineRule="auto"/>
      <w:ind w:left="0" w:leftChars="0" w:firstLine="883" w:firstLineChars="200"/>
      <w:jc w:val="both"/>
    </w:pPr>
    <w:rPr>
      <w:rFonts w:ascii="仿宋" w:hAnsi="仿宋" w:eastAsia="仿宋" w:cs="仿宋"/>
      <w:kern w:val="2"/>
      <w:sz w:val="32"/>
      <w:szCs w:val="32"/>
      <w:lang w:val="en-US" w:eastAsia="zh-CN" w:bidi="ar-SA"/>
    </w:rPr>
  </w:style>
  <w:style w:type="paragraph" w:styleId="8">
    <w:name w:val="Body Text First Indent 2"/>
    <w:basedOn w:val="6"/>
    <w:next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1742</Words>
  <Characters>1771</Characters>
  <Lines>0</Lines>
  <Paragraphs>0</Paragraphs>
  <TotalTime>73</TotalTime>
  <ScaleCrop>false</ScaleCrop>
  <LinksUpToDate>false</LinksUpToDate>
  <CharactersWithSpaces>1876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2024-08-06T08:30:00Z</dcterms:created>
  <dc:creator>Lenovo</dc:creator>
  <cp:lastModifiedBy>姬子。</cp:lastModifiedBy>
  <cp:lastPrinted>2024-08-22T03:49:45Z</cp:lastPrinted>
  <dcterms:modified xsi:type="dcterms:W3CDTF">2024-08-22T03:51:10Z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F5078780FF9B490789EBAA5E5CC35DD3_12</vt:lpwstr>
  </property>
</Properties>
</file>