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阳城县行政审批服务管理局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2022年，阳城县行政审批服务管理局紧紧围绕政府信息公开工作要点，</w:t>
      </w:r>
      <w:r>
        <w:rPr>
          <w:rFonts w:ascii="仿宋_GB2312" w:hAnsi="宋体" w:eastAsia="仿宋_GB2312" w:cs="仿宋_GB2312"/>
          <w:i w:val="0"/>
          <w:iCs w:val="0"/>
          <w:caps w:val="0"/>
          <w:color w:val="333333"/>
          <w:spacing w:val="0"/>
          <w:sz w:val="31"/>
          <w:szCs w:val="31"/>
          <w:shd w:val="clear" w:fill="FFFFFF"/>
        </w:rPr>
        <w:t>进一步完善政务公开制度，加大政务公开工作力度，坚持把政</w:t>
      </w:r>
      <w:r>
        <w:rPr>
          <w:rFonts w:hint="eastAsia" w:ascii="仿宋" w:hAnsi="仿宋" w:eastAsia="仿宋" w:cs="仿宋"/>
          <w:sz w:val="32"/>
          <w:szCs w:val="32"/>
          <w:lang w:val="en-US" w:eastAsia="zh-CN"/>
        </w:rPr>
        <w:t>务公开作为服务群众的重要渠道，作为提升自身服务水平的重要手段，以公开为常态、不公开为例外的原则，扎实推进政务服务领域政府信息公开各项工作。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w:t>
      </w:r>
      <w:r>
        <w:rPr>
          <w:rFonts w:hint="eastAsia" w:ascii="楷体" w:hAnsi="楷体" w:eastAsia="楷体" w:cs="楷体"/>
          <w:sz w:val="32"/>
          <w:szCs w:val="32"/>
        </w:rPr>
        <w:t>主动公开</w:t>
      </w:r>
      <w:r>
        <w:rPr>
          <w:rFonts w:hint="eastAsia" w:ascii="楷体" w:hAnsi="楷体" w:eastAsia="楷体" w:cs="楷体"/>
          <w:sz w:val="32"/>
          <w:szCs w:val="32"/>
          <w:lang w:eastAsia="zh-CN"/>
        </w:rPr>
        <w:t>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highlight w:val="none"/>
          <w:lang w:val="en-US" w:eastAsia="zh-CN"/>
        </w:rPr>
        <w:t>全年在政府网站主动公开信息8763条，其中双公示7599条，公告公示248条，法规文件20条、工作动态78条、总结计划2条、部门工作67条、财政信息4条、政策解读7条、提案办理7条、</w:t>
      </w:r>
      <w:r>
        <w:rPr>
          <w:rFonts w:hint="eastAsia" w:ascii="仿宋" w:hAnsi="仿宋" w:eastAsia="仿宋" w:cs="仿宋"/>
          <w:b w:val="0"/>
          <w:bCs w:val="0"/>
          <w:color w:val="auto"/>
          <w:sz w:val="32"/>
          <w:szCs w:val="32"/>
          <w:highlight w:val="none"/>
          <w:lang w:val="en-US" w:eastAsia="zh-CN"/>
        </w:rPr>
        <w:t>权责清单1条、法治政府建设信息4条、重大建设项目事项189条、公共资源交易信息537条。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（二）依申请公开方面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2022年我局无依申请公开相关内容。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严格按照政府信息管理相关规定对公开信息进行审核并公开，平台建设方面严格按照政务外网管理相关要求进行，监督保障方面对不符合要求的及时撤回修改再公开。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（四）政府信息公开平台建设方面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不断充实完善政务服务网功能。阳城县政务服务网与省级政务服务平台及多个部门业务专网互联互通，实现单点注册，全网登录。开设了“一件事一次办”、工程建设项目审批管理系统、公共资源交易、小微企业和个体工商网上登记、“套餐式”服务等多个政务服务专题。全年</w:t>
      </w:r>
      <w:r>
        <w:rPr>
          <w:rFonts w:hint="eastAsia" w:ascii="仿宋" w:hAnsi="仿宋" w:eastAsia="仿宋" w:cs="仿宋"/>
          <w:b w:val="0"/>
          <w:bCs w:val="0"/>
          <w:color w:val="auto"/>
          <w:sz w:val="32"/>
          <w:szCs w:val="32"/>
          <w:lang w:val="en-US" w:eastAsia="zh-CN"/>
        </w:rPr>
        <w:t>共梳理发布</w:t>
      </w:r>
      <w:r>
        <w:rPr>
          <w:rFonts w:hint="eastAsia" w:ascii="仿宋" w:hAnsi="仿宋" w:eastAsia="仿宋" w:cs="仿宋"/>
          <w:b w:val="0"/>
          <w:bCs w:val="0"/>
          <w:sz w:val="32"/>
          <w:szCs w:val="32"/>
          <w:lang w:val="en-US" w:eastAsia="zh-CN"/>
        </w:rPr>
        <w:t>1422项依申请六类许可事项办事指南</w:t>
      </w:r>
      <w:r>
        <w:rPr>
          <w:rFonts w:hint="eastAsia" w:ascii="仿宋" w:hAnsi="仿宋" w:eastAsia="仿宋" w:cs="仿宋"/>
          <w:b w:val="0"/>
          <w:bCs w:val="0"/>
          <w:color w:val="auto"/>
          <w:sz w:val="32"/>
          <w:szCs w:val="32"/>
          <w:lang w:val="en-US" w:eastAsia="zh-CN"/>
        </w:rPr>
        <w:t>，网办率达到100%</w:t>
      </w:r>
      <w:r>
        <w:rPr>
          <w:rFonts w:hint="eastAsia" w:ascii="仿宋" w:hAnsi="仿宋" w:eastAsia="仿宋" w:cs="仿宋"/>
          <w:sz w:val="32"/>
          <w:szCs w:val="32"/>
          <w:lang w:val="en-US" w:eastAsia="zh-CN"/>
        </w:rPr>
        <w:t>，为企业群众提供查询、办事、咨询、评价等服务，初步实现了“一网通办”。</w:t>
      </w:r>
      <w:r>
        <w:rPr>
          <w:rFonts w:hint="eastAsia" w:ascii="楷体" w:hAnsi="楷体" w:eastAsia="楷体" w:cs="楷体"/>
          <w:sz w:val="32"/>
          <w:szCs w:val="32"/>
          <w:lang w:val="en-US" w:eastAsia="zh-CN"/>
        </w:rPr>
        <w:br w:type="textWrapping"/>
      </w:r>
      <w:r>
        <w:rPr>
          <w:rFonts w:hint="eastAsia" w:ascii="楷体" w:hAnsi="楷体" w:eastAsia="楷体" w:cs="楷体"/>
          <w:sz w:val="32"/>
          <w:szCs w:val="32"/>
          <w:lang w:val="en-US" w:eastAsia="zh-CN"/>
        </w:rPr>
        <w:t xml:space="preserve">    </w:t>
      </w:r>
      <w:r>
        <w:rPr>
          <w:rFonts w:hint="eastAsia" w:ascii="仿宋" w:hAnsi="仿宋" w:eastAsia="仿宋" w:cs="仿宋"/>
          <w:sz w:val="32"/>
          <w:szCs w:val="32"/>
          <w:lang w:val="en-US" w:eastAsia="zh-CN"/>
        </w:rPr>
        <w:t>2.加快政务移动端建设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rPr>
        <w:t>“阳城县政务服务”APP</w:t>
      </w:r>
      <w:r>
        <w:rPr>
          <w:rFonts w:hint="eastAsia" w:ascii="仿宋" w:hAnsi="仿宋" w:eastAsia="仿宋"/>
          <w:sz w:val="32"/>
          <w:szCs w:val="32"/>
          <w:lang w:eastAsia="zh-CN"/>
        </w:rPr>
        <w:t>与“阳城县政务服务网”充分对接，开设</w:t>
      </w:r>
      <w:r>
        <w:rPr>
          <w:rFonts w:hint="eastAsia" w:ascii="仿宋" w:hAnsi="仿宋" w:eastAsia="仿宋"/>
          <w:sz w:val="32"/>
          <w:szCs w:val="32"/>
        </w:rPr>
        <w:t>办事指南、</w:t>
      </w:r>
      <w:r>
        <w:rPr>
          <w:rFonts w:hint="eastAsia" w:ascii="仿宋" w:hAnsi="仿宋" w:eastAsia="仿宋"/>
          <w:sz w:val="32"/>
          <w:szCs w:val="32"/>
          <w:lang w:eastAsia="zh-CN"/>
        </w:rPr>
        <w:t>办件查询、公示公告、政民互动、网上办理</w:t>
      </w:r>
      <w:r>
        <w:rPr>
          <w:rFonts w:hint="eastAsia" w:ascii="仿宋" w:hAnsi="仿宋" w:eastAsia="仿宋"/>
          <w:sz w:val="32"/>
          <w:szCs w:val="32"/>
        </w:rPr>
        <w:t>等多项便民服务栏目,打破了政务服务时间和空间的限制</w:t>
      </w:r>
      <w:r>
        <w:rPr>
          <w:rFonts w:hint="eastAsia" w:ascii="仿宋" w:hAnsi="仿宋" w:eastAsia="仿宋"/>
          <w:sz w:val="32"/>
          <w:szCs w:val="32"/>
          <w:lang w:eastAsia="zh-CN"/>
        </w:rPr>
        <w:t>，</w:t>
      </w:r>
      <w:r>
        <w:rPr>
          <w:rFonts w:hint="eastAsia" w:ascii="仿宋" w:hAnsi="仿宋" w:eastAsia="仿宋"/>
          <w:sz w:val="32"/>
          <w:szCs w:val="32"/>
        </w:rPr>
        <w:t>极大的方便了群众办事。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3.健全政务服务“好差评”工作机制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是成立推进政务服务“好差评”工作专班，建立“好差评”工作监督检查及差评反馈等工作机制，确保“差评”问题得到及时有效解决,提高政务服务“好差评”评价信息透明度和群众对政务服务工作的满意度。二是完善评价渠道。在政务大厅所有窗口设置“好差评”二维码评价器，并完成与省一体化在线政务服务“好差评”系统对接工作，群众在窗口办理业务时，可通过扫描二维码对窗口人员提供的服务进行评价，对窗口办事人员起到监督评价作用，倒逼政务服务水平不断提升。</w:t>
      </w:r>
      <w:r>
        <w:rPr>
          <w:rFonts w:hint="eastAsia" w:ascii="仿宋" w:hAnsi="仿宋" w:eastAsia="仿宋" w:cs="仿宋"/>
          <w:sz w:val="32"/>
          <w:szCs w:val="32"/>
          <w:lang w:val="en-US" w:eastAsia="zh-CN"/>
        </w:rPr>
        <w:t>全县15个乡镇和29个县直部门已全部配备好差评评价器和评价事项二维码，实现全县县直部门和乡镇办事窗口评价器全覆盖。</w:t>
      </w:r>
      <w:bookmarkStart w:id="0" w:name="_GoBack"/>
      <w:bookmarkEnd w:id="0"/>
      <w:r>
        <w:rPr>
          <w:rFonts w:hint="eastAsia" w:ascii="仿宋" w:hAnsi="仿宋" w:eastAsia="仿宋" w:cs="仿宋"/>
          <w:b w:val="0"/>
          <w:bCs w:val="0"/>
          <w:color w:val="auto"/>
          <w:sz w:val="32"/>
          <w:szCs w:val="32"/>
          <w:lang w:val="en-US" w:eastAsia="zh-CN"/>
        </w:rPr>
        <w:t>全年</w:t>
      </w:r>
      <w:r>
        <w:rPr>
          <w:rFonts w:hint="eastAsia" w:ascii="仿宋" w:hAnsi="仿宋" w:eastAsia="仿宋" w:cs="仿宋"/>
          <w:b w:val="0"/>
          <w:bCs w:val="0"/>
          <w:sz w:val="32"/>
          <w:szCs w:val="32"/>
          <w:highlight w:val="none"/>
          <w:lang w:val="en-US" w:eastAsia="zh-CN"/>
        </w:rPr>
        <w:t>“好差评”评价量220222个，好评率100%</w:t>
      </w:r>
      <w:r>
        <w:rPr>
          <w:rFonts w:hint="eastAsia" w:ascii="仿宋" w:hAnsi="仿宋" w:eastAsia="仿宋" w:cs="仿宋"/>
          <w:b w:val="0"/>
          <w:bCs w:val="0"/>
          <w:color w:val="auto"/>
          <w:sz w:val="32"/>
          <w:szCs w:val="32"/>
          <w:lang w:val="en-US" w:eastAsia="zh-CN"/>
        </w:rPr>
        <w:t>。三是通过设置宣传板、LED显示屏滚动播放及微信公众号等渠道大力宣传，做好引导群众评价工作，切实发挥“好差评”系统评价作用，将群众的评价转化为持续改进政务服务工作的动力，促进政务服务水平不断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（五）监督保障方面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 w:hAnsi="仿宋" w:eastAsia="仿宋" w:cs="仿宋"/>
          <w:sz w:val="32"/>
          <w:szCs w:val="32"/>
          <w:lang w:val="en-US" w:eastAsia="zh-CN"/>
        </w:rPr>
        <w:t>严格落实《中华人民共和国政府信息公开条例》精神，按照“谁公开、谁审查”“先审查、后公开”和“一事一审”的原则，在公文拟制过程中，对公开与保密进行同步审查，防止保密审查与政务公开工作脱节。实行主办股室、运行监管股、局领导三级公开审查机制，加强政府信息公开前的审查力度。未经审查和批准，不对外公开发布政府信息。</w:t>
      </w:r>
    </w:p>
    <w:p>
      <w:pPr>
        <w:spacing w:line="586" w:lineRule="exact"/>
        <w:ind w:firstLine="640" w:firstLineChars="200"/>
        <w:rPr>
          <w:rFonts w:hint="eastAsia"/>
        </w:rPr>
      </w:pPr>
      <w:r>
        <w:rPr>
          <w:rFonts w:hint="eastAsia" w:ascii="黑体" w:hAnsi="黑体" w:eastAsia="黑体" w:cs="黑体"/>
          <w:sz w:val="32"/>
          <w:szCs w:val="32"/>
        </w:rPr>
        <w:t>二、主动公开政府信息情况</w:t>
      </w:r>
    </w:p>
    <w:tbl>
      <w:tblPr>
        <w:tblStyle w:val="2"/>
        <w:tblW w:w="0" w:type="auto"/>
        <w:jc w:val="center"/>
        <w:tblLayout w:type="fixed"/>
        <w:tblCellMar>
          <w:top w:w="0" w:type="dxa"/>
          <w:left w:w="0" w:type="dxa"/>
          <w:bottom w:w="0" w:type="dxa"/>
          <w:right w:w="0" w:type="dxa"/>
        </w:tblCellMar>
      </w:tblPr>
      <w:tblGrid>
        <w:gridCol w:w="2392"/>
        <w:gridCol w:w="2392"/>
        <w:gridCol w:w="1845"/>
        <w:gridCol w:w="1951"/>
      </w:tblGrid>
      <w:tr>
        <w:tblPrEx>
          <w:tblCellMar>
            <w:top w:w="0" w:type="dxa"/>
            <w:left w:w="0" w:type="dxa"/>
            <w:bottom w:w="0" w:type="dxa"/>
            <w:right w:w="0" w:type="dxa"/>
          </w:tblCellMar>
        </w:tblPrEx>
        <w:trPr>
          <w:trHeight w:val="435" w:hRule="atLeast"/>
          <w:jc w:val="center"/>
        </w:trPr>
        <w:tc>
          <w:tcPr>
            <w:tcW w:w="85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r>
              <w:rPr>
                <w:rFonts w:hint="eastAsia"/>
              </w:rPr>
              <w:t>第二十条第（一）项</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信息内容</w:t>
            </w:r>
          </w:p>
        </w:tc>
        <w:tc>
          <w:tcPr>
            <w:tcW w:w="2392" w:type="dxa"/>
            <w:tcBorders>
              <w:top w:val="single" w:color="auto" w:sz="8" w:space="0"/>
              <w:left w:val="nil"/>
              <w:bottom w:val="single" w:color="auto" w:sz="8" w:space="0"/>
              <w:right w:val="single" w:color="auto" w:sz="8" w:space="0"/>
            </w:tcBorders>
            <w:noWrap w:val="0"/>
            <w:tcMar>
              <w:left w:w="57" w:type="dxa"/>
              <w:right w:w="57" w:type="dxa"/>
            </w:tcMar>
            <w:vAlign w:val="center"/>
          </w:tcPr>
          <w:p>
            <w:r>
              <w:rPr>
                <w:rFonts w:hint="eastAsia"/>
              </w:rPr>
              <w:t>本年制发件数</w:t>
            </w:r>
          </w:p>
        </w:tc>
        <w:tc>
          <w:tcPr>
            <w:tcW w:w="1845" w:type="dxa"/>
            <w:tcBorders>
              <w:top w:val="single" w:color="auto" w:sz="8" w:space="0"/>
              <w:left w:val="nil"/>
              <w:bottom w:val="single" w:color="auto" w:sz="8" w:space="0"/>
              <w:right w:val="single" w:color="auto" w:sz="8" w:space="0"/>
            </w:tcBorders>
            <w:noWrap w:val="0"/>
            <w:tcMar>
              <w:left w:w="57" w:type="dxa"/>
              <w:right w:w="57" w:type="dxa"/>
            </w:tcMar>
            <w:vAlign w:val="center"/>
          </w:tcPr>
          <w:p>
            <w:r>
              <w:rPr>
                <w:rFonts w:hint="eastAsia"/>
              </w:rPr>
              <w:t>本年废止件数</w:t>
            </w:r>
          </w:p>
        </w:tc>
        <w:tc>
          <w:tcPr>
            <w:tcW w:w="1951" w:type="dxa"/>
            <w:tcBorders>
              <w:top w:val="single" w:color="auto" w:sz="8" w:space="0"/>
              <w:left w:val="nil"/>
              <w:bottom w:val="single" w:color="auto" w:sz="8" w:space="0"/>
              <w:right w:val="single" w:color="auto" w:sz="8" w:space="0"/>
            </w:tcBorders>
            <w:noWrap w:val="0"/>
            <w:tcMar>
              <w:left w:w="57" w:type="dxa"/>
              <w:right w:w="57" w:type="dxa"/>
            </w:tcMar>
            <w:vAlign w:val="center"/>
          </w:tcPr>
          <w:p>
            <w:r>
              <w:rPr>
                <w:rFonts w:hint="eastAsia"/>
              </w:rPr>
              <w:t>现行有效件数</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规章</w:t>
            </w:r>
          </w:p>
        </w:tc>
        <w:tc>
          <w:tcPr>
            <w:tcW w:w="2392" w:type="dxa"/>
            <w:tcBorders>
              <w:top w:val="nil"/>
              <w:left w:val="nil"/>
              <w:bottom w:val="single" w:color="auto" w:sz="8" w:space="0"/>
              <w:right w:val="single" w:color="auto"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c>
          <w:tcPr>
            <w:tcW w:w="1845" w:type="dxa"/>
            <w:tcBorders>
              <w:top w:val="nil"/>
              <w:left w:val="nil"/>
              <w:bottom w:val="single" w:color="auto" w:sz="8" w:space="0"/>
              <w:right w:val="single" w:color="auto"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c>
          <w:tcPr>
            <w:tcW w:w="1951" w:type="dxa"/>
            <w:tcBorders>
              <w:top w:val="nil"/>
              <w:left w:val="nil"/>
              <w:bottom w:val="single" w:color="auto" w:sz="8" w:space="0"/>
              <w:right w:val="single" w:color="auto"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行政规范性文件</w:t>
            </w:r>
          </w:p>
        </w:tc>
        <w:tc>
          <w:tcPr>
            <w:tcW w:w="2392" w:type="dxa"/>
            <w:tcBorders>
              <w:top w:val="nil"/>
              <w:left w:val="nil"/>
              <w:bottom w:val="single" w:color="auto" w:sz="8" w:space="0"/>
              <w:right w:val="single" w:color="auto" w:sz="8" w:space="0"/>
            </w:tcBorders>
            <w:noWrap w:val="0"/>
            <w:tcMar>
              <w:left w:w="57" w:type="dxa"/>
              <w:right w:w="57" w:type="dxa"/>
            </w:tcMar>
            <w:vAlign w:val="center"/>
          </w:tcPr>
          <w:p>
            <w:pPr>
              <w:rPr>
                <w:rFonts w:hint="default" w:eastAsia="宋体"/>
                <w:lang w:val="en-US" w:eastAsia="zh-CN"/>
              </w:rPr>
            </w:pPr>
            <w:r>
              <w:rPr>
                <w:rFonts w:hint="eastAsia"/>
                <w:lang w:val="en-US" w:eastAsia="zh-CN"/>
              </w:rPr>
              <w:t>0</w:t>
            </w:r>
          </w:p>
        </w:tc>
        <w:tc>
          <w:tcPr>
            <w:tcW w:w="1845" w:type="dxa"/>
            <w:tcBorders>
              <w:top w:val="nil"/>
              <w:left w:val="nil"/>
              <w:bottom w:val="single" w:color="auto" w:sz="8" w:space="0"/>
              <w:right w:val="single" w:color="auto"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c>
          <w:tcPr>
            <w:tcW w:w="1951" w:type="dxa"/>
            <w:tcBorders>
              <w:top w:val="nil"/>
              <w:left w:val="nil"/>
              <w:bottom w:val="single" w:color="auto" w:sz="8" w:space="0"/>
              <w:right w:val="single" w:color="auto" w:sz="8" w:space="0"/>
            </w:tcBorders>
            <w:noWrap w:val="0"/>
            <w:tcMar>
              <w:left w:w="57" w:type="dxa"/>
              <w:right w:w="57" w:type="dxa"/>
            </w:tcMar>
            <w:vAlign w:val="center"/>
          </w:tcPr>
          <w:p>
            <w:pPr>
              <w:rPr>
                <w:rFonts w:hint="default" w:eastAsia="宋体"/>
                <w:lang w:val="en-US" w:eastAsia="zh-CN"/>
              </w:rPr>
            </w:pPr>
            <w:r>
              <w:rPr>
                <w:rFonts w:hint="eastAsia"/>
                <w:lang w:val="en-US" w:eastAsia="zh-CN"/>
              </w:rPr>
              <w:t>45</w:t>
            </w:r>
          </w:p>
        </w:tc>
      </w:tr>
      <w:tr>
        <w:tblPrEx>
          <w:tblCellMar>
            <w:top w:w="0" w:type="dxa"/>
            <w:left w:w="0" w:type="dxa"/>
            <w:bottom w:w="0" w:type="dxa"/>
            <w:right w:w="0" w:type="dxa"/>
          </w:tblCellMar>
        </w:tblPrEx>
        <w:trPr>
          <w:trHeight w:val="435" w:hRule="atLeast"/>
          <w:jc w:val="center"/>
        </w:trPr>
        <w:tc>
          <w:tcPr>
            <w:tcW w:w="85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r>
              <w:rPr>
                <w:rFonts w:hint="eastAsia"/>
              </w:rPr>
              <w:t>第二十条第（五）项</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信息内容</w:t>
            </w:r>
          </w:p>
        </w:tc>
        <w:tc>
          <w:tcPr>
            <w:tcW w:w="6188" w:type="dxa"/>
            <w:gridSpan w:val="3"/>
            <w:tcBorders>
              <w:top w:val="nil"/>
              <w:left w:val="nil"/>
              <w:bottom w:val="single" w:color="auto" w:sz="8" w:space="0"/>
              <w:right w:val="single" w:color="auto" w:sz="8" w:space="0"/>
            </w:tcBorders>
            <w:noWrap w:val="0"/>
            <w:tcMar>
              <w:left w:w="57" w:type="dxa"/>
              <w:right w:w="57" w:type="dxa"/>
            </w:tcMar>
            <w:vAlign w:val="center"/>
          </w:tcPr>
          <w:p>
            <w:r>
              <w:rPr>
                <w:rFonts w:hint="eastAsia"/>
              </w:rPr>
              <w:t>本年处理决定数量</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行政许可</w:t>
            </w:r>
          </w:p>
        </w:tc>
        <w:tc>
          <w:tcPr>
            <w:tcW w:w="6188" w:type="dxa"/>
            <w:gridSpan w:val="3"/>
            <w:tcBorders>
              <w:top w:val="nil"/>
              <w:left w:val="nil"/>
              <w:bottom w:val="single" w:color="auto" w:sz="8" w:space="0"/>
              <w:right w:val="single" w:color="auto" w:sz="8" w:space="0"/>
            </w:tcBorders>
            <w:noWrap w:val="0"/>
            <w:tcMar>
              <w:left w:w="57" w:type="dxa"/>
              <w:right w:w="57" w:type="dxa"/>
            </w:tcMar>
            <w:vAlign w:val="center"/>
          </w:tcPr>
          <w:p>
            <w:pPr>
              <w:rPr>
                <w:rFonts w:hint="default" w:eastAsia="宋体"/>
                <w:lang w:val="en-US" w:eastAsia="zh-CN"/>
              </w:rPr>
            </w:pPr>
            <w:r>
              <w:rPr>
                <w:rFonts w:hint="eastAsia"/>
                <w:lang w:val="en-US" w:eastAsia="zh-CN"/>
              </w:rPr>
              <w:t>1241</w:t>
            </w:r>
          </w:p>
        </w:tc>
      </w:tr>
      <w:tr>
        <w:tblPrEx>
          <w:tblCellMar>
            <w:top w:w="0" w:type="dxa"/>
            <w:left w:w="0" w:type="dxa"/>
            <w:bottom w:w="0" w:type="dxa"/>
            <w:right w:w="0" w:type="dxa"/>
          </w:tblCellMar>
        </w:tblPrEx>
        <w:trPr>
          <w:trHeight w:val="435" w:hRule="atLeast"/>
          <w:jc w:val="center"/>
        </w:trPr>
        <w:tc>
          <w:tcPr>
            <w:tcW w:w="85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r>
              <w:rPr>
                <w:rFonts w:hint="eastAsia"/>
              </w:rPr>
              <w:t>第二十条第（六）项</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信息内容</w:t>
            </w:r>
          </w:p>
        </w:tc>
        <w:tc>
          <w:tcPr>
            <w:tcW w:w="618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r>
              <w:rPr>
                <w:rFonts w:hint="eastAsia"/>
              </w:rPr>
              <w:t>本年处理决定数量</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行政处罚</w:t>
            </w:r>
          </w:p>
        </w:tc>
        <w:tc>
          <w:tcPr>
            <w:tcW w:w="6188" w:type="dxa"/>
            <w:gridSpan w:val="3"/>
            <w:tcBorders>
              <w:top w:val="nil"/>
              <w:left w:val="nil"/>
              <w:bottom w:val="single" w:color="auto" w:sz="8" w:space="0"/>
              <w:right w:val="single" w:color="auto"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行政强制</w:t>
            </w:r>
          </w:p>
        </w:tc>
        <w:tc>
          <w:tcPr>
            <w:tcW w:w="6188" w:type="dxa"/>
            <w:gridSpan w:val="3"/>
            <w:tcBorders>
              <w:top w:val="nil"/>
              <w:left w:val="nil"/>
              <w:bottom w:val="single" w:color="auto" w:sz="8" w:space="0"/>
              <w:right w:val="single" w:color="auto"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435" w:hRule="atLeast"/>
          <w:jc w:val="center"/>
        </w:trPr>
        <w:tc>
          <w:tcPr>
            <w:tcW w:w="85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r>
              <w:rPr>
                <w:rFonts w:hint="eastAsia"/>
              </w:rPr>
              <w:t>第二十条第（八）项</w:t>
            </w:r>
          </w:p>
        </w:tc>
      </w:tr>
      <w:tr>
        <w:tblPrEx>
          <w:tblCellMar>
            <w:top w:w="0" w:type="dxa"/>
            <w:left w:w="0" w:type="dxa"/>
            <w:bottom w:w="0" w:type="dxa"/>
            <w:right w:w="0" w:type="dxa"/>
          </w:tblCellMar>
        </w:tblPrEx>
        <w:trPr>
          <w:trHeight w:val="435"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信息内容</w:t>
            </w:r>
          </w:p>
        </w:tc>
        <w:tc>
          <w:tcPr>
            <w:tcW w:w="6188" w:type="dxa"/>
            <w:gridSpan w:val="3"/>
            <w:tcBorders>
              <w:top w:val="nil"/>
              <w:left w:val="nil"/>
              <w:bottom w:val="single" w:color="auto" w:sz="8" w:space="0"/>
              <w:right w:val="single" w:color="000000" w:sz="8" w:space="0"/>
            </w:tcBorders>
            <w:noWrap w:val="0"/>
            <w:tcMar>
              <w:left w:w="57" w:type="dxa"/>
              <w:right w:w="57" w:type="dxa"/>
            </w:tcMar>
            <w:vAlign w:val="center"/>
          </w:tcPr>
          <w:p>
            <w:r>
              <w:rPr>
                <w:rFonts w:hint="eastAsia"/>
              </w:rPr>
              <w:t>本年收费金额（单位：万元）</w:t>
            </w:r>
          </w:p>
        </w:tc>
      </w:tr>
      <w:tr>
        <w:tblPrEx>
          <w:tblCellMar>
            <w:top w:w="0" w:type="dxa"/>
            <w:left w:w="0" w:type="dxa"/>
            <w:bottom w:w="0" w:type="dxa"/>
            <w:right w:w="0" w:type="dxa"/>
          </w:tblCellMar>
        </w:tblPrEx>
        <w:trPr>
          <w:trHeight w:val="493" w:hRule="atLeast"/>
          <w:jc w:val="center"/>
        </w:trPr>
        <w:tc>
          <w:tcPr>
            <w:tcW w:w="2392" w:type="dxa"/>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行政事业性收费</w:t>
            </w:r>
          </w:p>
        </w:tc>
        <w:tc>
          <w:tcPr>
            <w:tcW w:w="6188"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eastAsia="宋体"/>
                <w:lang w:val="en-US" w:eastAsia="zh-CN"/>
              </w:rPr>
            </w:pPr>
            <w:r>
              <w:rPr>
                <w:rFonts w:hint="eastAsia"/>
                <w:lang w:val="en-US" w:eastAsia="zh-CN"/>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2"/>
        <w:tblW w:w="96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2"/>
        <w:gridCol w:w="950"/>
        <w:gridCol w:w="3235"/>
        <w:gridCol w:w="691"/>
        <w:gridCol w:w="691"/>
        <w:gridCol w:w="691"/>
        <w:gridCol w:w="691"/>
        <w:gridCol w:w="691"/>
        <w:gridCol w:w="670"/>
        <w:gridCol w:w="5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5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jc w:val="center"/>
            </w:pPr>
            <w:r>
              <w:t>（本列数据的勾稽关系为：第一项加第二项之和，等于第三项加第四项之和）</w:t>
            </w:r>
          </w:p>
        </w:tc>
        <w:tc>
          <w:tcPr>
            <w:tcW w:w="4702"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5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jc w:val="center"/>
              <w:rPr>
                <w:rFonts w:hint="eastAsia"/>
              </w:rPr>
            </w:pPr>
          </w:p>
        </w:tc>
        <w:tc>
          <w:tcPr>
            <w:tcW w:w="691"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自然人</w:t>
            </w:r>
          </w:p>
        </w:tc>
        <w:tc>
          <w:tcPr>
            <w:tcW w:w="3434" w:type="dxa"/>
            <w:gridSpan w:val="5"/>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法人或其他组织</w:t>
            </w:r>
          </w:p>
        </w:tc>
        <w:tc>
          <w:tcPr>
            <w:tcW w:w="577" w:type="dxa"/>
            <w:vMerge w:val="restart"/>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8" w:hRule="atLeast"/>
          <w:jc w:val="center"/>
        </w:trPr>
        <w:tc>
          <w:tcPr>
            <w:tcW w:w="495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jc w:val="center"/>
              <w:rPr>
                <w:rFonts w:hint="eastAsia"/>
              </w:rPr>
            </w:pPr>
          </w:p>
        </w:tc>
        <w:tc>
          <w:tcPr>
            <w:tcW w:w="691"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rPr>
                <w:rFonts w:hint="eastAsia"/>
              </w:rPr>
            </w:pP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商业</w:t>
            </w:r>
          </w:p>
          <w:p>
            <w:pPr>
              <w:jc w:val="center"/>
            </w:pPr>
            <w:r>
              <w:rPr>
                <w:rFonts w:hint="eastAsia"/>
              </w:rPr>
              <w:t>企业</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科研</w:t>
            </w:r>
          </w:p>
          <w:p>
            <w:pPr>
              <w:jc w:val="center"/>
            </w:pPr>
            <w:r>
              <w:rPr>
                <w:rFonts w:hint="eastAsia"/>
              </w:rPr>
              <w:t>机构</w:t>
            </w:r>
          </w:p>
        </w:tc>
        <w:tc>
          <w:tcPr>
            <w:tcW w:w="691"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社会公益组织</w:t>
            </w:r>
          </w:p>
        </w:tc>
        <w:tc>
          <w:tcPr>
            <w:tcW w:w="691"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法律服务机构</w:t>
            </w:r>
          </w:p>
        </w:tc>
        <w:tc>
          <w:tcPr>
            <w:tcW w:w="670"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其他</w:t>
            </w:r>
          </w:p>
        </w:tc>
        <w:tc>
          <w:tcPr>
            <w:tcW w:w="577" w:type="dxa"/>
            <w:vMerge w:val="continue"/>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5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一、本年新收政府信息公开申请数量</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rPr>
                <w:rFonts w:hint="default" w:eastAsia="宋体"/>
                <w:lang w:val="en-US" w:eastAsia="zh-CN"/>
              </w:rP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5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r>
              <w:rPr>
                <w:rFonts w:hint="eastAsia"/>
              </w:rPr>
              <w:t>二、上年结转政府信息公开申请数量</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pPr>
            <w:r>
              <w:rPr>
                <w:rFonts w:hint="eastAsia"/>
              </w:rPr>
              <w:t>三、本年度办理结果</w:t>
            </w:r>
          </w:p>
        </w:tc>
        <w:tc>
          <w:tcPr>
            <w:tcW w:w="4185"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（一）予以公开</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thinThickThinMediumGap"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thinThickMediumGap" w:color="auto" w:sz="0" w:space="0"/>
              <w:bottom w:val="dotDotDash"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single" w:color="auto" w:sz="0" w:space="0"/>
              <w:left w:val="thickThinLargeGap" w:color="auto" w:sz="0" w:space="0"/>
              <w:bottom w:val="dotDotDash"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single" w:color="auto" w:sz="8" w:space="0"/>
              <w:left w:val="nil"/>
              <w:bottom w:val="single" w:color="auto" w:sz="8" w:space="0"/>
              <w:right w:val="dashed"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4185"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（二）部分公开（区分处理的，只计这一情形，不计其他情形）</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thinThickThinMediumGap"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thinThickMediumGap" w:color="auto" w:sz="0" w:space="0"/>
              <w:bottom w:val="dotDotDash"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dashed"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r>
              <w:rPr>
                <w:rFonts w:hint="eastAsia"/>
              </w:rPr>
              <w:t>（三）</w:t>
            </w:r>
          </w:p>
          <w:p>
            <w:pPr>
              <w:jc w:val="center"/>
            </w:pPr>
            <w:r>
              <w:rPr>
                <w:rFonts w:hint="eastAsia"/>
              </w:rPr>
              <w:t>不予公开</w:t>
            </w: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1.属于国家秘密</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single" w:color="auto" w:sz="8" w:space="0"/>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2.其他法律行政法规禁止公开</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3.危及“三安全一稳定”</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4.保护第三方合法权益</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5.属于三类内部事务信息</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6.属于四类过程性信息</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7.属于行政执法案卷</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8.属于行政查询事项</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r>
              <w:rPr>
                <w:rFonts w:hint="eastAsia"/>
              </w:rPr>
              <w:t>（四）</w:t>
            </w:r>
          </w:p>
          <w:p>
            <w:pPr>
              <w:jc w:val="center"/>
            </w:pPr>
            <w:r>
              <w:rPr>
                <w:rFonts w:hint="eastAsia"/>
              </w:rPr>
              <w:t>无法提供</w:t>
            </w: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1.本机关不掌握相关政府信息</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2.没有现成信息需要另行制作</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3.补正后申请内容仍不明确</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r>
              <w:rPr>
                <w:rFonts w:hint="eastAsia"/>
              </w:rPr>
              <w:t>（五）</w:t>
            </w:r>
          </w:p>
          <w:p>
            <w:pPr>
              <w:jc w:val="center"/>
            </w:pPr>
            <w:r>
              <w:rPr>
                <w:rFonts w:hint="eastAsia"/>
              </w:rPr>
              <w:t>不予处理</w:t>
            </w: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1.信访举报投诉类申请</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2.重复申请</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3.要求提供公开出版物</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4.无正当理由大量反复申请</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r>
              <w:rPr>
                <w:rFonts w:hint="eastAsia"/>
              </w:rPr>
              <w:t>5.要求行政机关确认或重新出具已获取信息</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r>
              <w:rPr>
                <w:rFonts w:hint="eastAsia"/>
              </w:rPr>
              <w:t>（六）</w:t>
            </w:r>
          </w:p>
          <w:p>
            <w:pPr>
              <w:jc w:val="center"/>
            </w:pPr>
            <w:r>
              <w:rPr>
                <w:rFonts w:hint="eastAsia"/>
              </w:rPr>
              <w:t>其他处理</w:t>
            </w: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1.申请人无正当理由逾期不补正、行政机关不再处理其政府信息公开申请</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2.申请人逾期未按收费通知要求缴纳费用、行政机关不再处理其政府信息公开申请</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950"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3235"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r>
              <w:rPr>
                <w:rFonts w:hint="eastAsia"/>
              </w:rPr>
              <w:t>3.其他</w:t>
            </w:r>
          </w:p>
        </w:tc>
        <w:tc>
          <w:tcPr>
            <w:tcW w:w="691"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thickThinSmallGap" w:color="auto" w:sz="8" w:space="0"/>
              <w:right w:val="dotDotDash"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7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center"/>
              <w:rPr>
                <w:rFonts w:hint="eastAsia"/>
              </w:rPr>
            </w:pPr>
          </w:p>
        </w:tc>
        <w:tc>
          <w:tcPr>
            <w:tcW w:w="4185"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pPr>
            <w:r>
              <w:rPr>
                <w:rFonts w:hint="eastAsia"/>
              </w:rPr>
              <w:t>（七）总计</w:t>
            </w:r>
          </w:p>
        </w:tc>
        <w:tc>
          <w:tcPr>
            <w:tcW w:w="691" w:type="dxa"/>
            <w:tcBorders>
              <w:top w:val="triple" w:color="auto" w:sz="0" w:space="0"/>
              <w:left w:val="double" w:color="auto" w:sz="0" w:space="0"/>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single" w:color="auto" w:sz="0" w:space="0"/>
              <w:left w:val="single" w:color="auto" w:sz="0" w:space="0"/>
              <w:bottom w:val="dotted" w:color="auto" w:sz="8" w:space="0"/>
              <w:right w:val="thinThickThinMediumGap"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91" w:type="dxa"/>
            <w:tcBorders>
              <w:top w:val="single" w:color="auto" w:sz="0" w:space="0"/>
              <w:left w:val="thinThickMediumGap" w:color="auto" w:sz="0" w:space="0"/>
              <w:bottom w:val="dotDotDash"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67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c>
          <w:tcPr>
            <w:tcW w:w="577" w:type="dxa"/>
            <w:tcBorders>
              <w:top w:val="dotted" w:color="auto" w:sz="0" w:space="0"/>
              <w:left w:val="nil"/>
              <w:bottom w:val="single" w:color="auto" w:sz="8" w:space="0"/>
              <w:right w:val="thickThinMediumGap" w:color="auto" w:sz="8" w:space="0"/>
            </w:tcBorders>
            <w:noWrap w:val="0"/>
            <w:tcMar>
              <w:left w:w="57" w:type="dxa"/>
              <w:right w:w="57" w:type="dxa"/>
            </w:tcMar>
            <w:vAlign w:val="center"/>
          </w:tcPr>
          <w:p>
            <w:pPr>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5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jc w:val="center"/>
            </w:pPr>
            <w:r>
              <w:rPr>
                <w:rFonts w:hint="eastAsia"/>
              </w:rPr>
              <w:t>四、结转下年度继续办理</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91"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670" w:type="dxa"/>
            <w:tcBorders>
              <w:top w:val="nil"/>
              <w:left w:val="nil"/>
              <w:bottom w:val="single" w:color="auto" w:sz="8" w:space="0"/>
              <w:right w:val="single" w:color="auto" w:sz="8" w:space="0"/>
            </w:tcBorders>
            <w:noWrap w:val="0"/>
            <w:tcMar>
              <w:left w:w="57" w:type="dxa"/>
              <w:right w:w="57" w:type="dxa"/>
            </w:tcMar>
            <w:vAlign w:val="center"/>
          </w:tcPr>
          <w:p>
            <w:pPr>
              <w:jc w:val="center"/>
            </w:pPr>
            <w:r>
              <w:rPr>
                <w:rFonts w:hint="eastAsia"/>
                <w:lang w:val="en-US" w:eastAsia="zh-CN"/>
              </w:rPr>
              <w:t>0</w:t>
            </w:r>
          </w:p>
        </w:tc>
        <w:tc>
          <w:tcPr>
            <w:tcW w:w="577"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rPr>
            </w:pPr>
            <w:r>
              <w:rPr>
                <w:rFonts w:hint="eastAsia"/>
                <w:lang w:val="en-US" w:eastAsia="zh-CN"/>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2"/>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r>
              <w:rPr>
                <w:rFonts w:hint="eastAsi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r>
              <w:rPr>
                <w:rFonts w:hint="eastAsia"/>
              </w:rPr>
              <w:t>结果</w:t>
            </w:r>
            <w:r>
              <w:rPr>
                <w:rFonts w:hint="eastAsia"/>
              </w:rPr>
              <w:br w:type="textWrapping"/>
            </w:r>
            <w:r>
              <w:rPr>
                <w:rFonts w:hint="eastAsi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其他</w:t>
            </w:r>
            <w:r>
              <w:rPr>
                <w:rFonts w:hint="eastAsia"/>
              </w:rPr>
              <w:br w:type="textWrapping"/>
            </w:r>
            <w:r>
              <w:rPr>
                <w:rFonts w:hint="eastAsi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尚未</w:t>
            </w:r>
            <w:r>
              <w:rPr>
                <w:rFonts w:hint="eastAsia"/>
              </w:rPr>
              <w:br w:type="textWrapping"/>
            </w:r>
            <w:r>
              <w:rPr>
                <w:rFonts w:hint="eastAsi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r>
              <w:rPr>
                <w:rFonts w:hint="eastAsia"/>
              </w:rPr>
              <w:t>结果</w:t>
            </w:r>
            <w:r>
              <w:rPr>
                <w:rFonts w:hint="eastAsia"/>
              </w:rPr>
              <w:br w:type="textWrapping"/>
            </w:r>
            <w:r>
              <w:rPr>
                <w:rFonts w:hint="eastAsi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r>
              <w:rPr>
                <w:rFonts w:hint="eastAsia"/>
              </w:rPr>
              <w:t>结果</w:t>
            </w:r>
            <w:r>
              <w:rPr>
                <w:rFonts w:hint="eastAsia"/>
              </w:rPr>
              <w:br w:type="textWrapping"/>
            </w:r>
            <w:r>
              <w:rPr>
                <w:rFonts w:hint="eastAsi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其他</w:t>
            </w:r>
            <w:r>
              <w:rPr>
                <w:rFonts w:hint="eastAsia"/>
              </w:rPr>
              <w:br w:type="textWrapping"/>
            </w:r>
            <w:r>
              <w:rPr>
                <w:rFonts w:hint="eastAsi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尚未</w:t>
            </w:r>
            <w:r>
              <w:rPr>
                <w:rFonts w:hint="eastAsia"/>
              </w:rPr>
              <w:br w:type="textWrapping"/>
            </w:r>
            <w:r>
              <w:rPr>
                <w:rFonts w:hint="eastAsi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结果</w:t>
            </w:r>
            <w:r>
              <w:rPr>
                <w:rFonts w:hint="eastAsia"/>
              </w:rPr>
              <w:br w:type="textWrapping"/>
            </w:r>
            <w:r>
              <w:rPr>
                <w:rFonts w:hint="eastAsi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结果</w:t>
            </w:r>
            <w:r>
              <w:rPr>
                <w:rFonts w:hint="eastAsia"/>
              </w:rPr>
              <w:br w:type="textWrapping"/>
            </w:r>
            <w:r>
              <w:rPr>
                <w:rFonts w:hint="eastAsi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其他</w:t>
            </w:r>
            <w:r>
              <w:rPr>
                <w:rFonts w:hint="eastAsia"/>
              </w:rPr>
              <w:br w:type="textWrapping"/>
            </w:r>
            <w:r>
              <w:rPr>
                <w:rFonts w:hint="eastAsi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尚未</w:t>
            </w:r>
            <w:r>
              <w:rPr>
                <w:rFonts w:hint="eastAsia"/>
              </w:rPr>
              <w:br w:type="textWrapping"/>
            </w:r>
            <w:r>
              <w:rPr>
                <w:rFonts w:hint="eastAsi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r>
              <w:rPr>
                <w:rFonts w:hint="eastAsi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eastAsia="宋体"/>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cs="Times New Roman"/>
          <w:sz w:val="32"/>
          <w:szCs w:val="32"/>
          <w:lang w:val="en-US" w:eastAsia="zh-CN"/>
        </w:rPr>
      </w:pPr>
      <w:r>
        <w:rPr>
          <w:rFonts w:hint="eastAsia" w:ascii="仿宋_GB2312" w:eastAsia="仿宋_GB2312"/>
          <w:sz w:val="32"/>
          <w:szCs w:val="32"/>
          <w:lang w:val="en-US" w:eastAsia="zh-CN"/>
        </w:rPr>
        <w:t>存在问题：一</w:t>
      </w:r>
      <w:r>
        <w:rPr>
          <w:rFonts w:hint="eastAsia" w:ascii="仿宋_GB2312" w:eastAsia="仿宋_GB2312" w:cs="Times New Roman"/>
          <w:sz w:val="32"/>
          <w:szCs w:val="32"/>
          <w:lang w:val="en-US" w:eastAsia="zh-CN"/>
        </w:rPr>
        <w:t>是信息公开的工作机制有待进一步完善，信息公开</w:t>
      </w:r>
      <w:r>
        <w:rPr>
          <w:rFonts w:hint="eastAsia" w:ascii="仿宋_GB2312" w:eastAsia="仿宋_GB2312"/>
          <w:sz w:val="32"/>
          <w:szCs w:val="32"/>
          <w:lang w:val="en-US" w:eastAsia="zh-CN"/>
        </w:rPr>
        <w:t>意识还需加强，行政许可信息公开内容还需增加。二是信息公开内容广度和深度还不够。三是政策文件解读不够。涉及面广、社会关注度高、专业性强的政策解读较少</w:t>
      </w:r>
      <w:r>
        <w:rPr>
          <w:rFonts w:hint="eastAsia" w:ascii="仿宋_GB2312" w:eastAsia="仿宋_GB2312" w:cs="Times New Roman"/>
          <w:sz w:val="32"/>
          <w:szCs w:val="32"/>
          <w:lang w:val="en-US" w:eastAsia="zh-CN"/>
        </w:rPr>
        <w:t>，且政策文件解读的形式比较单一，解读质量还需要提升。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cs="Times New Roman"/>
          <w:sz w:val="32"/>
          <w:szCs w:val="32"/>
          <w:lang w:val="en-US" w:eastAsia="zh-CN"/>
        </w:rPr>
      </w:pPr>
      <w:r>
        <w:rPr>
          <w:rFonts w:hint="eastAsia" w:ascii="仿宋_GB2312" w:eastAsia="仿宋_GB2312"/>
          <w:sz w:val="32"/>
          <w:szCs w:val="32"/>
          <w:lang w:val="en-US" w:eastAsia="zh-CN"/>
        </w:rPr>
        <w:t>改进措施：</w:t>
      </w:r>
      <w:r>
        <w:rPr>
          <w:rFonts w:hint="eastAsia" w:ascii="仿宋_GB2312" w:eastAsia="仿宋_GB2312" w:cs="Times New Roman"/>
          <w:sz w:val="32"/>
          <w:szCs w:val="32"/>
          <w:lang w:val="en-US" w:eastAsia="zh-CN"/>
        </w:rPr>
        <w:t>一是进一步完善信息公开相关制度，提高公开的准确性、规范性、时效性。严格落实信息公开职责和强化信息公开工作制度执行，督促各股室根据职能职责及时公开信息；二是开展多形式的交流，提升信息公开水平，运用视频、</w:t>
      </w:r>
      <w:r>
        <w:rPr>
          <w:rFonts w:hint="eastAsia" w:ascii="仿宋_GB2312" w:eastAsia="仿宋_GB2312"/>
          <w:sz w:val="32"/>
          <w:szCs w:val="32"/>
          <w:lang w:val="en-US" w:eastAsia="zh-CN"/>
        </w:rPr>
        <w:t>图片等形式丰富信息内容，加强信息内容提炼和升华，积极探索新渠道，丰富形式，创新</w:t>
      </w:r>
      <w:r>
        <w:rPr>
          <w:rFonts w:hint="eastAsia" w:ascii="仿宋_GB2312" w:eastAsia="仿宋_GB2312" w:cs="Times New Roman"/>
          <w:sz w:val="32"/>
          <w:szCs w:val="32"/>
          <w:lang w:val="en-US" w:eastAsia="zh-CN"/>
        </w:rPr>
        <w:t>手段，使政府信息公开成为群众关注的重点，舆论、群众监督的焦点，形成推进政府信息公开工作的合力；三是加大政策文件公布解读覆盖面，增强解读质量。充分利用政府网站、政务新媒体做好中央、省、市重要政策信息的转载和发布工作，坚持“应解读、尽解读”的原则，通过文字说明及数字化、图表图解、视频等不同方式对重要的政策性文件充分详细地宣传解读。</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2023年1月11日</w:t>
      </w:r>
    </w:p>
    <w:p>
      <w:pPr>
        <w:keepNext w:val="0"/>
        <w:keepLines w:val="0"/>
        <w:pageBreakBefore w:val="0"/>
        <w:widowControl w:val="0"/>
        <w:kinsoku/>
        <w:wordWrap/>
        <w:overflowPunct/>
        <w:topLinePunct w:val="0"/>
        <w:autoSpaceDE/>
        <w:autoSpaceDN/>
        <w:bidi w:val="0"/>
        <w:adjustRightInd/>
        <w:snapToGrid/>
        <w:spacing w:line="600" w:lineRule="exact"/>
        <w:ind w:leftChars="0"/>
        <w:textAlignment w:val="auto"/>
      </w:pPr>
    </w:p>
    <w:sectPr>
      <w:pgSz w:w="11906" w:h="16838"/>
      <w:pgMar w:top="2041" w:right="1474" w:bottom="1757" w:left="1588" w:header="851" w:footer="141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NzgzMDQwYzZmNTc3MjU4NTNmMjBhOTcyZjBiOGQifQ=="/>
  </w:docVars>
  <w:rsids>
    <w:rsidRoot w:val="206F6F8F"/>
    <w:rsid w:val="07D831F4"/>
    <w:rsid w:val="206F6F8F"/>
    <w:rsid w:val="43D85A47"/>
    <w:rsid w:val="543A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2612</Words>
  <Characters>2686</Characters>
  <Lines>0</Lines>
  <Paragraphs>0</Paragraphs>
  <TotalTime>18</TotalTime>
  <ScaleCrop>false</ScaleCrop>
  <LinksUpToDate>false</LinksUpToDate>
  <CharactersWithSpaces>2720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2023-01-11T01:12:00Z</dcterms:created>
  <dc:creator>姬子。</dc:creator>
  <cp:lastModifiedBy>姬子。</cp:lastModifiedBy>
  <cp:lastPrinted>2023-01-11T08:50:00Z</cp:lastPrinted>
  <dcterms:modified xsi:type="dcterms:W3CDTF">2023-01-12T01:20:45Z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853803EEC5064E0D90FC74A05A9DE22E</vt:lpwstr>
  </property>
</Properties>
</file>