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841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auto"/>
          <w:spacing w:val="0"/>
          <w:kern w:val="0"/>
          <w:sz w:val="40"/>
          <w:szCs w:val="40"/>
          <w:shd w:val="clear" w:fill="FFFFFF"/>
          <w:lang w:val="en-US" w:eastAsia="zh-CN" w:bidi="ar-SA"/>
        </w:rPr>
      </w:pPr>
      <w:r>
        <w:rPr>
          <w:rFonts w:hint="eastAsia" w:ascii="方正小标宋简体" w:hAnsi="方正小标宋简体" w:eastAsia="方正小标宋简体" w:cs="方正小标宋简体"/>
          <w:b w:val="0"/>
          <w:bCs w:val="0"/>
          <w:i w:val="0"/>
          <w:iCs w:val="0"/>
          <w:caps w:val="0"/>
          <w:color w:val="auto"/>
          <w:spacing w:val="0"/>
          <w:kern w:val="0"/>
          <w:sz w:val="40"/>
          <w:szCs w:val="40"/>
          <w:shd w:val="clear" w:fill="FFFFFF"/>
          <w:lang w:val="en-US" w:eastAsia="zh-CN" w:bidi="ar-SA"/>
        </w:rPr>
        <w:t>次营镇2024年法治政府建设工作报告</w:t>
      </w:r>
    </w:p>
    <w:p w14:paraId="2742BE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center"/>
        <w:rPr>
          <w:rFonts w:hint="eastAsia" w:ascii="仿宋_GB2312" w:hAnsi="仿宋_GB2312" w:eastAsia="仿宋_GB2312" w:cs="仿宋_GB2312"/>
          <w:b w:val="0"/>
          <w:bCs w:val="0"/>
          <w:i w:val="0"/>
          <w:iCs w:val="0"/>
          <w:caps w:val="0"/>
          <w:color w:val="auto"/>
          <w:spacing w:val="0"/>
          <w:sz w:val="32"/>
          <w:szCs w:val="32"/>
          <w:shd w:val="clear" w:fill="FFFFFF"/>
        </w:rPr>
      </w:pPr>
    </w:p>
    <w:p w14:paraId="40165D3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一年来，为了贯彻落实省市县关于法治建设的要求，次营镇坚持以习近平新时代中国特色社会主义思想为指导，认真学习贯彻党的二十大和二十届三中全会精神，深入学习贯彻习近平法治思想，坚持宪法和法律至上的价值取向，结合工作实际，强化组织领导、加大宣教力度、深化依法治理、推进执法改革、自觉接受监督，多措并举、狠抓落实，持续推进法治政府建设。现将工作情况报告如下：</w:t>
      </w:r>
    </w:p>
    <w:p w14:paraId="30EBCF2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3" w:firstLineChars="200"/>
        <w:jc w:val="both"/>
        <w:textAlignment w:val="auto"/>
        <w:outlineLvl w:val="9"/>
        <w:rPr>
          <w:color w:val="auto"/>
          <w:sz w:val="32"/>
          <w:szCs w:val="32"/>
        </w:rPr>
      </w:pPr>
      <w:r>
        <w:rPr>
          <w:rFonts w:hint="eastAsia" w:ascii="黑体" w:hAnsi="黑体" w:eastAsia="黑体" w:cs="黑体"/>
          <w:b/>
          <w:bCs/>
          <w:i w:val="0"/>
          <w:iCs w:val="0"/>
          <w:caps w:val="0"/>
          <w:color w:val="auto"/>
          <w:spacing w:val="0"/>
          <w:sz w:val="32"/>
          <w:szCs w:val="32"/>
          <w:shd w:val="clear" w:fill="FFFFFF"/>
        </w:rPr>
        <w:t>一、202</w:t>
      </w:r>
      <w:r>
        <w:rPr>
          <w:rFonts w:hint="eastAsia" w:ascii="黑体" w:hAnsi="黑体" w:eastAsia="黑体" w:cs="黑体"/>
          <w:b/>
          <w:bCs/>
          <w:i w:val="0"/>
          <w:iCs w:val="0"/>
          <w:caps w:val="0"/>
          <w:color w:val="auto"/>
          <w:spacing w:val="0"/>
          <w:sz w:val="32"/>
          <w:szCs w:val="32"/>
          <w:shd w:val="clear" w:fill="FFFFFF"/>
          <w:lang w:val="en-US" w:eastAsia="zh-CN"/>
        </w:rPr>
        <w:t>4</w:t>
      </w:r>
      <w:r>
        <w:rPr>
          <w:rFonts w:hint="eastAsia" w:ascii="黑体" w:hAnsi="黑体" w:eastAsia="黑体" w:cs="黑体"/>
          <w:b/>
          <w:bCs/>
          <w:i w:val="0"/>
          <w:iCs w:val="0"/>
          <w:caps w:val="0"/>
          <w:color w:val="auto"/>
          <w:spacing w:val="0"/>
          <w:sz w:val="32"/>
          <w:szCs w:val="32"/>
          <w:shd w:val="clear" w:fill="FFFFFF"/>
        </w:rPr>
        <w:t>年党政主要负责人履行推进法治建设第一责任人职责</w:t>
      </w:r>
      <w:r>
        <w:rPr>
          <w:rStyle w:val="16"/>
          <w:rFonts w:ascii="黑体" w:hAnsi="宋体" w:eastAsia="黑体" w:cs="黑体"/>
          <w:color w:val="auto"/>
          <w:spacing w:val="0"/>
          <w:sz w:val="32"/>
          <w:szCs w:val="32"/>
          <w:shd w:val="clear" w:fill="FFFFFF"/>
        </w:rPr>
        <w:t>和落实年度责任清单情况</w:t>
      </w:r>
    </w:p>
    <w:p w14:paraId="5C825C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坚持以习近平新时代中国特色社会主义思想为指导，认真学习贯彻党的二十大精神，深入学习贯彻习近平法治思想，认真学习习近平总书记关于全面依法治国的重要论述和重要部署，年初制定了《次营镇2024年党政主要负责人履行推进法治建设第一责任人职责清单》，为履行和推进法治建设第一责任人职责清单的落实，在工作中落实法治建设第一责任人“四个亲自”要求，亲自研究、亲自部署、亲自推动、亲自检查法治建设工作，把法治建设、依法行政工作列入年度工作计划，坚持将法治工作与各项工作同研究、同部署，并组织各站所按职责分工实施。</w:t>
      </w:r>
    </w:p>
    <w:p w14:paraId="17DE86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3" w:firstLineChars="200"/>
        <w:jc w:val="both"/>
        <w:textAlignment w:val="auto"/>
        <w:outlineLvl w:val="9"/>
        <w:rPr>
          <w:rFonts w:hint="eastAsia" w:ascii="黑体" w:hAnsi="黑体" w:eastAsia="黑体" w:cs="黑体"/>
          <w:b/>
          <w:bCs/>
          <w:i w:val="0"/>
          <w:iCs w:val="0"/>
          <w:caps w:val="0"/>
          <w:color w:val="auto"/>
          <w:spacing w:val="0"/>
          <w:sz w:val="32"/>
          <w:szCs w:val="32"/>
          <w:shd w:val="clear" w:fill="FFFFFF"/>
        </w:rPr>
      </w:pPr>
      <w:r>
        <w:rPr>
          <w:rFonts w:hint="eastAsia" w:ascii="黑体" w:hAnsi="黑体" w:eastAsia="黑体" w:cs="黑体"/>
          <w:b/>
          <w:bCs/>
          <w:i w:val="0"/>
          <w:iCs w:val="0"/>
          <w:caps w:val="0"/>
          <w:color w:val="auto"/>
          <w:spacing w:val="0"/>
          <w:sz w:val="32"/>
          <w:szCs w:val="32"/>
          <w:shd w:val="clear" w:fill="FFFFFF"/>
        </w:rPr>
        <w:t>二、202</w:t>
      </w:r>
      <w:r>
        <w:rPr>
          <w:rFonts w:hint="eastAsia" w:ascii="黑体" w:hAnsi="黑体" w:eastAsia="黑体" w:cs="黑体"/>
          <w:b/>
          <w:bCs/>
          <w:i w:val="0"/>
          <w:iCs w:val="0"/>
          <w:caps w:val="0"/>
          <w:color w:val="auto"/>
          <w:spacing w:val="0"/>
          <w:sz w:val="32"/>
          <w:szCs w:val="32"/>
          <w:shd w:val="clear" w:fill="FFFFFF"/>
          <w:lang w:val="en-US" w:eastAsia="zh-CN"/>
        </w:rPr>
        <w:t>4</w:t>
      </w:r>
      <w:r>
        <w:rPr>
          <w:rFonts w:hint="eastAsia" w:ascii="黑体" w:hAnsi="黑体" w:eastAsia="黑体" w:cs="黑体"/>
          <w:b/>
          <w:bCs/>
          <w:i w:val="0"/>
          <w:iCs w:val="0"/>
          <w:caps w:val="0"/>
          <w:color w:val="auto"/>
          <w:spacing w:val="0"/>
          <w:sz w:val="32"/>
          <w:szCs w:val="32"/>
          <w:shd w:val="clear" w:fill="FFFFFF"/>
        </w:rPr>
        <w:t>年推进法治政府建设的主要举措和成效</w:t>
      </w:r>
    </w:p>
    <w:p w14:paraId="5D2382C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left="0" w:right="0" w:firstLine="643" w:firstLineChars="200"/>
        <w:jc w:val="both"/>
        <w:textAlignment w:val="auto"/>
        <w:outlineLvl w:val="9"/>
        <w:rPr>
          <w:rFonts w:hint="eastAsia" w:ascii="楷体_GB2312" w:hAnsi="楷体_GB2312" w:eastAsia="楷体_GB2312" w:cs="楷体_GB2312"/>
          <w:b/>
          <w:bCs w:val="0"/>
          <w:color w:val="auto"/>
          <w:sz w:val="32"/>
          <w:szCs w:val="32"/>
        </w:rPr>
      </w:pPr>
      <w:r>
        <w:rPr>
          <w:rStyle w:val="16"/>
          <w:rFonts w:hint="eastAsia" w:ascii="楷体_GB2312" w:hAnsi="楷体_GB2312" w:eastAsia="楷体_GB2312" w:cs="楷体_GB2312"/>
          <w:b/>
          <w:bCs w:val="0"/>
          <w:i w:val="0"/>
          <w:iCs w:val="0"/>
          <w:caps w:val="0"/>
          <w:color w:val="auto"/>
          <w:spacing w:val="0"/>
          <w:sz w:val="32"/>
          <w:szCs w:val="32"/>
          <w:shd w:val="clear" w:fill="FFFFFF"/>
        </w:rPr>
        <w:t>（一）强化组织领导，为法治政府建设提供组织保障</w:t>
      </w:r>
    </w:p>
    <w:p w14:paraId="5549EAF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镇党委政府高度重视“法治政府”建设工作，周密部署，推动法治建设工作有序进行。</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一是坚持党对法治工作的全面领导。</w:t>
      </w:r>
      <w:r>
        <w:rPr>
          <w:rFonts w:hint="eastAsia" w:ascii="仿宋_GB2312" w:hAnsi="仿宋_GB2312" w:eastAsia="仿宋_GB2312" w:cs="仿宋_GB2312"/>
          <w:b w:val="0"/>
          <w:bCs w:val="0"/>
          <w:color w:val="auto"/>
          <w:kern w:val="0"/>
          <w:sz w:val="32"/>
          <w:szCs w:val="32"/>
          <w:lang w:val="en-US" w:eastAsia="zh-CN" w:bidi="ar-SA"/>
        </w:rPr>
        <w:t>成立了以镇党委书记为组长，镇党委副书记、镇长为副组长，各相关负责人为成员的“法治政府”建设工作领导小组。切实加强对法治建设工作的领导，根据县委法治建设工作要求，紧紧围绕全面依法治镇具体目标，结合我镇工作实际，制定印发了《次营镇2024年法治建设工作要点》。</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二是加大经费投入夯实阵地建设。</w:t>
      </w:r>
      <w:r>
        <w:rPr>
          <w:rFonts w:hint="eastAsia" w:ascii="仿宋_GB2312" w:hAnsi="仿宋_GB2312" w:eastAsia="仿宋_GB2312" w:cs="仿宋_GB2312"/>
          <w:b w:val="0"/>
          <w:bCs w:val="0"/>
          <w:color w:val="auto"/>
          <w:kern w:val="0"/>
          <w:sz w:val="32"/>
          <w:szCs w:val="32"/>
          <w:lang w:val="en-US" w:eastAsia="zh-CN" w:bidi="ar-SA"/>
        </w:rPr>
        <w:t>镇党委、政府将法治建设、平安建设经费列入镇年度财政预算，确保普法和依法治镇经费到位。在镇党委、政府的大力支持下，在县司法局的指导下，我镇对镇司法所进行了一次彻底改造，配齐了党支部活动室、心理咨询室、调解室、远程视频会见室、社区矫正和安置帮教办公室、法律服务工作站等功能室，成为我县一流的司法所，并于2024年10月通过了省里“枫桥式”司法所验收，还接待了全县司法系统的学习观摩，得到了大家的一致肯定。</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三是强化制度建设提高守法意识。</w:t>
      </w:r>
      <w:r>
        <w:rPr>
          <w:rFonts w:hint="eastAsia" w:ascii="仿宋_GB2312" w:hAnsi="仿宋_GB2312" w:eastAsia="仿宋_GB2312" w:cs="仿宋_GB2312"/>
          <w:b w:val="0"/>
          <w:bCs w:val="0"/>
          <w:color w:val="auto"/>
          <w:kern w:val="0"/>
          <w:sz w:val="32"/>
          <w:szCs w:val="32"/>
          <w:lang w:val="en-US" w:eastAsia="zh-CN" w:bidi="ar-SA"/>
        </w:rPr>
        <w:t>以制度建设为突破口，完善了各项工作制度，并带头落实党委理论学习中心组学法制度，制定《2024年度次营镇学法工作计划》，并将目标任务进行了逐级分解，形成了人人肩上有担子、个个身上有压力的工作氛围。加强对党内法规制度宣传教育培训，不断提高党员干部法规意识和法律素养。</w:t>
      </w:r>
    </w:p>
    <w:p w14:paraId="3EAABB3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left="0" w:right="0" w:firstLine="643" w:firstLineChars="200"/>
        <w:jc w:val="both"/>
        <w:textAlignment w:val="auto"/>
        <w:outlineLvl w:val="9"/>
        <w:rPr>
          <w:rStyle w:val="16"/>
          <w:rFonts w:hint="eastAsia" w:ascii="楷体_GB2312" w:hAnsi="楷体_GB2312" w:eastAsia="楷体_GB2312" w:cs="楷体_GB2312"/>
          <w:b/>
          <w:bCs w:val="0"/>
          <w:i w:val="0"/>
          <w:iCs w:val="0"/>
          <w:caps w:val="0"/>
          <w:color w:val="auto"/>
          <w:spacing w:val="0"/>
          <w:sz w:val="32"/>
          <w:szCs w:val="32"/>
          <w:shd w:val="clear" w:fill="FFFFFF"/>
        </w:rPr>
      </w:pPr>
      <w:r>
        <w:rPr>
          <w:rStyle w:val="16"/>
          <w:rFonts w:hint="eastAsia" w:ascii="楷体_GB2312" w:hAnsi="楷体_GB2312" w:eastAsia="楷体_GB2312" w:cs="楷体_GB2312"/>
          <w:b/>
          <w:bCs w:val="0"/>
          <w:i w:val="0"/>
          <w:iCs w:val="0"/>
          <w:caps w:val="0"/>
          <w:color w:val="auto"/>
          <w:spacing w:val="0"/>
          <w:sz w:val="32"/>
          <w:szCs w:val="32"/>
          <w:shd w:val="clear" w:fill="FFFFFF"/>
        </w:rPr>
        <w:t>（二）狠抓法治政府建设关键环节，推进法治建设不断深化</w:t>
      </w:r>
    </w:p>
    <w:p w14:paraId="6F5FEC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60" w:lineRule="exact"/>
        <w:ind w:left="0" w:right="0" w:firstLine="643"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健全完善党委领导法治建设的体制机制。</w:t>
      </w:r>
      <w:r>
        <w:rPr>
          <w:rFonts w:hint="eastAsia" w:ascii="仿宋_GB2312" w:hAnsi="仿宋_GB2312" w:eastAsia="仿宋_GB2312" w:cs="仿宋_GB2312"/>
          <w:b w:val="0"/>
          <w:bCs w:val="0"/>
          <w:color w:val="auto"/>
          <w:kern w:val="0"/>
          <w:sz w:val="32"/>
          <w:szCs w:val="32"/>
          <w:lang w:val="en-US" w:eastAsia="zh-CN" w:bidi="ar-SA"/>
        </w:rPr>
        <w:t>镇党委、政府持续深化理论武装，把党的领导贯彻到全面依法治镇全过程。将习近平法治思想、《中华人民共和国宪法》、《中华人民共和国民法典》、《重大行政决策程序暂行条例》及相关的法律法规作为重点学习内容，纳入党委理论学习中心组、干部学习必学内容。</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一是坚持民主集中制，健全决策机制。</w:t>
      </w:r>
      <w:r>
        <w:rPr>
          <w:rFonts w:hint="eastAsia" w:ascii="仿宋_GB2312" w:hAnsi="仿宋_GB2312" w:eastAsia="仿宋_GB2312" w:cs="仿宋_GB2312"/>
          <w:b w:val="0"/>
          <w:bCs w:val="0"/>
          <w:color w:val="auto"/>
          <w:kern w:val="0"/>
          <w:sz w:val="32"/>
          <w:szCs w:val="32"/>
          <w:lang w:val="en-US" w:eastAsia="zh-CN" w:bidi="ar-SA"/>
        </w:rPr>
        <w:t>坚持以法治引领保障高质量发展，镇党委依法决策、科学决策、民主决策机制健全，对党委的重点问题、政府的难点问题、群众关心的热点问题等重大事项，始终坚持民主集中制，进行决策前合法性论证，并集体讨论决定；加强对决策落实执行情况监督检查，确保依法高效执行，在行政执法、耕地整治、安全环保、信访维稳等工作中，未发生违法侵权和舆情事件，无干预司法、插手案件行为。</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二是坚持党务公开，扩大党内民主。</w:t>
      </w:r>
      <w:r>
        <w:rPr>
          <w:rFonts w:hint="eastAsia" w:ascii="仿宋_GB2312" w:hAnsi="仿宋_GB2312" w:eastAsia="仿宋_GB2312" w:cs="仿宋_GB2312"/>
          <w:b w:val="0"/>
          <w:bCs w:val="0"/>
          <w:color w:val="auto"/>
          <w:kern w:val="0"/>
          <w:sz w:val="32"/>
          <w:szCs w:val="32"/>
          <w:lang w:val="en-US" w:eastAsia="zh-CN" w:bidi="ar-SA"/>
        </w:rPr>
        <w:t>建立了干部任前公示、党员发展公示制度等，除涉及党的机密不适宜公开和党员持有较大异议暂缓公开外，一律向群众公开，自觉接受党内监督、司法监督、社会监督、舆论监督。</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三是强化廉政建设，推进依法执政。</w:t>
      </w:r>
      <w:r>
        <w:rPr>
          <w:rFonts w:hint="eastAsia" w:ascii="仿宋_GB2312" w:hAnsi="仿宋_GB2312" w:eastAsia="仿宋_GB2312" w:cs="仿宋_GB2312"/>
          <w:b w:val="0"/>
          <w:bCs w:val="0"/>
          <w:color w:val="auto"/>
          <w:kern w:val="0"/>
          <w:sz w:val="32"/>
          <w:szCs w:val="32"/>
          <w:lang w:val="en-US" w:eastAsia="zh-CN" w:bidi="ar-SA"/>
        </w:rPr>
        <w:t>结合清廉阳城建设要求，推动建设清廉机关、清廉单位、清廉乡村，坚持领导干部述职述廉述法制度和重大事项报告制度，按照一岗双责的要求落实党风廉政建设责任制，促使党风廉政建设和反腐败工作与依法执政、依法行政工作相辅相成，相得益彰。</w:t>
      </w:r>
    </w:p>
    <w:p w14:paraId="15E133A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60" w:lineRule="exact"/>
        <w:ind w:left="0" w:right="0" w:firstLine="643"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落实落细干部职工学法制度。</w:t>
      </w:r>
      <w:r>
        <w:rPr>
          <w:rFonts w:hint="eastAsia" w:ascii="仿宋_GB2312" w:hAnsi="仿宋_GB2312" w:eastAsia="仿宋_GB2312" w:cs="仿宋_GB2312"/>
          <w:b w:val="0"/>
          <w:bCs w:val="0"/>
          <w:color w:val="auto"/>
          <w:kern w:val="0"/>
          <w:sz w:val="32"/>
          <w:szCs w:val="32"/>
          <w:lang w:val="en-US" w:eastAsia="zh-CN" w:bidi="ar-SA"/>
        </w:rPr>
        <w:t>坚持把增强领导干部、机关干</w:t>
      </w:r>
    </w:p>
    <w:p w14:paraId="05B5BE4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60" w:lineRule="exact"/>
        <w:ind w:right="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部职工的法治意识和依法办事能力作为推进普法教育、依法治理的重要前提和基础。</w:t>
      </w:r>
      <w:r>
        <w:rPr>
          <w:rFonts w:hint="eastAsia" w:ascii="仿宋_GB2312" w:hAnsi="仿宋_GB2312" w:eastAsia="仿宋_GB2312" w:cs="仿宋_GB2312"/>
          <w:b/>
          <w:bCs/>
          <w:color w:val="auto"/>
          <w:kern w:val="0"/>
          <w:sz w:val="32"/>
          <w:szCs w:val="32"/>
          <w:lang w:val="en-US" w:eastAsia="zh-CN" w:bidi="ar-SA"/>
        </w:rPr>
        <w:t>一是完善党委学法制度。</w:t>
      </w:r>
      <w:r>
        <w:rPr>
          <w:rFonts w:hint="eastAsia" w:ascii="仿宋_GB2312" w:hAnsi="仿宋_GB2312" w:eastAsia="仿宋_GB2312" w:cs="仿宋_GB2312"/>
          <w:b w:val="0"/>
          <w:bCs w:val="0"/>
          <w:color w:val="auto"/>
          <w:kern w:val="0"/>
          <w:sz w:val="32"/>
          <w:szCs w:val="32"/>
          <w:lang w:val="en-US" w:eastAsia="zh-CN" w:bidi="ar-SA"/>
        </w:rPr>
        <w:t>领导干部带头学法、用法，将习近平法治思想，总书记关于全面依法治国的重要论述和重要部署、《习近平法治思想学习纲要》、《中华人民共和国宪法》、《中华人民共和国民法典》、《党政主要负责人履行推进法治建设第一责任人职责规定》、《法治政府建设与责任落实督促工作规定》等相关法律法规纳入党委中心组学习内容，党委中心组集中学法12次。</w:t>
      </w:r>
      <w:r>
        <w:rPr>
          <w:rFonts w:hint="eastAsia" w:ascii="仿宋_GB2312" w:hAnsi="仿宋_GB2312" w:eastAsia="仿宋_GB2312" w:cs="仿宋_GB2312"/>
          <w:b/>
          <w:bCs/>
          <w:color w:val="auto"/>
          <w:kern w:val="0"/>
          <w:sz w:val="32"/>
          <w:szCs w:val="32"/>
          <w:lang w:val="en-US" w:eastAsia="zh-CN" w:bidi="ar-SA"/>
        </w:rPr>
        <w:t>二是丰富职工学法形式。</w:t>
      </w:r>
      <w:r>
        <w:rPr>
          <w:rFonts w:hint="eastAsia" w:ascii="仿宋_GB2312" w:hAnsi="仿宋_GB2312" w:eastAsia="仿宋_GB2312" w:cs="仿宋_GB2312"/>
          <w:b w:val="0"/>
          <w:bCs w:val="0"/>
          <w:color w:val="auto"/>
          <w:kern w:val="0"/>
          <w:sz w:val="32"/>
          <w:szCs w:val="32"/>
          <w:lang w:val="en-US" w:eastAsia="zh-CN" w:bidi="ar-SA"/>
        </w:rPr>
        <w:t>借全体干部职工例会之机，为干部职工讲解法律知识，机关干部会议集体学法6次，进一步增强了全镇干部职工法律意识和法律素质。干部职工利用“阳城普法”公众号等平台学习相关法律法规知识。</w:t>
      </w:r>
      <w:r>
        <w:rPr>
          <w:rFonts w:hint="eastAsia" w:ascii="仿宋_GB2312" w:hAnsi="仿宋_GB2312" w:eastAsia="仿宋_GB2312" w:cs="仿宋_GB2312"/>
          <w:b/>
          <w:bCs/>
          <w:color w:val="auto"/>
          <w:kern w:val="0"/>
          <w:sz w:val="32"/>
          <w:szCs w:val="32"/>
          <w:lang w:val="en-US" w:eastAsia="zh-CN" w:bidi="ar-SA"/>
        </w:rPr>
        <w:t>三是加大执法人员学法培训力度。</w:t>
      </w:r>
      <w:r>
        <w:rPr>
          <w:rFonts w:hint="eastAsia" w:ascii="仿宋_GB2312" w:hAnsi="仿宋_GB2312" w:eastAsia="仿宋_GB2312" w:cs="仿宋_GB2312"/>
          <w:b w:val="0"/>
          <w:bCs w:val="0"/>
          <w:color w:val="auto"/>
          <w:kern w:val="0"/>
          <w:sz w:val="32"/>
          <w:szCs w:val="32"/>
          <w:lang w:val="en-US" w:eastAsia="zh-CN" w:bidi="ar-SA"/>
        </w:rPr>
        <w:t>组织参加线上“行政执法大讲堂”培训11次，线下集中培训2次。增强执法人员业务水平，提升执法人员业务能力。</w:t>
      </w:r>
    </w:p>
    <w:p w14:paraId="7DD0F61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坚持依法行政，努力建设现代化法治政府。一是依法开展行政执法工作。</w:t>
      </w:r>
      <w:r>
        <w:rPr>
          <w:rFonts w:hint="eastAsia" w:ascii="仿宋_GB2312" w:hAnsi="仿宋_GB2312" w:eastAsia="仿宋_GB2312" w:cs="仿宋_GB2312"/>
          <w:b w:val="0"/>
          <w:bCs w:val="0"/>
          <w:color w:val="auto"/>
          <w:kern w:val="0"/>
          <w:sz w:val="32"/>
          <w:szCs w:val="32"/>
          <w:lang w:val="en-US" w:eastAsia="zh-CN" w:bidi="ar-SA"/>
        </w:rPr>
        <w:t>严格落实执行行政执法公示制度、行政执法全过程记录制度、重大行政执法决定法制审核制度等10余项执法制度，严格规范行政执法行为；依托镇综合行政执法队，</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加大对重点领域执法力度，围绕安全生产、沿街商铺、企业、学校、镇容镇貌、</w:t>
      </w:r>
      <w:r>
        <w:rPr>
          <w:rFonts w:hint="eastAsia" w:ascii="仿宋_GB2312" w:hAnsi="仿宋_GB2312" w:eastAsia="仿宋_GB2312" w:cs="仿宋_GB2312"/>
          <w:color w:val="auto"/>
          <w:sz w:val="32"/>
          <w:szCs w:val="32"/>
          <w:lang w:val="en-US" w:eastAsia="zh-CN"/>
        </w:rPr>
        <w:t>餐饮燃气安全、</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防汛、森林防火和环境卫生等方面开展日常检查314次，行政强制3件，行政处罚12次。</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二是认真开展政务公开工作。</w:t>
      </w:r>
      <w:r>
        <w:rPr>
          <w:rFonts w:hint="eastAsia" w:ascii="仿宋_GB2312" w:hAnsi="仿宋_GB2312" w:eastAsia="仿宋_GB2312" w:cs="仿宋_GB2312"/>
          <w:b w:val="0"/>
          <w:bCs w:val="0"/>
          <w:color w:val="auto"/>
          <w:kern w:val="0"/>
          <w:sz w:val="32"/>
          <w:szCs w:val="32"/>
          <w:lang w:val="en-US" w:eastAsia="zh-CN" w:bidi="ar-SA"/>
        </w:rPr>
        <w:t>坚持以公开为常态、不公开为例外，用政府更加公开透明赢得人民群众更多理解、信任和支持。大力推进决策、执行、管理、服务和结果公开，做到法定主动公开内容全部公开到位。今年政府网站和次营在线全年累计公开民生实事、安全生产、城镇规划、公共法律服务、医疗卫生等十七个领域相关信息210余条。</w:t>
      </w:r>
    </w:p>
    <w:p w14:paraId="717248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60" w:lineRule="exact"/>
        <w:ind w:left="0" w:right="0" w:firstLine="643" w:firstLineChars="200"/>
        <w:jc w:val="both"/>
        <w:textAlignment w:val="auto"/>
        <w:outlineLvl w:val="9"/>
        <w:rPr>
          <w:rStyle w:val="16"/>
          <w:rFonts w:hint="eastAsia" w:ascii="楷体_GB2312" w:hAnsi="楷体_GB2312" w:eastAsia="楷体_GB2312" w:cs="楷体_GB2312"/>
          <w:b/>
          <w:bCs w:val="0"/>
          <w:i w:val="0"/>
          <w:iCs w:val="0"/>
          <w:caps w:val="0"/>
          <w:color w:val="auto"/>
          <w:spacing w:val="0"/>
          <w:sz w:val="32"/>
          <w:szCs w:val="32"/>
          <w:shd w:val="clear" w:fill="FFFFFF"/>
        </w:rPr>
      </w:pPr>
      <w:r>
        <w:rPr>
          <w:rStyle w:val="16"/>
          <w:rFonts w:hint="eastAsia" w:ascii="楷体_GB2312" w:hAnsi="楷体_GB2312" w:eastAsia="楷体_GB2312" w:cs="楷体_GB2312"/>
          <w:b/>
          <w:bCs w:val="0"/>
          <w:i w:val="0"/>
          <w:iCs w:val="0"/>
          <w:caps w:val="0"/>
          <w:color w:val="auto"/>
          <w:spacing w:val="0"/>
          <w:sz w:val="32"/>
          <w:szCs w:val="32"/>
          <w:shd w:val="clear" w:fill="FFFFFF"/>
        </w:rPr>
        <w:t>（</w:t>
      </w:r>
      <w:r>
        <w:rPr>
          <w:rStyle w:val="16"/>
          <w:rFonts w:hint="eastAsia" w:ascii="楷体_GB2312" w:hAnsi="楷体_GB2312" w:eastAsia="楷体_GB2312" w:cs="楷体_GB2312"/>
          <w:b/>
          <w:bCs w:val="0"/>
          <w:i w:val="0"/>
          <w:iCs w:val="0"/>
          <w:caps w:val="0"/>
          <w:color w:val="auto"/>
          <w:spacing w:val="0"/>
          <w:sz w:val="32"/>
          <w:szCs w:val="32"/>
          <w:shd w:val="clear" w:fill="FFFFFF"/>
          <w:lang w:val="en-US" w:eastAsia="zh-CN"/>
        </w:rPr>
        <w:t>三</w:t>
      </w:r>
      <w:r>
        <w:rPr>
          <w:rStyle w:val="16"/>
          <w:rFonts w:hint="eastAsia" w:ascii="楷体_GB2312" w:hAnsi="楷体_GB2312" w:eastAsia="楷体_GB2312" w:cs="楷体_GB2312"/>
          <w:b/>
          <w:bCs w:val="0"/>
          <w:i w:val="0"/>
          <w:iCs w:val="0"/>
          <w:caps w:val="0"/>
          <w:color w:val="auto"/>
          <w:spacing w:val="0"/>
          <w:sz w:val="32"/>
          <w:szCs w:val="32"/>
          <w:shd w:val="clear" w:fill="FFFFFF"/>
        </w:rPr>
        <w:t>）强化</w:t>
      </w:r>
      <w:r>
        <w:rPr>
          <w:rStyle w:val="16"/>
          <w:rFonts w:hint="eastAsia" w:ascii="楷体_GB2312" w:hAnsi="楷体_GB2312" w:eastAsia="楷体_GB2312" w:cs="楷体_GB2312"/>
          <w:b/>
          <w:bCs w:val="0"/>
          <w:i w:val="0"/>
          <w:iCs w:val="0"/>
          <w:caps w:val="0"/>
          <w:color w:val="auto"/>
          <w:spacing w:val="0"/>
          <w:sz w:val="32"/>
          <w:szCs w:val="32"/>
          <w:shd w:val="clear" w:fill="FFFFFF"/>
          <w:lang w:val="en-US" w:eastAsia="zh-CN"/>
        </w:rPr>
        <w:t>普法</w:t>
      </w:r>
      <w:r>
        <w:rPr>
          <w:rStyle w:val="16"/>
          <w:rFonts w:hint="eastAsia" w:ascii="楷体_GB2312" w:hAnsi="楷体_GB2312" w:eastAsia="楷体_GB2312" w:cs="楷体_GB2312"/>
          <w:b/>
          <w:bCs w:val="0"/>
          <w:i w:val="0"/>
          <w:iCs w:val="0"/>
          <w:caps w:val="0"/>
          <w:color w:val="auto"/>
          <w:spacing w:val="0"/>
          <w:sz w:val="32"/>
          <w:szCs w:val="32"/>
          <w:shd w:val="clear" w:fill="FFFFFF"/>
        </w:rPr>
        <w:t>宣传</w:t>
      </w:r>
      <w:r>
        <w:rPr>
          <w:rStyle w:val="16"/>
          <w:rFonts w:hint="eastAsia" w:ascii="楷体_GB2312" w:hAnsi="楷体_GB2312" w:eastAsia="楷体_GB2312" w:cs="楷体_GB2312"/>
          <w:b/>
          <w:bCs w:val="0"/>
          <w:i w:val="0"/>
          <w:iCs w:val="0"/>
          <w:caps w:val="0"/>
          <w:color w:val="auto"/>
          <w:spacing w:val="0"/>
          <w:sz w:val="32"/>
          <w:szCs w:val="32"/>
          <w:shd w:val="clear" w:fill="FFFFFF"/>
          <w:lang w:val="en-US" w:eastAsia="zh-CN"/>
        </w:rPr>
        <w:t>抓手</w:t>
      </w:r>
      <w:r>
        <w:rPr>
          <w:rStyle w:val="16"/>
          <w:rFonts w:hint="eastAsia" w:ascii="楷体_GB2312" w:hAnsi="楷体_GB2312" w:eastAsia="楷体_GB2312" w:cs="楷体_GB2312"/>
          <w:b/>
          <w:bCs w:val="0"/>
          <w:i w:val="0"/>
          <w:iCs w:val="0"/>
          <w:caps w:val="0"/>
          <w:color w:val="auto"/>
          <w:spacing w:val="0"/>
          <w:sz w:val="32"/>
          <w:szCs w:val="32"/>
          <w:shd w:val="clear" w:fill="FFFFFF"/>
        </w:rPr>
        <w:t>，提升公民法律素质</w:t>
      </w:r>
    </w:p>
    <w:p w14:paraId="0710609B">
      <w:pPr>
        <w:keepNext w:val="0"/>
        <w:keepLines w:val="0"/>
        <w:pageBreakBefore w:val="0"/>
        <w:widowControl/>
        <w:kinsoku/>
        <w:wordWrap/>
        <w:overflowPunct/>
        <w:topLinePunct w:val="0"/>
        <w:autoSpaceDE/>
        <w:autoSpaceDN/>
        <w:bidi w:val="0"/>
        <w:adjustRightInd/>
        <w:snapToGrid/>
        <w:spacing w:after="0" w:line="560" w:lineRule="exact"/>
        <w:ind w:left="0" w:leftChars="0" w:firstLine="643"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一是广泛宣传，深化法治教育。</w:t>
      </w:r>
      <w:r>
        <w:rPr>
          <w:rFonts w:hint="eastAsia" w:ascii="仿宋_GB2312" w:hAnsi="仿宋_GB2312" w:eastAsia="仿宋_GB2312" w:cs="仿宋_GB2312"/>
          <w:b w:val="0"/>
          <w:bCs w:val="0"/>
          <w:color w:val="auto"/>
          <w:kern w:val="0"/>
          <w:sz w:val="32"/>
          <w:szCs w:val="32"/>
          <w:lang w:val="en-US" w:eastAsia="zh-CN" w:bidi="ar-SA"/>
        </w:rPr>
        <w:t>及时制订年度法治宣传教育工作计划，并对照计划逐步逐项落实。利用“4.15”“6.16”“12.4”等关键时间节点，利用集市、庙会等形式共进行法律宣传15次，发放各种宣传资料5000余份，各类法治宣传横幅标语12条。通过以上措施的落实，使我镇普法工作开展得扎扎实实，取得了预期的效果。</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二是多措并举，普法氛围浓厚。</w:t>
      </w:r>
      <w:r>
        <w:rPr>
          <w:rFonts w:hint="eastAsia" w:ascii="仿宋_GB2312" w:hAnsi="仿宋_GB2312" w:eastAsia="仿宋_GB2312" w:cs="仿宋_GB2312"/>
          <w:b w:val="0"/>
          <w:bCs w:val="0"/>
          <w:color w:val="auto"/>
          <w:kern w:val="0"/>
          <w:sz w:val="32"/>
          <w:szCs w:val="32"/>
          <w:lang w:val="en-US" w:eastAsia="zh-CN" w:bidi="ar-SA"/>
        </w:rPr>
        <w:t>积极督促各村采取壁画、专栏、会议、广播等形式定期开展法治宣传活动；继续完善普法宣传栏、法治图书角、法治长廊等法治文化阵地建设；坚持“三治融合”有效，把村民自治、法治、德治融合共治，不断规范村民言行举止，提升群众法律素养，营造浓厚的普法氛围。</w:t>
      </w:r>
    </w:p>
    <w:p w14:paraId="0EC365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60" w:lineRule="exact"/>
        <w:ind w:left="0" w:right="0" w:firstLine="643" w:firstLineChars="200"/>
        <w:jc w:val="both"/>
        <w:textAlignment w:val="auto"/>
        <w:outlineLvl w:val="9"/>
        <w:rPr>
          <w:rStyle w:val="16"/>
          <w:rFonts w:hint="eastAsia" w:ascii="楷体_GB2312" w:hAnsi="楷体_GB2312" w:eastAsia="楷体_GB2312" w:cs="楷体_GB2312"/>
          <w:b/>
          <w:bCs w:val="0"/>
          <w:i w:val="0"/>
          <w:iCs w:val="0"/>
          <w:caps w:val="0"/>
          <w:color w:val="auto"/>
          <w:spacing w:val="0"/>
          <w:sz w:val="32"/>
          <w:szCs w:val="32"/>
          <w:shd w:val="clear" w:fill="FFFFFF"/>
          <w:lang w:val="en-US" w:eastAsia="zh-CN"/>
        </w:rPr>
      </w:pPr>
      <w:r>
        <w:rPr>
          <w:rStyle w:val="16"/>
          <w:rFonts w:hint="eastAsia" w:ascii="楷体_GB2312" w:hAnsi="楷体_GB2312" w:eastAsia="楷体_GB2312" w:cs="楷体_GB2312"/>
          <w:b/>
          <w:bCs w:val="0"/>
          <w:i w:val="0"/>
          <w:iCs w:val="0"/>
          <w:caps w:val="0"/>
          <w:color w:val="auto"/>
          <w:spacing w:val="0"/>
          <w:sz w:val="32"/>
          <w:szCs w:val="32"/>
          <w:shd w:val="clear" w:fill="FFFFFF"/>
          <w:lang w:val="en-US" w:eastAsia="zh-CN"/>
        </w:rPr>
        <w:t>（四）打造共建、共治、共享社会治理格局。</w:t>
      </w:r>
    </w:p>
    <w:p w14:paraId="5C31D65D">
      <w:pPr>
        <w:keepNext w:val="0"/>
        <w:keepLines w:val="0"/>
        <w:pageBreakBefore w:val="0"/>
        <w:widowControl/>
        <w:kinsoku/>
        <w:wordWrap/>
        <w:overflowPunct/>
        <w:topLinePunct w:val="0"/>
        <w:autoSpaceDE/>
        <w:autoSpaceDN/>
        <w:bidi w:val="0"/>
        <w:adjustRightInd/>
        <w:snapToGrid/>
        <w:spacing w:after="0" w:line="560"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人民调解工作持续开展：</w:t>
      </w:r>
      <w:r>
        <w:rPr>
          <w:rFonts w:hint="eastAsia" w:ascii="仿宋_GB2312" w:hAnsi="仿宋_GB2312" w:eastAsia="仿宋_GB2312" w:cs="仿宋_GB2312"/>
          <w:b w:val="0"/>
          <w:bCs w:val="0"/>
          <w:color w:val="auto"/>
          <w:kern w:val="0"/>
          <w:sz w:val="32"/>
          <w:szCs w:val="32"/>
          <w:lang w:val="en-US" w:eastAsia="zh-CN" w:bidi="ar-SA"/>
        </w:rPr>
        <w:t>梳理防风险保稳定问题，积极协调推进处理重点难点、历史遗留问题，按照矛盾纠纷排查工作“排查的早，发现的了，控制得住，解决的好”的工作要求，坚持每月召开基层调委主任会议，对基层各类矛盾纠纷进行摸底排查，对排查出的问题，明确专人调处。通过各阶段排查，全面掌握和有效调处辖区存在的各种矛盾纠纷和不稳定因素，着力解决影响社会稳定的热点、难点问题，真正将各类矛盾纠纷解决在基层，消灭在萌芽状态。今年，共调处各类矛盾纠纷38起，调解成功38起。案件受理率达到100%，调解成功率达到100%。</w:t>
      </w:r>
      <w:r>
        <w:rPr>
          <w:rFonts w:hint="eastAsia" w:ascii="仿宋_GB2312" w:hAnsi="仿宋_GB2312" w:eastAsia="仿宋_GB2312" w:cs="仿宋_GB2312"/>
          <w:b/>
          <w:bCs/>
          <w:color w:val="auto"/>
          <w:sz w:val="32"/>
          <w:szCs w:val="32"/>
          <w:lang w:val="en-US" w:eastAsia="zh-CN"/>
        </w:rPr>
        <w:t>公共法律服务深入开展：</w:t>
      </w:r>
      <w:r>
        <w:rPr>
          <w:rFonts w:hint="eastAsia" w:ascii="仿宋_GB2312" w:hAnsi="仿宋_GB2312" w:eastAsia="仿宋_GB2312" w:cs="仿宋_GB2312"/>
          <w:color w:val="auto"/>
          <w:kern w:val="0"/>
          <w:sz w:val="32"/>
          <w:szCs w:val="32"/>
          <w:lang w:val="en-US" w:eastAsia="zh-CN"/>
        </w:rPr>
        <w:t>严格按照“一村一法律顾问”的要求为各村分配法律顾问，督促律师为群众解答法律咨询，为村委会涉法涉诉问题提供法律帮助，并对一村一法律顾问工作进行严格考核。全年共为群众解答法律咨询653人次。</w:t>
      </w:r>
      <w:r>
        <w:rPr>
          <w:rFonts w:hint="eastAsia" w:ascii="仿宋_GB2312" w:hAnsi="仿宋_GB2312" w:eastAsia="仿宋_GB2312" w:cs="仿宋_GB2312"/>
          <w:b/>
          <w:bCs/>
          <w:color w:val="auto"/>
          <w:sz w:val="32"/>
          <w:szCs w:val="32"/>
          <w:lang w:val="en-US" w:eastAsia="zh-CN"/>
        </w:rPr>
        <w:t>远程视频会见扎实推进：</w:t>
      </w:r>
      <w:r>
        <w:rPr>
          <w:rFonts w:hint="eastAsia" w:ascii="仿宋_GB2312" w:hAnsi="仿宋_GB2312" w:eastAsia="仿宋_GB2312" w:cs="仿宋_GB2312"/>
          <w:color w:val="auto"/>
          <w:kern w:val="0"/>
          <w:sz w:val="32"/>
          <w:szCs w:val="32"/>
          <w:lang w:val="en-US" w:eastAsia="zh-CN"/>
        </w:rPr>
        <w:t>亲属远程视频会见是维系被监管人员亲情最直接的渠道之一，是开展亲情帮教、感化被监管人员最有效的方式。解决了部分被监管人员亲属因身体、经济等条件限制无法实现会见的问题，为被监管人员与亲属架起一座沟通亲情、传递关爱的桥梁，全年为18名在监人员进行了视频会见，家属视频会见达到40人次。</w:t>
      </w:r>
      <w:r>
        <w:rPr>
          <w:rFonts w:hint="eastAsia" w:ascii="仿宋_GB2312" w:hAnsi="仿宋_GB2312" w:eastAsia="仿宋_GB2312" w:cs="仿宋_GB2312"/>
          <w:b/>
          <w:bCs/>
          <w:color w:val="auto"/>
          <w:spacing w:val="0"/>
          <w:sz w:val="32"/>
          <w:szCs w:val="32"/>
        </w:rPr>
        <w:t>监督制约机制</w:t>
      </w:r>
      <w:r>
        <w:rPr>
          <w:rFonts w:hint="eastAsia" w:ascii="仿宋_GB2312" w:hAnsi="仿宋_GB2312" w:eastAsia="仿宋_GB2312" w:cs="仿宋_GB2312"/>
          <w:b/>
          <w:bCs/>
          <w:color w:val="auto"/>
          <w:spacing w:val="0"/>
          <w:sz w:val="32"/>
          <w:szCs w:val="32"/>
          <w:lang w:val="en-US" w:eastAsia="zh-CN"/>
        </w:rPr>
        <w:t>全面落实：</w:t>
      </w:r>
      <w:r>
        <w:rPr>
          <w:rFonts w:hint="eastAsia" w:ascii="仿宋_GB2312" w:hAnsi="仿宋_GB2312" w:eastAsia="仿宋_GB2312" w:cs="仿宋_GB2312"/>
          <w:color w:val="auto"/>
          <w:spacing w:val="0"/>
          <w:sz w:val="32"/>
          <w:szCs w:val="32"/>
        </w:rPr>
        <w:t>开展人大代表评议站所工作和法律工作检查，通过党务政务公开等形式加强监督，增加工作透明度，规范权力运作，接受群众监督，让权力和责任在法治的阳光下运行。强化党风廉政建设责任制，落实党政领导班子述职述廉述德述法制度。一年来，我镇广大干部特别是领导干部依法行政、依法管理、依法办事的自觉性和能力不断增强。</w:t>
      </w:r>
    </w:p>
    <w:p w14:paraId="3D446C8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0" w:afterAutospacing="0" w:line="560" w:lineRule="exact"/>
        <w:ind w:left="0" w:right="0" w:firstLine="643" w:firstLineChars="200"/>
        <w:jc w:val="both"/>
        <w:textAlignment w:val="auto"/>
        <w:outlineLvl w:val="9"/>
        <w:rPr>
          <w:rFonts w:hint="eastAsia" w:ascii="黑体" w:hAnsi="黑体" w:eastAsia="黑体" w:cs="黑体"/>
          <w:b/>
          <w:bCs/>
          <w:color w:val="auto"/>
          <w:sz w:val="32"/>
          <w:szCs w:val="32"/>
        </w:rPr>
      </w:pPr>
      <w:r>
        <w:rPr>
          <w:rFonts w:hint="eastAsia" w:ascii="黑体" w:hAnsi="黑体" w:eastAsia="黑体" w:cs="黑体"/>
          <w:b/>
          <w:bCs/>
          <w:i w:val="0"/>
          <w:iCs w:val="0"/>
          <w:caps w:val="0"/>
          <w:color w:val="auto"/>
          <w:spacing w:val="0"/>
          <w:sz w:val="32"/>
          <w:szCs w:val="32"/>
          <w:shd w:val="clear" w:fill="FFFFFF"/>
        </w:rPr>
        <w:t>三、推进法治政府建设存在问题短板及原因</w:t>
      </w:r>
    </w:p>
    <w:p w14:paraId="6A4875D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在开展法治政府建设工作中，我镇虽然取得了一定的成绩，但也存在一些</w:t>
      </w:r>
      <w:r>
        <w:rPr>
          <w:rFonts w:hint="eastAsia" w:ascii="仿宋_GB2312" w:hAnsi="仿宋_GB2312" w:eastAsia="仿宋_GB2312" w:cs="仿宋_GB2312"/>
          <w:color w:val="auto"/>
          <w:spacing w:val="0"/>
          <w:kern w:val="2"/>
          <w:sz w:val="32"/>
          <w:szCs w:val="32"/>
          <w:lang w:val="en-US" w:eastAsia="zh-CN" w:bidi="ar-SA"/>
        </w:rPr>
        <w:t>不足之处，主要表现为：</w:t>
      </w:r>
      <w:r>
        <w:rPr>
          <w:rFonts w:hint="eastAsia" w:ascii="仿宋_GB2312" w:hAnsi="仿宋_GB2312" w:eastAsia="仿宋_GB2312" w:cs="仿宋_GB2312"/>
          <w:b/>
          <w:bCs/>
          <w:color w:val="auto"/>
          <w:spacing w:val="0"/>
          <w:kern w:val="2"/>
          <w:sz w:val="32"/>
          <w:szCs w:val="32"/>
          <w:lang w:val="en-US" w:eastAsia="zh-CN" w:bidi="ar-SA"/>
        </w:rPr>
        <w:t>一是部分干部职工重业务、轻学习的思想依然存在。</w:t>
      </w:r>
      <w:r>
        <w:rPr>
          <w:rFonts w:hint="eastAsia" w:ascii="仿宋_GB2312" w:hAnsi="仿宋_GB2312" w:eastAsia="仿宋_GB2312" w:cs="仿宋_GB2312"/>
          <w:color w:val="auto"/>
          <w:spacing w:val="0"/>
          <w:kern w:val="2"/>
          <w:sz w:val="32"/>
          <w:szCs w:val="32"/>
          <w:lang w:val="en-US" w:eastAsia="zh-CN" w:bidi="ar-SA"/>
        </w:rPr>
        <w:t>对法治政府建设的认识不到位，重视程度不够，导致学习不够积极主动，理论学习不够深入系统，对相关法律法规的学习运用还不够深入，不够全面。</w:t>
      </w:r>
      <w:r>
        <w:rPr>
          <w:rFonts w:hint="eastAsia" w:ascii="仿宋_GB2312" w:hAnsi="仿宋_GB2312" w:eastAsia="仿宋_GB2312" w:cs="仿宋_GB2312"/>
          <w:b/>
          <w:bCs/>
          <w:color w:val="auto"/>
          <w:spacing w:val="0"/>
          <w:kern w:val="2"/>
          <w:sz w:val="32"/>
          <w:szCs w:val="32"/>
          <w:lang w:val="en-US" w:eastAsia="zh-CN" w:bidi="ar-SA"/>
        </w:rPr>
        <w:t>二是部分群众法律意识淡薄。</w:t>
      </w:r>
      <w:r>
        <w:rPr>
          <w:rFonts w:hint="eastAsia" w:ascii="仿宋_GB2312" w:hAnsi="仿宋_GB2312" w:eastAsia="仿宋_GB2312" w:cs="仿宋_GB2312"/>
          <w:color w:val="auto"/>
          <w:spacing w:val="0"/>
          <w:kern w:val="2"/>
          <w:sz w:val="32"/>
          <w:szCs w:val="32"/>
          <w:lang w:val="en-US" w:eastAsia="zh-CN" w:bidi="ar-SA"/>
        </w:rPr>
        <w:t>受知识水平影响与长期以来的传统思维方式的影响，部分村民仍存在着遇到问题不懂依法办事，不会依法办事，不知道按法办事和利用法律手段维护自身合法权益的现象。</w:t>
      </w:r>
      <w:r>
        <w:rPr>
          <w:rFonts w:hint="eastAsia" w:ascii="仿宋_GB2312" w:hAnsi="仿宋_GB2312" w:eastAsia="仿宋_GB2312" w:cs="仿宋_GB2312"/>
          <w:b/>
          <w:bCs/>
          <w:color w:val="auto"/>
          <w:spacing w:val="0"/>
          <w:kern w:val="2"/>
          <w:sz w:val="32"/>
          <w:szCs w:val="32"/>
          <w:lang w:val="en-US" w:eastAsia="zh-CN" w:bidi="ar-SA"/>
        </w:rPr>
        <w:t>三是法治宣传手段较少。</w:t>
      </w:r>
      <w:r>
        <w:rPr>
          <w:rFonts w:hint="eastAsia" w:ascii="仿宋_GB2312" w:hAnsi="仿宋_GB2312" w:eastAsia="仿宋_GB2312" w:cs="仿宋_GB2312"/>
          <w:color w:val="auto"/>
          <w:spacing w:val="0"/>
          <w:kern w:val="2"/>
          <w:sz w:val="32"/>
          <w:szCs w:val="32"/>
          <w:lang w:val="en-US" w:eastAsia="zh-CN" w:bidi="ar-SA"/>
        </w:rPr>
        <w:t>目前法治宣传方式还是多以入户走访，摆摊派发宣传手册，悬挂标语等传统手段。宣传方式创造性与多样性有待提高。同时在法律法规内容宣传方面有时过于专业，解释法律较为生硬，需要补充通俗易懂、贴近群众生活、对法与理进行条分缕析的鲜活案例加深群众对法律的理解。</w:t>
      </w:r>
      <w:r>
        <w:rPr>
          <w:rFonts w:hint="eastAsia" w:ascii="仿宋_GB2312" w:hAnsi="仿宋_GB2312" w:eastAsia="仿宋_GB2312" w:cs="仿宋_GB2312"/>
          <w:b w:val="0"/>
          <w:bCs w:val="0"/>
          <w:color w:val="auto"/>
          <w:kern w:val="0"/>
          <w:sz w:val="32"/>
          <w:szCs w:val="32"/>
          <w:lang w:val="en-US" w:eastAsia="zh-CN" w:bidi="ar-SA"/>
        </w:rPr>
        <w:t>针对上述问题，我镇将认真学习分析研究，在今后工作中加以解决。</w:t>
      </w:r>
    </w:p>
    <w:p w14:paraId="35CC29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四、本单位履行法院生效裁判情况</w:t>
      </w:r>
    </w:p>
    <w:p w14:paraId="3D8255B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尊重并自觉履行人民法院的生效判决、裁定和调解书。2024年，我镇需要履行法院调解书1件，已全部履行完毕。</w:t>
      </w:r>
    </w:p>
    <w:p w14:paraId="73287E1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五、202</w:t>
      </w: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年度推进法治政府建设的主要安排和具体计划</w:t>
      </w:r>
    </w:p>
    <w:p w14:paraId="3B94D8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次营镇将继续深入领会党的二十大精神与习近平法治思想，加强依法行政能力建设，推进法治政府建设工作，真抓实干，开拓进取，重点抓好以下三个方面。</w:t>
      </w:r>
    </w:p>
    <w:p w14:paraId="6151F83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3" w:firstLineChars="200"/>
        <w:jc w:val="both"/>
        <w:textAlignment w:val="auto"/>
        <w:outlineLvl w:val="9"/>
        <w:rPr>
          <w:rFonts w:hint="default" w:ascii="仿宋_GB2312" w:hAnsi="仿宋_GB2312" w:eastAsia="仿宋_GB2312" w:cs="仿宋_GB2312"/>
          <w:b w:val="0"/>
          <w:bCs w:val="0"/>
          <w:color w:val="auto"/>
          <w:kern w:val="0"/>
          <w:sz w:val="32"/>
          <w:szCs w:val="32"/>
          <w:lang w:val="en-US" w:eastAsia="zh-CN" w:bidi="ar-SA"/>
        </w:rPr>
      </w:pPr>
      <w:r>
        <w:rPr>
          <w:rFonts w:hint="eastAsia" w:ascii="楷体_GB2312" w:hAnsi="楷体_GB2312" w:eastAsia="楷体_GB2312" w:cs="楷体_GB2312"/>
          <w:b/>
          <w:bCs/>
          <w:i w:val="0"/>
          <w:iCs w:val="0"/>
          <w:caps w:val="0"/>
          <w:color w:val="auto"/>
          <w:spacing w:val="0"/>
          <w:sz w:val="32"/>
          <w:szCs w:val="32"/>
          <w:shd w:val="clear" w:fill="FFFFFF"/>
        </w:rPr>
        <w:t>（一）聚焦政策学习，紧抓思想引领，在理论基础上再提升。</w:t>
      </w:r>
      <w:r>
        <w:rPr>
          <w:rFonts w:hint="eastAsia" w:ascii="仿宋_GB2312" w:hAnsi="仿宋_GB2312" w:eastAsia="仿宋_GB2312" w:cs="仿宋_GB2312"/>
          <w:b w:val="0"/>
          <w:bCs w:val="0"/>
          <w:color w:val="auto"/>
          <w:kern w:val="0"/>
          <w:sz w:val="32"/>
          <w:szCs w:val="32"/>
          <w:lang w:val="en-US" w:eastAsia="zh-CN" w:bidi="ar-SA"/>
        </w:rPr>
        <w:t>紧紧抓住学习贯彻习近平新时代中国特色社会主义思想主题教育契机，持续深入学习习近平法治思想和相关法律法规，认真学习贯彻省市县出台的相关法治文件和会议精神，通过专题讲座、知识测试、观看教育宣传片、自主学习等方式，全面提升干部职工的法治意识和法治思维，切实做到知法懂法、学法用法，增强依法行政能力。</w:t>
      </w:r>
    </w:p>
    <w:p w14:paraId="22277BE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3" w:firstLineChars="200"/>
        <w:jc w:val="both"/>
        <w:textAlignment w:val="auto"/>
        <w:outlineLvl w:val="9"/>
        <w:rPr>
          <w:rFonts w:hint="default" w:ascii="仿宋_GB2312" w:hAnsi="仿宋_GB2312" w:eastAsia="仿宋_GB2312" w:cs="仿宋_GB2312"/>
          <w:b w:val="0"/>
          <w:bCs w:val="0"/>
          <w:color w:val="auto"/>
          <w:kern w:val="0"/>
          <w:sz w:val="32"/>
          <w:szCs w:val="32"/>
          <w:lang w:val="en-US" w:eastAsia="zh-CN" w:bidi="ar-SA"/>
        </w:rPr>
      </w:pPr>
      <w:r>
        <w:rPr>
          <w:rFonts w:hint="eastAsia" w:ascii="楷体_GB2312" w:hAnsi="楷体_GB2312" w:eastAsia="楷体_GB2312" w:cs="楷体_GB2312"/>
          <w:b/>
          <w:bCs/>
          <w:i w:val="0"/>
          <w:iCs w:val="0"/>
          <w:caps w:val="0"/>
          <w:color w:val="auto"/>
          <w:spacing w:val="0"/>
          <w:sz w:val="32"/>
          <w:szCs w:val="32"/>
          <w:shd w:val="clear" w:fill="FFFFFF"/>
        </w:rPr>
        <w:t>（二）聚焦重点任务，切实履职尽责，在推动落实上再加力。</w:t>
      </w:r>
      <w:r>
        <w:rPr>
          <w:rFonts w:hint="eastAsia" w:ascii="仿宋_GB2312" w:hAnsi="仿宋_GB2312" w:eastAsia="仿宋_GB2312" w:cs="仿宋_GB2312"/>
          <w:b w:val="0"/>
          <w:bCs w:val="0"/>
          <w:color w:val="auto"/>
          <w:kern w:val="0"/>
          <w:sz w:val="32"/>
          <w:szCs w:val="32"/>
          <w:lang w:val="en-US" w:eastAsia="zh-CN" w:bidi="ar-SA"/>
        </w:rPr>
        <w:t>加强统筹、科学安排，做好法治政府建设工作，把法治建设同学习贯彻习近平新时代中国特色社会主义思想主题教育结合起来，同贯彻落实党的二十大精神结合起来，同全面推进主动创稳工作结合起来，同“依法治镇”工作要求结合起来，锚定目标任务，强化责任担当，以法治建设工作的实际成效推动各项工作落地落实、取得实效。</w:t>
      </w:r>
    </w:p>
    <w:p w14:paraId="24CF60C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3" w:firstLineChars="200"/>
        <w:jc w:val="both"/>
        <w:textAlignment w:val="auto"/>
        <w:outlineLvl w:val="9"/>
        <w:rPr>
          <w:rFonts w:hint="default" w:ascii="仿宋_GB2312" w:hAnsi="仿宋_GB2312" w:eastAsia="仿宋_GB2312" w:cs="仿宋_GB2312"/>
          <w:b w:val="0"/>
          <w:bCs w:val="0"/>
          <w:color w:val="auto"/>
          <w:kern w:val="0"/>
          <w:sz w:val="32"/>
          <w:szCs w:val="32"/>
          <w:lang w:val="en-US" w:eastAsia="zh-CN" w:bidi="ar-SA"/>
        </w:rPr>
      </w:pPr>
      <w:r>
        <w:rPr>
          <w:rFonts w:hint="eastAsia" w:ascii="楷体_GB2312" w:hAnsi="楷体_GB2312" w:eastAsia="楷体_GB2312" w:cs="楷体_GB2312"/>
          <w:b/>
          <w:bCs/>
          <w:i w:val="0"/>
          <w:iCs w:val="0"/>
          <w:caps w:val="0"/>
          <w:color w:val="auto"/>
          <w:spacing w:val="0"/>
          <w:sz w:val="32"/>
          <w:szCs w:val="32"/>
          <w:shd w:val="clear" w:fill="FFFFFF"/>
        </w:rPr>
        <w:t>（三）激发宣传活力，强化舆论引导，在法治宣传上再突破。</w:t>
      </w:r>
      <w:r>
        <w:rPr>
          <w:rFonts w:hint="eastAsia" w:ascii="仿宋_GB2312" w:hAnsi="仿宋_GB2312" w:eastAsia="仿宋_GB2312" w:cs="仿宋_GB2312"/>
          <w:b w:val="0"/>
          <w:bCs w:val="0"/>
          <w:color w:val="auto"/>
          <w:kern w:val="0"/>
          <w:sz w:val="32"/>
          <w:szCs w:val="32"/>
          <w:lang w:val="en-US" w:eastAsia="zh-CN" w:bidi="ar-SA"/>
        </w:rPr>
        <w:t>积极开展宣传活动，加大法律“八进”工作力度，广泛宣传《中华人民共和国宪法》《中华人民共和国民法典》《信访工作条例》《物业管理条例》等法律法规，针对居民群众关注的急难愁盼问题，开展针对性的法治宣传教育，全面提升居民群众办事依法、遇事找法、解决问题用法、化解矛盾靠法的思维意识。</w:t>
      </w:r>
    </w:p>
    <w:p w14:paraId="6E47592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六、对全县加强法治政府建设的建议</w:t>
      </w:r>
    </w:p>
    <w:p w14:paraId="52D0B13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一是紧盯重点任务，夯实法治政府建设基础。</w:t>
      </w:r>
      <w:r>
        <w:rPr>
          <w:rFonts w:hint="eastAsia" w:ascii="仿宋_GB2312" w:hAnsi="仿宋_GB2312" w:eastAsia="仿宋_GB2312" w:cs="仿宋_GB2312"/>
          <w:color w:val="auto"/>
          <w:kern w:val="2"/>
          <w:sz w:val="32"/>
          <w:szCs w:val="32"/>
          <w:lang w:val="en-US" w:eastAsia="zh-CN" w:bidi="ar-SA"/>
        </w:rPr>
        <w:t>紧紧围绕《法治政府建设实施纲要（2021—2025年）》，立足全面履行政府职能、完善依法行政制度体系、推进科学民主决策、有效化解社会矛盾纠纷等方面，对标对表，查漏补缺，巩固提升工作成效，确保法治政府建设各项目标任务全面落实。</w:t>
      </w:r>
    </w:p>
    <w:p w14:paraId="5638712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right="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二是坚持示范引领，严格规范公正文明执法。</w:t>
      </w:r>
      <w:r>
        <w:rPr>
          <w:rFonts w:hint="eastAsia" w:ascii="仿宋_GB2312" w:hAnsi="仿宋_GB2312" w:eastAsia="仿宋_GB2312" w:cs="仿宋_GB2312"/>
          <w:color w:val="auto"/>
          <w:kern w:val="2"/>
          <w:sz w:val="32"/>
          <w:szCs w:val="32"/>
          <w:lang w:val="en-US" w:eastAsia="zh-CN" w:bidi="ar-SA"/>
        </w:rPr>
        <w:t>以贯彻落实“三项制度”为抓手，不断完善行政执法程序，规范行政执法行为，实现行政执法公示、执法全过程记录和重大执法决定法制审核制度化、常态化。</w:t>
      </w:r>
    </w:p>
    <w:p w14:paraId="1F0B6F9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三是强化队伍建设，确保权力行使公开透明。</w:t>
      </w:r>
      <w:r>
        <w:rPr>
          <w:rFonts w:hint="eastAsia" w:ascii="仿宋_GB2312" w:hAnsi="仿宋_GB2312" w:eastAsia="仿宋_GB2312" w:cs="仿宋_GB2312"/>
          <w:color w:val="auto"/>
          <w:kern w:val="2"/>
          <w:sz w:val="32"/>
          <w:szCs w:val="32"/>
          <w:lang w:val="en-US" w:eastAsia="zh-CN" w:bidi="ar-SA"/>
        </w:rPr>
        <w:t>尽量配备具有法律专业知识的人才，保障行政执法和法制审核人员专岗专用，形成一支稳定的、专业的执法队伍，并加强业务培训。完善考核评价体系，坚决纠正违法及行政不作为、乱作为的问题，积极查漏补缺、补齐短板，为实现法治政府建设筑牢基础。</w:t>
      </w:r>
    </w:p>
    <w:p w14:paraId="4FCE2B0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、其他需要报告的重要事项</w:t>
      </w:r>
    </w:p>
    <w:p w14:paraId="12AFB1C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color w:val="auto"/>
          <w:sz w:val="24"/>
          <w:szCs w:val="24"/>
        </w:rPr>
      </w:pPr>
      <w:r>
        <w:rPr>
          <w:rFonts w:hint="eastAsia" w:ascii="仿宋" w:hAnsi="仿宋" w:eastAsia="仿宋" w:cs="仿宋"/>
          <w:color w:val="auto"/>
          <w:sz w:val="30"/>
          <w:szCs w:val="30"/>
        </w:rPr>
        <w:t>无</w:t>
      </w:r>
    </w:p>
    <w:p w14:paraId="2BE5F7CB">
      <w:pPr>
        <w:keepNext w:val="0"/>
        <w:keepLines w:val="0"/>
        <w:pageBreakBefore w:val="0"/>
        <w:kinsoku/>
        <w:wordWrap w:val="0"/>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67A9B7A5">
      <w:pPr>
        <w:keepNext w:val="0"/>
        <w:keepLines w:val="0"/>
        <w:pageBreakBefore w:val="0"/>
        <w:kinsoku/>
        <w:wordWrap w:val="0"/>
        <w:overflowPunct/>
        <w:topLinePunct w:val="0"/>
        <w:autoSpaceDE/>
        <w:autoSpaceDN/>
        <w:bidi w:val="0"/>
        <w:adjustRightInd/>
        <w:snapToGrid/>
        <w:spacing w:line="560" w:lineRule="exact"/>
        <w:ind w:firstLine="5120" w:firstLineChars="1600"/>
        <w:jc w:val="both"/>
        <w:textAlignment w:val="auto"/>
        <w:outlineLvl w:val="9"/>
        <w:rPr>
          <w:rFonts w:hint="eastAsia" w:ascii="仿宋" w:hAnsi="仿宋" w:eastAsia="仿宋" w:cs="仿宋"/>
          <w:color w:val="auto"/>
          <w:sz w:val="32"/>
          <w:szCs w:val="32"/>
          <w:lang w:val="en-US" w:eastAsia="zh-CN"/>
        </w:rPr>
      </w:pPr>
    </w:p>
    <w:p w14:paraId="70D6BA51">
      <w:pPr>
        <w:keepNext w:val="0"/>
        <w:keepLines w:val="0"/>
        <w:pageBreakBefore w:val="0"/>
        <w:kinsoku/>
        <w:wordWrap w:val="0"/>
        <w:overflowPunct/>
        <w:topLinePunct w:val="0"/>
        <w:autoSpaceDE/>
        <w:autoSpaceDN/>
        <w:bidi w:val="0"/>
        <w:adjustRightInd/>
        <w:snapToGrid/>
        <w:spacing w:line="560" w:lineRule="exact"/>
        <w:ind w:firstLine="5120" w:firstLineChars="1600"/>
        <w:jc w:val="both"/>
        <w:textAlignment w:val="auto"/>
        <w:outlineLvl w:val="9"/>
        <w:rPr>
          <w:rFonts w:hint="eastAsia" w:ascii="仿宋" w:hAnsi="仿宋" w:eastAsia="仿宋" w:cs="仿宋"/>
          <w:color w:val="auto"/>
          <w:sz w:val="32"/>
          <w:szCs w:val="32"/>
          <w:lang w:val="en-US" w:eastAsia="zh-CN"/>
        </w:rPr>
      </w:pPr>
    </w:p>
    <w:p w14:paraId="5A58A77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outlineLvl w:val="9"/>
        <w:rPr>
          <w:rFonts w:hint="default" w:ascii="仿宋_GB2312" w:hAnsi="仿宋" w:eastAsia="仿宋_GB2312"/>
          <w:color w:val="auto"/>
          <w:sz w:val="30"/>
          <w:szCs w:val="30"/>
          <w:u w:val="single"/>
          <w:lang w:val="en-US" w:eastAsia="zh-CN"/>
        </w:rPr>
      </w:pPr>
      <w:bookmarkStart w:id="0" w:name="_GoBack"/>
      <w:bookmarkEnd w:id="0"/>
    </w:p>
    <w:sectPr>
      <w:footerReference r:id="rId3" w:type="default"/>
      <w:footerReference r:id="rId4" w:type="even"/>
      <w:pgSz w:w="11906" w:h="16838"/>
      <w:pgMar w:top="2098" w:right="1474"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FE7D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9867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09867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DD3D">
    <w:pPr>
      <w:pStyle w:val="8"/>
      <w:framePr w:wrap="around" w:vAnchor="text" w:hAnchor="margin" w:xAlign="center" w:y="1"/>
      <w:rPr>
        <w:rStyle w:val="17"/>
      </w:rPr>
    </w:pPr>
    <w:r>
      <w:fldChar w:fldCharType="begin"/>
    </w:r>
    <w:r>
      <w:rPr>
        <w:rStyle w:val="17"/>
      </w:rPr>
      <w:instrText xml:space="preserve">PAGE  </w:instrText>
    </w:r>
    <w:r>
      <w:fldChar w:fldCharType="end"/>
    </w:r>
  </w:p>
  <w:p w14:paraId="5F2B2C46">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YzQ2MTYxZjA4NTRlOWRjNTg2NTliNjZmNTMxOTQifQ=="/>
  </w:docVars>
  <w:rsids>
    <w:rsidRoot w:val="51584CD5"/>
    <w:rsid w:val="00537C28"/>
    <w:rsid w:val="01884101"/>
    <w:rsid w:val="01D475CE"/>
    <w:rsid w:val="01E50D53"/>
    <w:rsid w:val="022F76F1"/>
    <w:rsid w:val="02B77211"/>
    <w:rsid w:val="02C45CB2"/>
    <w:rsid w:val="0425440A"/>
    <w:rsid w:val="0515394B"/>
    <w:rsid w:val="06711AC2"/>
    <w:rsid w:val="08386D1B"/>
    <w:rsid w:val="084F09A4"/>
    <w:rsid w:val="087F780C"/>
    <w:rsid w:val="08DF7C89"/>
    <w:rsid w:val="08F1232F"/>
    <w:rsid w:val="0A83591D"/>
    <w:rsid w:val="0AB002AC"/>
    <w:rsid w:val="0AC0363C"/>
    <w:rsid w:val="0D460BF6"/>
    <w:rsid w:val="0E43199A"/>
    <w:rsid w:val="0F2029E1"/>
    <w:rsid w:val="1030161E"/>
    <w:rsid w:val="104919D1"/>
    <w:rsid w:val="107E7E2B"/>
    <w:rsid w:val="11194E87"/>
    <w:rsid w:val="111C14D5"/>
    <w:rsid w:val="129E7754"/>
    <w:rsid w:val="12D20E80"/>
    <w:rsid w:val="12D45796"/>
    <w:rsid w:val="12DF7983"/>
    <w:rsid w:val="137D53C3"/>
    <w:rsid w:val="13910571"/>
    <w:rsid w:val="152C4619"/>
    <w:rsid w:val="170910C8"/>
    <w:rsid w:val="174D6D29"/>
    <w:rsid w:val="1893711B"/>
    <w:rsid w:val="18D551B4"/>
    <w:rsid w:val="1A3004FB"/>
    <w:rsid w:val="1C44694B"/>
    <w:rsid w:val="1C9F3B86"/>
    <w:rsid w:val="1E78203F"/>
    <w:rsid w:val="1F2002F5"/>
    <w:rsid w:val="1FC20980"/>
    <w:rsid w:val="1FE43B85"/>
    <w:rsid w:val="2012571E"/>
    <w:rsid w:val="20395400"/>
    <w:rsid w:val="22CB1EBF"/>
    <w:rsid w:val="22CC72E7"/>
    <w:rsid w:val="22D652EA"/>
    <w:rsid w:val="22EF22F4"/>
    <w:rsid w:val="234561E1"/>
    <w:rsid w:val="24890DC5"/>
    <w:rsid w:val="24F94D27"/>
    <w:rsid w:val="25341D14"/>
    <w:rsid w:val="259124D5"/>
    <w:rsid w:val="26502390"/>
    <w:rsid w:val="28213FE4"/>
    <w:rsid w:val="299E3DD5"/>
    <w:rsid w:val="2ACD7B9C"/>
    <w:rsid w:val="2ADF0AD6"/>
    <w:rsid w:val="2C264D94"/>
    <w:rsid w:val="2D585717"/>
    <w:rsid w:val="2D966920"/>
    <w:rsid w:val="2EED2E72"/>
    <w:rsid w:val="2F550607"/>
    <w:rsid w:val="302864EB"/>
    <w:rsid w:val="30D17E21"/>
    <w:rsid w:val="31610A65"/>
    <w:rsid w:val="31A14871"/>
    <w:rsid w:val="3254206A"/>
    <w:rsid w:val="32A55811"/>
    <w:rsid w:val="342D2FFA"/>
    <w:rsid w:val="353B0CC9"/>
    <w:rsid w:val="35554E84"/>
    <w:rsid w:val="35585FE3"/>
    <w:rsid w:val="35B65628"/>
    <w:rsid w:val="35C31E16"/>
    <w:rsid w:val="362042AA"/>
    <w:rsid w:val="369B733B"/>
    <w:rsid w:val="36D73927"/>
    <w:rsid w:val="371215B8"/>
    <w:rsid w:val="376F5BF9"/>
    <w:rsid w:val="38034882"/>
    <w:rsid w:val="398E65E2"/>
    <w:rsid w:val="3B622927"/>
    <w:rsid w:val="3B724C3A"/>
    <w:rsid w:val="3C773724"/>
    <w:rsid w:val="3EB9703B"/>
    <w:rsid w:val="3F2D40B1"/>
    <w:rsid w:val="408F676F"/>
    <w:rsid w:val="418340B2"/>
    <w:rsid w:val="418E7E73"/>
    <w:rsid w:val="4342593A"/>
    <w:rsid w:val="434F7204"/>
    <w:rsid w:val="43FE04CC"/>
    <w:rsid w:val="44C864E6"/>
    <w:rsid w:val="44D81678"/>
    <w:rsid w:val="46787825"/>
    <w:rsid w:val="46C22DF8"/>
    <w:rsid w:val="47BD512A"/>
    <w:rsid w:val="47D56CEB"/>
    <w:rsid w:val="48BC2899"/>
    <w:rsid w:val="4A067308"/>
    <w:rsid w:val="4A785F31"/>
    <w:rsid w:val="4AF17D8E"/>
    <w:rsid w:val="4BB74194"/>
    <w:rsid w:val="4CE915FD"/>
    <w:rsid w:val="4CF61694"/>
    <w:rsid w:val="4D5D3DC8"/>
    <w:rsid w:val="4E0F6BE0"/>
    <w:rsid w:val="4E636855"/>
    <w:rsid w:val="4F3D2168"/>
    <w:rsid w:val="4F4A531F"/>
    <w:rsid w:val="4F670005"/>
    <w:rsid w:val="4FC14B47"/>
    <w:rsid w:val="50462A27"/>
    <w:rsid w:val="5078702E"/>
    <w:rsid w:val="514C365D"/>
    <w:rsid w:val="51584CD5"/>
    <w:rsid w:val="52281700"/>
    <w:rsid w:val="53BC54F2"/>
    <w:rsid w:val="544E0174"/>
    <w:rsid w:val="54CB5C34"/>
    <w:rsid w:val="550F6DEF"/>
    <w:rsid w:val="562112D8"/>
    <w:rsid w:val="56A30900"/>
    <w:rsid w:val="56B167EB"/>
    <w:rsid w:val="578210F7"/>
    <w:rsid w:val="588F2F88"/>
    <w:rsid w:val="58A446F7"/>
    <w:rsid w:val="5A2A7BEA"/>
    <w:rsid w:val="5B891BF9"/>
    <w:rsid w:val="5BD760E8"/>
    <w:rsid w:val="5CDC2A97"/>
    <w:rsid w:val="5CFA59A2"/>
    <w:rsid w:val="5DFA3429"/>
    <w:rsid w:val="5E6E6DEE"/>
    <w:rsid w:val="5F295C68"/>
    <w:rsid w:val="5FAD6183"/>
    <w:rsid w:val="5FB109EF"/>
    <w:rsid w:val="61C60FE2"/>
    <w:rsid w:val="623D3EE0"/>
    <w:rsid w:val="62F0715F"/>
    <w:rsid w:val="654D4C28"/>
    <w:rsid w:val="65E12415"/>
    <w:rsid w:val="67E300F5"/>
    <w:rsid w:val="68133145"/>
    <w:rsid w:val="68226CBB"/>
    <w:rsid w:val="68AB177B"/>
    <w:rsid w:val="69475E65"/>
    <w:rsid w:val="6BBB0994"/>
    <w:rsid w:val="6D2C056F"/>
    <w:rsid w:val="6D74501F"/>
    <w:rsid w:val="6E741E45"/>
    <w:rsid w:val="6FA128E1"/>
    <w:rsid w:val="6FF7705B"/>
    <w:rsid w:val="700B68A8"/>
    <w:rsid w:val="714F307A"/>
    <w:rsid w:val="74A30FDF"/>
    <w:rsid w:val="74D6127F"/>
    <w:rsid w:val="758B0B69"/>
    <w:rsid w:val="75C02F8B"/>
    <w:rsid w:val="76EB55C3"/>
    <w:rsid w:val="77384610"/>
    <w:rsid w:val="78461612"/>
    <w:rsid w:val="78CC7118"/>
    <w:rsid w:val="79BF29DE"/>
    <w:rsid w:val="79E7185B"/>
    <w:rsid w:val="7AC45732"/>
    <w:rsid w:val="7B7A704D"/>
    <w:rsid w:val="7CC141F7"/>
    <w:rsid w:val="7CEA62E4"/>
    <w:rsid w:val="7E4F7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line="415" w:lineRule="auto"/>
      <w:outlineLvl w:val="1"/>
    </w:pPr>
    <w:rPr>
      <w:rFonts w:ascii="Calibri Light" w:hAnsi="Calibri Light" w:eastAsia="黑体"/>
      <w:bCs/>
      <w:sz w:val="30"/>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firstLineChars="200"/>
    </w:pPr>
  </w:style>
  <w:style w:type="paragraph" w:styleId="6">
    <w:name w:val="Body Text"/>
    <w:basedOn w:val="1"/>
    <w:qFormat/>
    <w:uiPriority w:val="0"/>
    <w:rPr>
      <w:rFonts w:eastAsia="宋体"/>
      <w:sz w:val="21"/>
      <w:szCs w:val="24"/>
    </w:rPr>
  </w:style>
  <w:style w:type="paragraph" w:styleId="7">
    <w:name w:val="Body Text Indent"/>
    <w:basedOn w:val="1"/>
    <w:unhideWhenUsed/>
    <w:qFormat/>
    <w:uiPriority w:val="99"/>
    <w:pPr>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qFormat/>
    <w:uiPriority w:val="0"/>
    <w:pPr>
      <w:spacing w:before="0" w:beforeLines="0" w:beforeAutospacing="0" w:afterAutospacing="0"/>
      <w:jc w:val="left"/>
      <w:outlineLvl w:val="0"/>
    </w:pPr>
    <w:rPr>
      <w:rFonts w:ascii="Arial" w:hAnsi="Arial"/>
    </w:rPr>
  </w:style>
  <w:style w:type="paragraph" w:styleId="12">
    <w:name w:val="Body Text First Indent 2"/>
    <w:basedOn w:val="7"/>
    <w:next w:val="1"/>
    <w:autoRedefine/>
    <w:unhideWhenUsed/>
    <w:qFormat/>
    <w:uiPriority w:val="99"/>
    <w:pPr>
      <w:ind w:firstLine="420" w:firstLineChars="200"/>
    </w:pPr>
    <w:rPr>
      <w:rFonts w:ascii="Calibri" w:hAnsi="Calibri" w:eastAsia="宋体" w:cs="Times New Roman"/>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无间隔1"/>
    <w:next w:val="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正文首行缩进 21"/>
    <w:basedOn w:val="20"/>
    <w:next w:val="10"/>
    <w:qFormat/>
    <w:uiPriority w:val="99"/>
    <w:pPr>
      <w:ind w:firstLine="200" w:firstLineChars="200"/>
    </w:pPr>
  </w:style>
  <w:style w:type="paragraph" w:customStyle="1" w:styleId="20">
    <w:name w:val="正文文本缩进1"/>
    <w:basedOn w:val="1"/>
    <w:qFormat/>
    <w:uiPriority w:val="99"/>
    <w:pPr>
      <w:ind w:left="200" w:leftChars="200"/>
    </w:pPr>
  </w:style>
  <w:style w:type="paragraph" w:customStyle="1" w:styleId="21">
    <w:name w:val="List Paragraph"/>
    <w:basedOn w:val="1"/>
    <w:qFormat/>
    <w:uiPriority w:val="0"/>
    <w:pPr>
      <w:ind w:firstLine="420" w:firstLineChars="200"/>
    </w:pPr>
    <w:rPr>
      <w:szCs w:val="24"/>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p0"/>
    <w:basedOn w:val="1"/>
    <w:autoRedefine/>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4790</Words>
  <Characters>4862</Characters>
  <Lines>0</Lines>
  <Paragraphs>0</Paragraphs>
  <TotalTime>28</TotalTime>
  <ScaleCrop>false</ScaleCrop>
  <LinksUpToDate>false</LinksUpToDate>
  <CharactersWithSpaces>4940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2021-07-30T07:14:00Z</dcterms:created>
  <dc:creator>Administrator</dc:creator>
  <cp:lastModifiedBy>张鹏东</cp:lastModifiedBy>
  <cp:lastPrinted>2025-02-13T02:17:57Z</cp:lastPrinted>
  <dcterms:modified xsi:type="dcterms:W3CDTF">2025-02-13T02:29:33Z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BFAE28AF37564107ADB2BC319A8D856B_13</vt:lpwstr>
  </property>
  <property fmtid="{D5CDD505-2E9C-101B-9397-08002B2CF9AE}" pid="4" name="KSOTemplateDocerSaveRecord">
    <vt:lpwstr>eyJoZGlkIjoiMGVhNGU5OTdjODI2M2I2MTY2ZjEyMzEyZDMyZTkyZjYiLCJ1c2VySWQiOiIzODA5NjY0ODAifQ==</vt:lpwstr>
  </property>
</Properties>
</file>