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涉农惠农（支持耕地力保护等相关补贴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drawing>
                <wp:inline distT="0" distB="0" distL="114300" distR="114300">
                  <wp:extent cx="4013835" cy="4914265"/>
                  <wp:effectExtent l="0" t="0" r="571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835" cy="491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村务监督委员会全程监督、全体村民监督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1、不按时公开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2、不按实际公开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3、公开达不到时间、虚假公开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1、加强对村干部的廉政教育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2、村务监督委员会、全体村民加强监督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3、乡（镇）党委、政府及纪检组织加强监督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E62662E"/>
    <w:rsid w:val="1EC217C9"/>
    <w:rsid w:val="516560F6"/>
    <w:rsid w:val="593154B0"/>
    <w:rsid w:val="59FB63BC"/>
    <w:rsid w:val="5F5D58D5"/>
    <w:rsid w:val="7D84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2021-10-29T02:14:03Z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BCDC046922224CD3932B2C9EECA034F7</vt:lpwstr>
  </property>
</Properties>
</file>