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芹池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pPr w:leftFromText="180" w:rightFromText="180" w:vertAnchor="text" w:tblpX="-177" w:tblpY="303"/>
        <w:tblOverlap w:val="never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法定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代表人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通信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邮政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widowControl w:val="0"/>
        <w:wordWrap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lianxiang</cp:lastModifiedBy>
  <dcterms:modified xsi:type="dcterms:W3CDTF">2023-09-25T21:57:32Z</dcterms:modified>
  <dc:title>芹池镇人民政府信息公开申请表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  <property fmtid="{D5CDD505-2E9C-101B-9397-08002B2CF9AE}" pid="3" name="ICV">
    <vt:lpwstr>61910213825B41E0AE6E7343D4BDCDDB</vt:lpwstr>
  </property>
</Properties>
</file>