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017"/>
        <w:gridCol w:w="2128"/>
        <w:gridCol w:w="3932"/>
        <w:gridCol w:w="1233"/>
        <w:gridCol w:w="1110"/>
        <w:gridCol w:w="1079"/>
        <w:gridCol w:w="855"/>
        <w:gridCol w:w="855"/>
        <w:gridCol w:w="1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7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寺头乡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公共文化服务领域基层政务公开目录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公开事项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公开内容（要素）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公开依据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公开时限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公开主体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公开渠道和载体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公开对象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公开方式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公共文化机构免费开放信息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5.临时停止开放信息。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1.《中华人民共和国公共文化服务保障法》；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3.《文化部 财政部关于推进全功美术馆、公共图书馆、文化馆（站）免费开放工作的意见》（文财务发[2011]5号）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4《文化部 财政部关于做好城市社区（街道）文化中心免费开放工作的通知》（文财务函[2016]171号）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特殊群体公共文化服务信息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5.临时停止开放信息。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1.《残疾人保障法》；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3.《中共中央办公厅 国务院办公厅印发关于加快构建现代公共文化服务体系的意见》（中办发[2015]2号）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组织开展群众文化活动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2.《文化馆服务标准》（GB T 32939-2016）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下基层辅导、演出、展览和指导基层群众文化活动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2.《文化馆服务标准》（GB T 32939-2016）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举办各类展览、讲座信息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2.《乡镇综合文化站管理办法》（中华人民共和国文化部令第48号）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辅导和培训基层文化骨干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1.机构名称；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2.开放时间；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3.机构地址；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4.联系电话；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5.临时停止活动信息。       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2.《乡镇综合文化站管理办法》（中华人民共和国文化部令第49号）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信息形成或变更之日起20个工作日内公开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寺头乡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人民政府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政府网站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全社会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主动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乡镇级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BFB6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2023-12-20T02:22:07Z</dcterms:modified>
  <dc:title>凤城镇公共文化服务领域基层政务公开目录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