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F8" w:rsidRDefault="00C42EF8">
      <w:pPr>
        <w:snapToGrid w:val="0"/>
        <w:jc w:val="center"/>
        <w:rPr>
          <w:rFonts w:ascii="华文中宋" w:eastAsia="华文中宋" w:hAnsi="华文中宋"/>
          <w:sz w:val="36"/>
          <w:szCs w:val="36"/>
        </w:rPr>
      </w:pPr>
    </w:p>
    <w:p w:rsidR="00C42EF8" w:rsidRDefault="00C42EF8">
      <w:pPr>
        <w:snapToGrid w:val="0"/>
        <w:jc w:val="center"/>
        <w:rPr>
          <w:rFonts w:ascii="华文中宋" w:eastAsia="华文中宋" w:hAnsi="华文中宋"/>
          <w:sz w:val="36"/>
          <w:szCs w:val="36"/>
        </w:rPr>
      </w:pPr>
    </w:p>
    <w:p w:rsidR="00C42EF8" w:rsidRDefault="00433CE9">
      <w:pPr>
        <w:snapToGrid w:val="0"/>
        <w:jc w:val="center"/>
        <w:rPr>
          <w:rFonts w:ascii="华文中宋" w:eastAsia="华文中宋" w:hAnsi="华文中宋"/>
          <w:sz w:val="36"/>
          <w:szCs w:val="36"/>
        </w:rPr>
      </w:pPr>
      <w:r>
        <w:rPr>
          <w:rFonts w:ascii="华文中宋" w:eastAsia="华文中宋" w:hAnsi="华文中宋" w:hint="eastAsia"/>
          <w:sz w:val="36"/>
          <w:szCs w:val="36"/>
        </w:rPr>
        <w:t>2020年度部门决算分析报告撰写提纲</w:t>
      </w:r>
    </w:p>
    <w:p w:rsidR="00C42EF8" w:rsidRDefault="00433CE9">
      <w:pPr>
        <w:snapToGrid w:val="0"/>
        <w:jc w:val="center"/>
        <w:rPr>
          <w:rFonts w:ascii="华文中宋" w:eastAsia="华文中宋" w:hAnsi="华文中宋"/>
          <w:sz w:val="36"/>
          <w:szCs w:val="36"/>
        </w:rPr>
      </w:pPr>
      <w:r>
        <w:rPr>
          <w:rFonts w:ascii="华文中宋" w:eastAsia="华文中宋" w:hAnsi="华文中宋" w:hint="eastAsia"/>
          <w:sz w:val="36"/>
          <w:szCs w:val="36"/>
        </w:rPr>
        <w:t>（部门汇总版）</w:t>
      </w:r>
    </w:p>
    <w:p w:rsidR="00C42EF8" w:rsidRDefault="00C42EF8">
      <w:pPr>
        <w:snapToGrid w:val="0"/>
        <w:jc w:val="center"/>
        <w:rPr>
          <w:rFonts w:ascii="华文中宋" w:eastAsia="华文中宋" w:hAnsi="华文中宋"/>
          <w:sz w:val="36"/>
          <w:szCs w:val="36"/>
        </w:rPr>
      </w:pPr>
    </w:p>
    <w:p w:rsidR="00C42EF8" w:rsidRDefault="00433CE9">
      <w:pPr>
        <w:snapToGrid w:val="0"/>
        <w:spacing w:line="520" w:lineRule="exact"/>
        <w:ind w:firstLineChars="200" w:firstLine="640"/>
        <w:rPr>
          <w:rFonts w:ascii="黑体" w:eastAsia="黑体" w:hAnsi="黑体"/>
          <w:sz w:val="32"/>
          <w:szCs w:val="32"/>
        </w:rPr>
      </w:pPr>
      <w:bookmarkStart w:id="0" w:name="YS060101"/>
      <w:r>
        <w:rPr>
          <w:rFonts w:ascii="黑体" w:eastAsia="黑体" w:hAnsi="黑体" w:hint="eastAsia"/>
          <w:sz w:val="32"/>
          <w:szCs w:val="32"/>
        </w:rPr>
        <w:t>一、部门情况</w:t>
      </w:r>
    </w:p>
    <w:bookmarkEnd w:id="0"/>
    <w:p w:rsidR="00C42EF8" w:rsidRDefault="00433CE9">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（一）基本情况。</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1．主要职能。</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2．机构情况，包括当年变动情况及原因。</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3．人员情况，包括当年变动情况及原因。</w:t>
      </w:r>
    </w:p>
    <w:p w:rsidR="00C42EF8" w:rsidRDefault="00433CE9">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（二）当年取得的主要事业成效。</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概述部门工作开展情况及主要事业成效。</w:t>
      </w:r>
    </w:p>
    <w:p w:rsidR="00C42EF8" w:rsidRDefault="00433CE9">
      <w:pPr>
        <w:snapToGrid w:val="0"/>
        <w:spacing w:line="520" w:lineRule="exact"/>
        <w:ind w:firstLineChars="200" w:firstLine="640"/>
        <w:rPr>
          <w:rFonts w:ascii="黑体" w:eastAsia="黑体" w:hAnsi="黑体"/>
          <w:sz w:val="32"/>
          <w:szCs w:val="32"/>
        </w:rPr>
      </w:pPr>
      <w:bookmarkStart w:id="1" w:name="YS060102"/>
      <w:r>
        <w:rPr>
          <w:rFonts w:ascii="黑体" w:eastAsia="黑体" w:hAnsi="黑体" w:hint="eastAsia"/>
          <w:sz w:val="32"/>
          <w:szCs w:val="32"/>
        </w:rPr>
        <w:t>二、收入支出预算执行情况分析</w:t>
      </w:r>
    </w:p>
    <w:bookmarkEnd w:id="1"/>
    <w:p w:rsidR="00C42EF8" w:rsidRDefault="00433CE9">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（一）收入支出预算安排情况。</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包括部门收入、支出年初预算安排情况，与上年对比情况及增减变动原因(可用柱形图或折线图)。</w:t>
      </w:r>
    </w:p>
    <w:p w:rsidR="00C42EF8" w:rsidRDefault="00433CE9">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（二）收入支出预算执行情况。</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当年收入支出预算执行基本情况，与上年度对比情况，包括增减绝对值与幅度，增减变动主要原因(可用柱形图或折线图)。</w:t>
      </w:r>
    </w:p>
    <w:p w:rsidR="00C42EF8" w:rsidRDefault="00433CE9">
      <w:pPr>
        <w:snapToGrid w:val="0"/>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1．收入支出与预算对比分析。</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（1）预、决算差异情况，可分收入支出功能科目、分单位、分收入支出具体项目逐项对比（可列表）。</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（2）差异原因分析。差异较大的应分析到具体收入支出功能科目和具体单位。</w:t>
      </w:r>
    </w:p>
    <w:p w:rsidR="00C42EF8" w:rsidRDefault="00433CE9">
      <w:pPr>
        <w:snapToGrid w:val="0"/>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2．收入支出结构分析。</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（1）各项收入占总收入的比重，各项支出占总支出的比重（可分别制作饼状图）。</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（2）收入支出按部门所属单位分布情况（可列表）。</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（3）收入支出与上年度对比情况及原因分析(可用柱形图或折线图)。</w:t>
      </w:r>
    </w:p>
    <w:p w:rsidR="00C42EF8" w:rsidRDefault="00433CE9">
      <w:pPr>
        <w:snapToGrid w:val="0"/>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3．支出按经济分类科目分析。</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（1）“三公”经费支出情况：可进行上下年对比、预决算对比，人均支出情况分析（可做表、柱图、折线图）。</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（2）会议费支出情况：可进行上下年对比，人均支出情况分析（可做表、柱图、折线图）。</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（3）培训费支出情况：可进行上下年对比，人均支出情况分析（可做表、柱图、折线图）。</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（4）其他对部门影响较大的支出情况。</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（5）重点经济分类支出中存在的问题及改进措施。</w:t>
      </w:r>
    </w:p>
    <w:p w:rsidR="00C42EF8" w:rsidRDefault="00433CE9">
      <w:pPr>
        <w:snapToGrid w:val="0"/>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4.财政拨款收入、支出分析。</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分析财政拨款收入、支出总体情况，支出要按照基本支出和项目支出分析具体构成及特点。</w:t>
      </w:r>
    </w:p>
    <w:p w:rsidR="00C42EF8" w:rsidRDefault="00433CE9">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（三）年末结转和结余情况。</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1．分资金来源、资金性质结转和结余情况，特别是项目经费结转和结余情况。</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2．分单位结转和结余情况。</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3．结转和结余规模较大的原因分析及消化结转和结余的对策。</w:t>
      </w:r>
    </w:p>
    <w:p w:rsidR="00C42EF8" w:rsidRDefault="00433CE9">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（四）与预算支出相关的其他指标分析。</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对资产、负债信息进行分析，主要分析与上年度对比情况，包括增减绝对值与幅度，增减变动主要原因(可用柱形</w:t>
      </w:r>
      <w:r>
        <w:rPr>
          <w:rFonts w:ascii="仿宋_GB2312" w:eastAsia="仿宋_GB2312" w:hAnsi="仿宋" w:hint="eastAsia"/>
          <w:sz w:val="32"/>
          <w:szCs w:val="32"/>
        </w:rPr>
        <w:lastRenderedPageBreak/>
        <w:t>图或折线图)，对预算编制和执行的影响等。</w:t>
      </w:r>
    </w:p>
    <w:p w:rsidR="00C42EF8" w:rsidRDefault="00DD0A01">
      <w:pPr>
        <w:snapToGrid w:val="0"/>
        <w:spacing w:line="520" w:lineRule="exact"/>
        <w:ind w:firstLineChars="200" w:firstLine="643"/>
        <w:rPr>
          <w:rFonts w:ascii="楷体_GB2312" w:eastAsia="楷体_GB2312" w:hAnsi="仿宋"/>
          <w:b/>
          <w:sz w:val="32"/>
          <w:szCs w:val="32"/>
        </w:rPr>
      </w:pPr>
      <w:r w:rsidRPr="00E23C6D">
        <w:rPr>
          <w:rFonts w:ascii="楷体_GB2312" w:eastAsia="楷体_GB2312" w:hAnsi="仿宋" w:hint="eastAsia"/>
          <w:b/>
          <w:sz w:val="32"/>
          <w:szCs w:val="32"/>
        </w:rPr>
        <w:t>（五）绩效目标完成情况。</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1.概述一级项目和二级项目绩效目标完成情况。</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2.概述下属单位整体支出绩效目标实现情况（如有）。</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3.概述以部门为主体开展的重点项目绩效评价情况（绩效评价结果，发现的问题及改进建议）。</w:t>
      </w:r>
    </w:p>
    <w:p w:rsidR="00C42EF8" w:rsidRDefault="00433CE9">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（六）当年预算执行及绩效管理中存在问题、原因及改进措施。</w:t>
      </w:r>
    </w:p>
    <w:p w:rsidR="00C42EF8" w:rsidRDefault="00433CE9">
      <w:pPr>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三、本年度部门决算等财务工作开展情况</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（一）本部门财务管理、绩效管理、决算组织、编报、审核情况。</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（二）本部门决算及绩效信息公开工作、主管部门对所属单位按规定批复决算工作开展情况。</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（三）对部门决算管理及报表设计的意见建议。</w:t>
      </w: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（四）对加强部门决算数据分析利用工作的建议。</w:t>
      </w:r>
    </w:p>
    <w:p w:rsidR="00C42EF8" w:rsidRDefault="00C42EF8">
      <w:pPr>
        <w:snapToGrid w:val="0"/>
        <w:spacing w:line="520" w:lineRule="exact"/>
        <w:ind w:firstLineChars="200" w:firstLine="640"/>
        <w:rPr>
          <w:rFonts w:ascii="仿宋_GB2312" w:eastAsia="仿宋_GB2312" w:hAnsi="仿宋"/>
          <w:sz w:val="32"/>
          <w:szCs w:val="32"/>
        </w:rPr>
      </w:pPr>
    </w:p>
    <w:p w:rsidR="00C42EF8" w:rsidRDefault="00433CE9">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注：收入支出预算执行情况分析可参考部门决算分析评价表（见软件查询模板）及行政事业单位财务分析指标（附后）。</w:t>
      </w:r>
    </w:p>
    <w:p w:rsidR="00C42EF8" w:rsidRDefault="00433CE9">
      <w:pPr>
        <w:snapToGrid w:val="0"/>
        <w:rPr>
          <w:rFonts w:ascii="仿宋_GB2312" w:eastAsia="仿宋_GB2312" w:hAnsi="仿宋"/>
          <w:sz w:val="32"/>
          <w:szCs w:val="32"/>
        </w:rPr>
      </w:pPr>
      <w:r>
        <w:rPr>
          <w:rFonts w:ascii="仿宋_GB2312" w:eastAsia="仿宋_GB2312" w:hAnsi="仿宋"/>
          <w:sz w:val="32"/>
          <w:szCs w:val="32"/>
        </w:rPr>
        <w:br w:type="page"/>
      </w:r>
      <w:r>
        <w:rPr>
          <w:rFonts w:ascii="仿宋_GB2312" w:eastAsia="仿宋_GB2312" w:hAnsi="仿宋" w:hint="eastAsia"/>
          <w:sz w:val="32"/>
          <w:szCs w:val="32"/>
        </w:rPr>
        <w:lastRenderedPageBreak/>
        <w:t>附：</w:t>
      </w:r>
    </w:p>
    <w:p w:rsidR="00C42EF8" w:rsidRDefault="00C42EF8">
      <w:pPr>
        <w:snapToGrid w:val="0"/>
        <w:ind w:firstLineChars="200" w:firstLine="640"/>
        <w:jc w:val="center"/>
        <w:rPr>
          <w:rFonts w:ascii="华文中宋" w:eastAsia="华文中宋" w:hAnsi="华文中宋"/>
          <w:sz w:val="32"/>
          <w:szCs w:val="32"/>
        </w:rPr>
      </w:pPr>
    </w:p>
    <w:p w:rsidR="00C42EF8" w:rsidRDefault="00433CE9">
      <w:pPr>
        <w:snapToGrid w:val="0"/>
        <w:ind w:firstLineChars="200" w:firstLine="640"/>
        <w:jc w:val="center"/>
        <w:rPr>
          <w:rFonts w:ascii="华文中宋" w:eastAsia="华文中宋" w:hAnsi="华文中宋"/>
          <w:sz w:val="32"/>
          <w:szCs w:val="32"/>
        </w:rPr>
      </w:pPr>
      <w:r>
        <w:rPr>
          <w:rFonts w:ascii="华文中宋" w:eastAsia="华文中宋" w:hAnsi="华文中宋" w:hint="eastAsia"/>
          <w:sz w:val="32"/>
          <w:szCs w:val="32"/>
        </w:rPr>
        <w:t>行政事业单位财务分析指标</w:t>
      </w:r>
    </w:p>
    <w:p w:rsidR="00C42EF8" w:rsidRDefault="00C42EF8">
      <w:pPr>
        <w:snapToGrid w:val="0"/>
        <w:ind w:firstLineChars="200" w:firstLine="640"/>
        <w:rPr>
          <w:rFonts w:ascii="仿宋_GB2312" w:eastAsia="仿宋_GB2312" w:hAnsi="仿宋"/>
          <w:sz w:val="32"/>
          <w:szCs w:val="32"/>
        </w:rPr>
      </w:pPr>
    </w:p>
    <w:p w:rsidR="00C42EF8" w:rsidRDefault="00433CE9">
      <w:pPr>
        <w:snapToGrid w:val="0"/>
        <w:ind w:firstLineChars="200" w:firstLine="640"/>
        <w:rPr>
          <w:rFonts w:ascii="黑体" w:eastAsia="黑体" w:hAnsi="黑体"/>
          <w:sz w:val="32"/>
          <w:szCs w:val="32"/>
        </w:rPr>
      </w:pPr>
      <w:r>
        <w:rPr>
          <w:rFonts w:ascii="黑体" w:eastAsia="黑体" w:hAnsi="黑体" w:hint="eastAsia"/>
          <w:sz w:val="32"/>
          <w:szCs w:val="32"/>
        </w:rPr>
        <w:t>一、行政单位财务分析指标</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1.支出增长率，衡量行政单位支出的增长水平。计算公式为：</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支出增长率＝(本期支出总额÷上期支出总额-1)×100%</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2.当年预算支出完成率，衡量行政单位当年支出总预算及分项预算完成的程度。计算公式为：</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当年预算支出完成率＝年终执行数÷</w:t>
      </w:r>
      <w:r w:rsidR="002B7EE1">
        <w:rPr>
          <w:rFonts w:ascii="仿宋_GB2312" w:eastAsia="仿宋_GB2312" w:hAnsi="仿宋" w:hint="eastAsia"/>
          <w:sz w:val="32"/>
          <w:szCs w:val="32"/>
        </w:rPr>
        <w:t>调整预算数</w:t>
      </w:r>
      <w:r>
        <w:rPr>
          <w:rFonts w:ascii="仿宋_GB2312" w:eastAsia="仿宋_GB2312" w:hAnsi="仿宋" w:hint="eastAsia"/>
          <w:sz w:val="32"/>
          <w:szCs w:val="32"/>
        </w:rPr>
        <w:t>×100%</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年终执行数不含上年结转和结余支出数。</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3.人均开支，衡量行政单位人均年消耗经费水平。计算公式为：</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人均开支＝本期支出数÷本期平均在职人员数×100%</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4.项目支出占总支出的比率，衡量行政单位的支出结构。计算公式为：</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项目支出比率=本期项目支出数÷本期支出总数×100%</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5.人员支出、公用支出占总支出的比率，衡量行政单位的支出结构。计算公式为：</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人员支出比率=本期人员支出数÷本期支出总数×100%</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公用支出比率=本期公用支出数÷本期支出总数×100%</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6.人均办公使用面积，衡量行政单位办公用房配备情况。计算公式为：</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人均办公使用面积=本期末单位办公用房使用面积÷本期末在职人员数</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7.人车比例，衡量行政单位公务用车配备情况。计算公式为：</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人车比例=本期末在职人员数÷本期末公务用车实有数:1</w:t>
      </w:r>
    </w:p>
    <w:p w:rsidR="00C42EF8" w:rsidRDefault="00C42EF8">
      <w:pPr>
        <w:snapToGrid w:val="0"/>
        <w:ind w:firstLineChars="200" w:firstLine="640"/>
        <w:rPr>
          <w:rFonts w:ascii="仿宋_GB2312" w:eastAsia="仿宋_GB2312" w:hAnsi="仿宋"/>
          <w:sz w:val="32"/>
          <w:szCs w:val="32"/>
        </w:rPr>
      </w:pPr>
    </w:p>
    <w:p w:rsidR="00C42EF8" w:rsidRDefault="00433CE9">
      <w:pPr>
        <w:snapToGrid w:val="0"/>
        <w:ind w:firstLineChars="200" w:firstLine="640"/>
        <w:rPr>
          <w:rFonts w:ascii="黑体" w:eastAsia="黑体" w:hAnsi="黑体"/>
          <w:sz w:val="32"/>
          <w:szCs w:val="32"/>
        </w:rPr>
      </w:pPr>
      <w:r>
        <w:rPr>
          <w:rFonts w:ascii="黑体" w:eastAsia="黑体" w:hAnsi="黑体" w:hint="eastAsia"/>
          <w:sz w:val="32"/>
          <w:szCs w:val="32"/>
        </w:rPr>
        <w:lastRenderedPageBreak/>
        <w:t>二、事业单位财务分析指标</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1.预算收入和支出完成率，衡量事业单位收入和支出总预算及分项预算完成的程度。计算公式为：</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预算收入完成率＝年终执行数÷</w:t>
      </w:r>
      <w:r w:rsidR="002B7EE1">
        <w:rPr>
          <w:rFonts w:ascii="仿宋_GB2312" w:eastAsia="仿宋_GB2312" w:hAnsi="仿宋" w:hint="eastAsia"/>
          <w:sz w:val="32"/>
          <w:szCs w:val="32"/>
        </w:rPr>
        <w:t>调整预算数</w:t>
      </w:r>
      <w:r>
        <w:rPr>
          <w:rFonts w:ascii="仿宋_GB2312" w:eastAsia="仿宋_GB2312" w:hAnsi="仿宋" w:hint="eastAsia"/>
          <w:sz w:val="32"/>
          <w:szCs w:val="32"/>
        </w:rPr>
        <w:t>×100%</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年终执行数不含上年结转和结余收入数</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预算支出完成率＝年终执行数÷</w:t>
      </w:r>
      <w:r w:rsidR="002B7EE1">
        <w:rPr>
          <w:rFonts w:ascii="仿宋_GB2312" w:eastAsia="仿宋_GB2312" w:hAnsi="仿宋" w:hint="eastAsia"/>
          <w:sz w:val="32"/>
          <w:szCs w:val="32"/>
        </w:rPr>
        <w:t>调整预算数</w:t>
      </w:r>
      <w:r>
        <w:rPr>
          <w:rFonts w:ascii="仿宋_GB2312" w:eastAsia="仿宋_GB2312" w:hAnsi="仿宋" w:hint="eastAsia"/>
          <w:sz w:val="32"/>
          <w:szCs w:val="32"/>
        </w:rPr>
        <w:t>×100%</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年终执行数不含上年结转和结余支出数</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2.人员支出、公用支出占事业支出的比率，衡量事业单位事业支出结构。计算公式为：</w:t>
      </w:r>
      <w:bookmarkStart w:id="2" w:name="_GoBack"/>
      <w:bookmarkEnd w:id="2"/>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人员支出比率＝人员支出÷事业支出×100%</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公用支出比率＝公用支出÷事业支出×100%</w:t>
      </w: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3.人均基本支出，衡量事业单位按照实际在编人数平均的基本支出水平。计算公式为：</w:t>
      </w:r>
    </w:p>
    <w:p w:rsidR="00C42EF8" w:rsidRDefault="00433CE9">
      <w:pPr>
        <w:snapToGrid w:val="0"/>
        <w:ind w:firstLineChars="200" w:firstLine="640"/>
        <w:rPr>
          <w:rFonts w:ascii="仿宋_GB2312" w:eastAsia="仿宋_GB2312" w:hAnsi="仿宋"/>
          <w:b/>
          <w:sz w:val="32"/>
          <w:szCs w:val="32"/>
        </w:rPr>
      </w:pPr>
      <w:r>
        <w:rPr>
          <w:rFonts w:ascii="仿宋_GB2312" w:eastAsia="仿宋_GB2312" w:hAnsi="仿宋" w:hint="eastAsia"/>
          <w:sz w:val="32"/>
          <w:szCs w:val="32"/>
        </w:rPr>
        <w:t>人均基本支出＝（基本支出-离退休人员支出）÷实际在编人数</w:t>
      </w:r>
    </w:p>
    <w:p w:rsidR="00C42EF8" w:rsidRDefault="00C42EF8">
      <w:pPr>
        <w:snapToGrid w:val="0"/>
        <w:ind w:firstLineChars="200" w:firstLine="640"/>
        <w:rPr>
          <w:rFonts w:ascii="仿宋_GB2312" w:eastAsia="仿宋_GB2312" w:hAnsi="仿宋"/>
          <w:sz w:val="32"/>
          <w:szCs w:val="32"/>
        </w:rPr>
      </w:pPr>
    </w:p>
    <w:p w:rsidR="00C42EF8" w:rsidRDefault="00433CE9">
      <w:pPr>
        <w:snapToGrid w:val="0"/>
        <w:ind w:firstLineChars="200" w:firstLine="640"/>
        <w:rPr>
          <w:rFonts w:ascii="仿宋_GB2312" w:eastAsia="仿宋_GB2312" w:hAnsi="仿宋"/>
          <w:sz w:val="32"/>
          <w:szCs w:val="32"/>
        </w:rPr>
      </w:pPr>
      <w:r>
        <w:rPr>
          <w:rFonts w:ascii="仿宋_GB2312" w:eastAsia="仿宋_GB2312" w:hAnsi="仿宋" w:hint="eastAsia"/>
          <w:sz w:val="32"/>
          <w:szCs w:val="32"/>
        </w:rPr>
        <w:t>此外，行业事业单位还可根据相关财务制度规定和分析需要增加相关分析指标，如：</w:t>
      </w:r>
    </w:p>
    <w:p w:rsidR="00C42EF8" w:rsidRDefault="00433CE9">
      <w:pPr>
        <w:ind w:firstLineChars="221" w:firstLine="707"/>
        <w:rPr>
          <w:rFonts w:ascii="仿宋_GB2312" w:eastAsia="仿宋_GB2312" w:hAnsi="仿宋"/>
          <w:sz w:val="32"/>
          <w:szCs w:val="32"/>
        </w:rPr>
      </w:pPr>
      <w:r>
        <w:rPr>
          <w:rFonts w:ascii="仿宋_GB2312" w:eastAsia="仿宋_GB2312" w:hAnsi="仿宋" w:hint="eastAsia"/>
          <w:sz w:val="32"/>
          <w:szCs w:val="32"/>
        </w:rPr>
        <w:t>1.财政拨款依存度, 衡量部门（单位）对财政拨款的依赖程度。</w:t>
      </w:r>
    </w:p>
    <w:p w:rsidR="00C42EF8" w:rsidRDefault="00433CE9">
      <w:pPr>
        <w:widowControl/>
        <w:ind w:firstLineChars="200" w:firstLine="640"/>
        <w:textAlignment w:val="center"/>
        <w:rPr>
          <w:color w:val="0000FF"/>
        </w:rPr>
      </w:pPr>
      <w:r>
        <w:rPr>
          <w:rFonts w:ascii="仿宋_GB2312" w:eastAsia="仿宋_GB2312" w:hAnsi="仿宋" w:hint="eastAsia"/>
          <w:sz w:val="32"/>
          <w:szCs w:val="32"/>
        </w:rPr>
        <w:t>财政拨款依存度＝财政拨款收入÷收入总额×100%</w:t>
      </w:r>
    </w:p>
    <w:sectPr w:rsidR="00C42EF8" w:rsidSect="00C42EF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C98" w:rsidRDefault="00683C98" w:rsidP="00F24DA3">
      <w:r>
        <w:separator/>
      </w:r>
    </w:p>
  </w:endnote>
  <w:endnote w:type="continuationSeparator" w:id="1">
    <w:p w:rsidR="00683C98" w:rsidRDefault="00683C98" w:rsidP="00F24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C98" w:rsidRDefault="00683C98" w:rsidP="00F24DA3">
      <w:r>
        <w:separator/>
      </w:r>
    </w:p>
  </w:footnote>
  <w:footnote w:type="continuationSeparator" w:id="1">
    <w:p w:rsidR="00683C98" w:rsidRDefault="00683C98" w:rsidP="00F24DA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666">
    <w15:presenceInfo w15:providerId="None" w15:userId="6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2B54"/>
    <w:rsid w:val="00031059"/>
    <w:rsid w:val="00074FA4"/>
    <w:rsid w:val="00082750"/>
    <w:rsid w:val="000A54B9"/>
    <w:rsid w:val="0013603C"/>
    <w:rsid w:val="00176422"/>
    <w:rsid w:val="00272B54"/>
    <w:rsid w:val="00290AF5"/>
    <w:rsid w:val="002B7EE1"/>
    <w:rsid w:val="00433CE9"/>
    <w:rsid w:val="004B15C5"/>
    <w:rsid w:val="00613BAD"/>
    <w:rsid w:val="00683C98"/>
    <w:rsid w:val="00765932"/>
    <w:rsid w:val="00790985"/>
    <w:rsid w:val="007E481C"/>
    <w:rsid w:val="009C1DEC"/>
    <w:rsid w:val="00A736FE"/>
    <w:rsid w:val="00C42EF8"/>
    <w:rsid w:val="00DD0A01"/>
    <w:rsid w:val="00E23C6D"/>
    <w:rsid w:val="00F24DA3"/>
    <w:rsid w:val="111F7999"/>
    <w:rsid w:val="23C80C72"/>
    <w:rsid w:val="3C4A5AC4"/>
    <w:rsid w:val="55944CBE"/>
    <w:rsid w:val="5F0E7032"/>
    <w:rsid w:val="6E7D57A6"/>
    <w:rsid w:val="744028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2E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42EF8"/>
    <w:pPr>
      <w:tabs>
        <w:tab w:val="center" w:pos="4153"/>
        <w:tab w:val="right" w:pos="8306"/>
      </w:tabs>
      <w:snapToGrid w:val="0"/>
      <w:jc w:val="left"/>
    </w:pPr>
    <w:rPr>
      <w:sz w:val="18"/>
      <w:szCs w:val="18"/>
    </w:rPr>
  </w:style>
  <w:style w:type="paragraph" w:styleId="a4">
    <w:name w:val="header"/>
    <w:basedOn w:val="a"/>
    <w:link w:val="Char0"/>
    <w:rsid w:val="00C42E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42EF8"/>
    <w:rPr>
      <w:kern w:val="2"/>
      <w:sz w:val="18"/>
      <w:szCs w:val="18"/>
    </w:rPr>
  </w:style>
  <w:style w:type="character" w:customStyle="1" w:styleId="Char">
    <w:name w:val="页脚 Char"/>
    <w:basedOn w:val="a0"/>
    <w:link w:val="a3"/>
    <w:qFormat/>
    <w:rsid w:val="00C42EF8"/>
    <w:rPr>
      <w:kern w:val="2"/>
      <w:sz w:val="18"/>
      <w:szCs w:val="18"/>
    </w:rPr>
  </w:style>
  <w:style w:type="paragraph" w:styleId="a5">
    <w:name w:val="Balloon Text"/>
    <w:basedOn w:val="a"/>
    <w:link w:val="Char1"/>
    <w:rsid w:val="00613BAD"/>
    <w:rPr>
      <w:sz w:val="18"/>
      <w:szCs w:val="18"/>
    </w:rPr>
  </w:style>
  <w:style w:type="character" w:customStyle="1" w:styleId="Char1">
    <w:name w:val="批注框文本 Char"/>
    <w:basedOn w:val="a0"/>
    <w:link w:val="a5"/>
    <w:rsid w:val="00613BA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319</Words>
  <Characters>1821</Characters>
  <Application>Microsoft Office Word</Application>
  <DocSecurity>0</DocSecurity>
  <Lines>15</Lines>
  <Paragraphs>4</Paragraphs>
  <ScaleCrop>false</ScaleCrop>
  <Company>Lenovo</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王瑜亮</cp:lastModifiedBy>
  <cp:revision>9</cp:revision>
  <dcterms:created xsi:type="dcterms:W3CDTF">2019-09-04T14:45:00Z</dcterms:created>
  <dcterms:modified xsi:type="dcterms:W3CDTF">2020-11-17T06:38:00Z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