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54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shd w:val="clear"/>
        <w:tblLayout w:type="autofit"/>
        <w:tblCellMar>
          <w:top w:w="60" w:type="dxa"/>
          <w:left w:w="60" w:type="dxa"/>
          <w:bottom w:w="75" w:type="dxa"/>
          <w:right w:w="60" w:type="dxa"/>
        </w:tblCellMar>
      </w:tblPr>
      <w:tblGrid>
        <w:gridCol w:w="8426"/>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shd w:val="clear"/>
          <w:tblCellMar>
            <w:top w:w="60" w:type="dxa"/>
            <w:left w:w="60" w:type="dxa"/>
            <w:bottom w:w="75" w:type="dxa"/>
            <w:right w:w="60" w:type="dxa"/>
          </w:tblCellMar>
        </w:tblPrEx>
        <w:trPr>
          <w:trHeight w:val="4218" w:hRule="atLeast"/>
          <w:tblCellSpacing w:w="0" w:type="dxa"/>
        </w:trPr>
        <w:tc>
          <w:tcPr>
            <w:tcW w:w="0" w:type="auto"/>
            <w:tcBorders>
              <w:bottom w:val="nil"/>
            </w:tcBorders>
            <w:shd w:val="clear"/>
            <w:vAlign w:val="center"/>
          </w:tcPr>
          <w:tbl>
            <w:tblPr>
              <w:tblW w:w="3898"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21"/>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3533" w:type="pct"/>
                  <w:shd w:val="clear"/>
                  <w:vAlign w:val="center"/>
                </w:tcPr>
                <w:p>
                  <w:pPr>
                    <w:keepNext w:val="0"/>
                    <w:keepLines w:val="0"/>
                    <w:widowControl/>
                    <w:suppressLineNumbers w:val="0"/>
                    <w:jc w:val="left"/>
                    <w:rPr>
                      <w:rFonts w:ascii="微软雅黑" w:hAnsi="微软雅黑" w:eastAsia="微软雅黑" w:cs="微软雅黑"/>
                      <w:color w:val="000000"/>
                      <w:sz w:val="21"/>
                      <w:szCs w:val="21"/>
                    </w:rPr>
                  </w:pPr>
                  <w:r>
                    <w:rPr>
                      <w:rFonts w:hint="eastAsia" w:ascii="微软雅黑" w:hAnsi="微软雅黑" w:eastAsia="微软雅黑" w:cs="微软雅黑"/>
                      <w:b/>
                      <w:bCs/>
                      <w:color w:val="FF0000"/>
                      <w:kern w:val="0"/>
                      <w:sz w:val="27"/>
                      <w:szCs w:val="27"/>
                      <w:bdr w:val="none" w:color="auto" w:sz="0" w:space="0"/>
                      <w:lang w:val="en-US" w:eastAsia="zh-CN" w:bidi="ar"/>
                    </w:rPr>
                    <w:t>生态环境部</w:t>
                  </w:r>
                  <w:r>
                    <w:rPr>
                      <w:rFonts w:hint="eastAsia" w:ascii="微软雅黑" w:hAnsi="微软雅黑" w:eastAsia="微软雅黑" w:cs="微软雅黑"/>
                      <w:b/>
                      <w:bCs/>
                      <w:color w:val="FF0000"/>
                      <w:kern w:val="0"/>
                      <w:sz w:val="27"/>
                      <w:szCs w:val="27"/>
                      <w:bdr w:val="none" w:color="auto" w:sz="0" w:space="0"/>
                      <w:lang w:val="en-US" w:eastAsia="zh-CN" w:bidi="ar"/>
                    </w:rPr>
                    <w:br w:type="textWrapping"/>
                  </w:r>
                  <w:r>
                    <w:rPr>
                      <w:rFonts w:hint="eastAsia" w:ascii="微软雅黑" w:hAnsi="微软雅黑" w:eastAsia="微软雅黑" w:cs="微软雅黑"/>
                      <w:b/>
                      <w:bCs/>
                      <w:color w:val="FF0000"/>
                      <w:kern w:val="0"/>
                      <w:sz w:val="27"/>
                      <w:szCs w:val="27"/>
                      <w:bdr w:val="none" w:color="auto" w:sz="0" w:space="0"/>
                      <w:lang w:val="en-US" w:eastAsia="zh-CN" w:bidi="ar"/>
                    </w:rPr>
                    <w:t>农业农村部</w:t>
                  </w:r>
                  <w:r>
                    <w:rPr>
                      <w:rFonts w:hint="eastAsia" w:ascii="微软雅黑" w:hAnsi="微软雅黑" w:eastAsia="微软雅黑" w:cs="微软雅黑"/>
                      <w:b/>
                      <w:bCs/>
                      <w:color w:val="FF0000"/>
                      <w:kern w:val="0"/>
                      <w:sz w:val="27"/>
                      <w:szCs w:val="27"/>
                      <w:bdr w:val="none" w:color="auto" w:sz="0" w:space="0"/>
                      <w:lang w:val="en-US" w:eastAsia="zh-CN" w:bidi="ar"/>
                    </w:rPr>
                    <w:br w:type="textWrapping"/>
                  </w:r>
                  <w:r>
                    <w:rPr>
                      <w:rFonts w:hint="eastAsia" w:ascii="微软雅黑" w:hAnsi="微软雅黑" w:eastAsia="微软雅黑" w:cs="微软雅黑"/>
                      <w:b/>
                      <w:bCs/>
                      <w:color w:val="FF0000"/>
                      <w:kern w:val="0"/>
                      <w:sz w:val="27"/>
                      <w:szCs w:val="27"/>
                      <w:bdr w:val="none" w:color="auto" w:sz="0" w:space="0"/>
                      <w:lang w:val="en-US" w:eastAsia="zh-CN" w:bidi="ar"/>
                    </w:rPr>
                    <w:t>住房和城乡建设部</w:t>
                  </w:r>
                  <w:r>
                    <w:rPr>
                      <w:rFonts w:hint="eastAsia" w:ascii="微软雅黑" w:hAnsi="微软雅黑" w:eastAsia="微软雅黑" w:cs="微软雅黑"/>
                      <w:b/>
                      <w:bCs/>
                      <w:color w:val="FF0000"/>
                      <w:kern w:val="0"/>
                      <w:sz w:val="27"/>
                      <w:szCs w:val="27"/>
                      <w:bdr w:val="none" w:color="auto" w:sz="0" w:space="0"/>
                      <w:lang w:val="en-US" w:eastAsia="zh-CN" w:bidi="ar"/>
                    </w:rPr>
                    <w:br w:type="textWrapping"/>
                  </w:r>
                  <w:r>
                    <w:rPr>
                      <w:rFonts w:hint="eastAsia" w:ascii="微软雅黑" w:hAnsi="微软雅黑" w:eastAsia="微软雅黑" w:cs="微软雅黑"/>
                      <w:b/>
                      <w:bCs/>
                      <w:color w:val="FF0000"/>
                      <w:kern w:val="0"/>
                      <w:sz w:val="27"/>
                      <w:szCs w:val="27"/>
                      <w:bdr w:val="none" w:color="auto" w:sz="0" w:space="0"/>
                      <w:lang w:val="en-US" w:eastAsia="zh-CN" w:bidi="ar"/>
                    </w:rPr>
                    <w:t>水利部</w:t>
                  </w:r>
                  <w:r>
                    <w:rPr>
                      <w:rFonts w:hint="eastAsia" w:ascii="微软雅黑" w:hAnsi="微软雅黑" w:eastAsia="微软雅黑" w:cs="微软雅黑"/>
                      <w:b/>
                      <w:bCs/>
                      <w:color w:val="FF0000"/>
                      <w:kern w:val="0"/>
                      <w:sz w:val="27"/>
                      <w:szCs w:val="27"/>
                      <w:bdr w:val="none" w:color="auto" w:sz="0" w:space="0"/>
                      <w:lang w:val="en-US" w:eastAsia="zh-CN" w:bidi="ar"/>
                    </w:rPr>
                    <w:br w:type="textWrapping"/>
                  </w:r>
                  <w:r>
                    <w:rPr>
                      <w:rFonts w:hint="eastAsia" w:ascii="微软雅黑" w:hAnsi="微软雅黑" w:eastAsia="微软雅黑" w:cs="微软雅黑"/>
                      <w:b/>
                      <w:bCs/>
                      <w:color w:val="FF0000"/>
                      <w:kern w:val="0"/>
                      <w:sz w:val="27"/>
                      <w:szCs w:val="27"/>
                      <w:bdr w:val="none" w:color="auto" w:sz="0" w:space="0"/>
                      <w:lang w:val="en-US" w:eastAsia="zh-CN" w:bidi="ar"/>
                    </w:rPr>
                    <w:t xml:space="preserve">国家乡村振兴局 </w:t>
                  </w:r>
                </w:p>
              </w:tc>
              <w:tc>
                <w:tcPr>
                  <w:tcW w:w="1397" w:type="pct"/>
                  <w:shd w:val="clear"/>
                  <w:vAlign w:val="center"/>
                </w:tcPr>
                <w:p>
                  <w:pPr>
                    <w:keepNext w:val="0"/>
                    <w:keepLines w:val="0"/>
                    <w:widowControl/>
                    <w:suppressLineNumbers w:val="0"/>
                    <w:jc w:val="lef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FF0000"/>
                      <w:kern w:val="0"/>
                      <w:sz w:val="27"/>
                      <w:szCs w:val="27"/>
                      <w:bdr w:val="none" w:color="auto" w:sz="0" w:space="0"/>
                      <w:lang w:val="en-US" w:eastAsia="zh-CN" w:bidi="ar"/>
                    </w:rPr>
                    <w:t xml:space="preserve">文件 </w:t>
                  </w:r>
                </w:p>
              </w:tc>
            </w:tr>
          </w:tbl>
          <w:p>
            <w:pPr>
              <w:keepNext w:val="0"/>
              <w:keepLines w:val="0"/>
              <w:widowControl/>
              <w:suppressLineNumbers w:val="0"/>
              <w:jc w:val="center"/>
              <w:rPr>
                <w:rFonts w:hint="eastAsia" w:ascii="微软雅黑" w:hAnsi="微软雅黑" w:eastAsia="微软雅黑" w:cs="微软雅黑"/>
                <w:color w:val="000000"/>
                <w:sz w:val="21"/>
                <w:szCs w:val="21"/>
              </w:rPr>
            </w:pPr>
            <w:bookmarkStart w:id="0" w:name="_GoBack"/>
            <w:bookmarkEnd w:id="0"/>
            <w:r>
              <w:rPr>
                <w:rFonts w:hint="eastAsia" w:ascii="微软雅黑" w:hAnsi="微软雅黑" w:eastAsia="微软雅黑" w:cs="微软雅黑"/>
                <w:color w:val="000000"/>
                <w:kern w:val="0"/>
                <w:sz w:val="21"/>
                <w:szCs w:val="21"/>
                <w:bdr w:val="none" w:color="auto" w:sz="0" w:space="0"/>
                <w:lang w:val="en-US" w:eastAsia="zh-CN" w:bidi="ar"/>
              </w:rPr>
              <w:br w:type="textWrapping"/>
            </w:r>
            <w:r>
              <w:rPr>
                <w:rFonts w:hint="eastAsia" w:ascii="微软雅黑" w:hAnsi="微软雅黑" w:eastAsia="微软雅黑" w:cs="微软雅黑"/>
                <w:color w:val="000000"/>
                <w:kern w:val="0"/>
                <w:sz w:val="21"/>
                <w:szCs w:val="21"/>
                <w:bdr w:val="none" w:color="auto" w:sz="0" w:space="0"/>
                <w:lang w:val="en-US" w:eastAsia="zh-CN" w:bidi="ar"/>
              </w:rPr>
              <w:t xml:space="preserve">环土壤〔2022〕8号 </w:t>
            </w:r>
          </w:p>
        </w:tc>
      </w:tr>
    </w:tbl>
    <w:p>
      <w:pPr>
        <w:pStyle w:val="2"/>
        <w:keepNext w:val="0"/>
        <w:keepLines w:val="0"/>
        <w:widowControl/>
        <w:suppressLineNumbers w:val="0"/>
        <w:spacing w:before="0" w:beforeAutospacing="0" w:after="300" w:afterAutospacing="0" w:line="600" w:lineRule="atLeast"/>
        <w:ind w:left="0" w:right="0"/>
        <w:jc w:val="center"/>
        <w:rPr>
          <w:color w:val="000000"/>
          <w:sz w:val="36"/>
          <w:szCs w:val="36"/>
        </w:rPr>
      </w:pPr>
      <w:r>
        <w:rPr>
          <w:color w:val="000000"/>
          <w:sz w:val="36"/>
          <w:szCs w:val="36"/>
          <w:shd w:val="clear" w:fill="FFFFFF"/>
        </w:rPr>
        <w:t>关于印发《农业农村污染治理攻坚战行动方案（2021—2025年）》的通知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各省、自治区、直辖市和新疆生产建设兵团生态环境厅（局）、农业农村（农牧）厅（局、委）、住房和城乡建设厅（局）、水利（水务）厅（局）、乡村振兴局：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为贯彻落实党中央、国务院关于深入打好污染防治攻坚战的决策部署要求，制定《农业农村污染治理攻坚战行动方案（2021—2025年）》，请认真贯彻执行。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生态环境部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农业农村部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住房和城乡建设部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水利部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国家乡村振兴局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2022年1月19日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b/>
          <w:bCs/>
          <w:color w:val="0000FF"/>
          <w:kern w:val="0"/>
          <w:sz w:val="24"/>
          <w:szCs w:val="24"/>
          <w:bdr w:val="none" w:color="auto" w:sz="0" w:space="0"/>
          <w:shd w:val="clear" w:fill="FFFFFF"/>
          <w:lang w:val="en-US" w:eastAsia="zh-CN" w:bidi="ar"/>
        </w:rPr>
        <w:t>农业农村污染治理攻坚战行动方案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b/>
          <w:bCs/>
          <w:color w:val="0000FF"/>
          <w:kern w:val="0"/>
          <w:sz w:val="24"/>
          <w:szCs w:val="24"/>
          <w:bdr w:val="none" w:color="auto" w:sz="0" w:space="0"/>
          <w:shd w:val="clear" w:fill="FFFFFF"/>
          <w:lang w:val="en-US" w:eastAsia="zh-CN" w:bidi="ar"/>
        </w:rPr>
        <w:t>（2021—2025年）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治理农业农村污染是深入打好污染防治攻坚战的重要任务，是实施乡村振兴战略的重要举措，对推动农业农村绿色低碳发展、履行生物多样性公约、加强农村生态文明建设具有重要意义。为贯彻落实《中共中央 国务院关于深入打好污染防治攻坚战的意见》《农村人居环境整治提升五年行动方案（2021—2025年）》，加快解决农业农村突出环境问题，制定本行动方案。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基本思路：以习近平新时代中国特色社会主义思想为指导，全面贯彻党的十九大和十九届历次全会精神，按照深入打好污染防治攻坚战总要求，坚持精准治污、科学治污、依法治污，聚焦突出短板，以农村生活污水垃圾治理、黑臭水体整治、化肥农药减量增效、农膜回收利用、养殖污染防治等为重点领域，以京津冀、长江经济带、粤港澳大湾区、黄河流域等为重点区域，强化源头减量、资源利用、减污降碳和生态修复，持续推进农村人居环境整治提升和农业面源污染防治，增强农民群众获得感和幸福感，为实现乡村生态振兴提供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行动目标：到2025年，农村环境整治水平显著提升，农业面源污染得到初步管控，农村生态环境持续改善。新增完成8万个行政村环境整治，农村生活污水治理率达到40%，基本消除较大面积农村黑臭水体；化肥农药使用量持续减少，主要农作物化肥、农药利用率均达到43%，农膜回收率达到85%；畜禽粪污综合利用率达到80%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ascii="仿宋" w:hAnsi="仿宋" w:eastAsia="仿宋" w:cs="仿宋"/>
          <w:b/>
          <w:bCs/>
          <w:color w:val="000000"/>
          <w:kern w:val="0"/>
          <w:sz w:val="24"/>
          <w:szCs w:val="24"/>
          <w:bdr w:val="none" w:color="auto" w:sz="0" w:space="0"/>
          <w:shd w:val="clear" w:fill="FFFFFF"/>
          <w:lang w:val="en-US" w:eastAsia="zh-CN" w:bidi="ar"/>
        </w:rPr>
        <w:t>（一）加快推进农村生活污水垃圾治理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分区分类治理生活污水。以解决农村生活污水等突出问题为重点，提高农村环境整治成效和覆盖水平。推动县域农村生活污水治理统筹规划、建设和运行，与供水、改厕、水系整治、农房道路建设、农业生产、文旅开发等一体推进，有效衔接。结合村庄规划，重点治理水源保护区和城乡结合部、乡镇政府驻地、中心村、旅游风景区等人口居住集中区域农村生活污水。2022年6月底前，将县域农村生活污水治理专项规划（或方案）向社会公开并按年度实施。按照平原、山地、丘陵、缺水、高寒和生态环境敏感等典型地区，分类完善治理模式，科学合理建设农村生活污水收集和处理设施。做好户用污水收集系统和公共污水收集系统的配套衔接，合理选择排水体制和收集系统建设方式，确保污水有效收集。在生态环境敏感的地区，可采用污水处理标准严格的高级治理模式；在居住较为集中、环境要求较高的地区，可采用集中处理为主的常规治理模式；在居住分散、干旱缺水的非环境敏感区，结合厕所粪污无害化处理和资源化利用，可采用分散处理为主的简单治理模式。优先推广运行费用低、管护简便的污水治理技术，鼓励居住分散地区采用生态处理技术，可通过黑灰水分类收集处理、与畜禽粪污协同治理、建设人工湿地等方式处理污水，达到资源化利用要求后，用于庭院美化、村庄绿化等。2023年底前，省级相关部门筛选建立适合本地区的农村生活污水治理模式和技术工艺。督促各地完成现有农村生活污水收集处理设施运行情况排查，对设施停运破损、管网未配套、处理能力不符合实际需求、出水水质不达标等非正常运行的设施制定改造方案，有序完成整改，提高设施正常运行率。到2025年，东部地区、中西部城市近郊区等有基础、有条件的地区，农村生活污水治理率达到55%左右；中西部有较好基础、基本具备条件的地区，农村生活污水治理率达到25%左右；地处偏远、经济欠发达地区，农村生活污水治理水平有新提升。（生态环境部牵头，国家发展改革委、科技部、住房和城乡建设部、农业农村部、国家乡村振兴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加强农村改厕与生活污水治理衔接。科学选择改厕技术模式，宜水则水、宜旱则旱。加快研发干旱、寒冷地区卫生厕所适用技术和产品。在水冲式厕所改造中积极推广节水型、少水型水冲设施。因地制宜推进厕所粪污分散处理、集中处理与纳入污水管网统一处理，鼓励联户、联村、村镇一体处理。已完成水冲式厕所改造的地区，具备污水收集处理条件的，优先将厕所粪污纳入生活污水收集和处理系统；暂时无法纳入污水收集处理系统的，应建立厕所粪污收集、储存、资源化利用体系，避免化粪池出水直排。计划开展水冲式厕所改造的地区，鼓励将改厕与生活污水治理同步设计、同步建设、同步运营；暂时无法同步建设的，预留后续污水治理空间。（农业农村部、国家乡村振兴局、生态环境部、国家卫生健康委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健全农村生活垃圾收运处置体系。在不便于集中收集处置农村生活垃圾的地区，因地制宜采用小型化、分散化的无害化处理方式，降低设施建设和运行成本。完善日常巡检机制，严厉查处在农村地区饮用水水源地周边、农村黑臭水体沿岸随意倾倒、填埋垃圾行为。到2025年，进一步健全农村生活垃圾收运处置体系。（住房和城乡建设部牵头，农业农村部、国家乡村振兴局、生态环境部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推行农村生活垃圾分类减量与利用。加快推进农村生活垃圾分类，探索符合农村特点和农民习惯、简便易行的分类处理方式，减少垃圾出村处理量。协同推进农村有机生活垃圾、厕所粪污、农业生产有机废弃物资源化处理利用，以乡镇或行政村为单位建设一批区域农村有机废弃物综合处置利用设施。（农业农村部、住房和城乡建设部牵头，生态环境部、国家乡村振兴局、全国供销合作总社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（二）开展农村黑臭水体整治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明确整治重点。建立农村黑臭水体国家监管清单，优先整治面积较大、群众反映强烈的水体，实行“拉条挂账、逐一销号”，稳步消除较大面积的农村黑臭水体。在农村河流湖塘分布密集地区，进一步核实黑臭水体排查结果，对新发现的黑臭水体及时纳入监管清单，加强动态管理。在治理任务较重、工作基础较好的地区，支持开展农村黑臭水体整治试点。（生态环境部牵头，农业农村部、国家乡村振兴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系统开展整治。针对黑臭水体问题成因，以控源截污为根本，综合采取清淤疏浚、生态修复、水体净化等措施。将农村黑臭水体整治与生活污水、垃圾、种植、养殖等污染统筹治理，将治理对象、目标、时序协同一致，确保治理成效。对垃圾坑、粪污塘、废弃鱼塘等淤积严重的水体进行底泥污染调查评估，采取必要的清淤疏浚措施。对清淤产生的底泥，经无害化处理后，可通过绿化等方式合理利用，禁止随意倾倒。根据水体的集雨、调蓄、纳污、净化、生态、景观等功能，科学选择生态修复措施，对于季节性断流、干涸水体，慎用浮水、沉水植物进行生态修复。对于滞流、缓流水体，采取必要的水系连通和人工增氧等措施。（生态环境部、水利部牵头，农业农村部、国家乡村振兴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推动“长治久清”。鼓励河长制湖长制体系向村级延伸。充分发挥河湖长制平台作用，压实部门责任，实现水体有效治理和管护。对已完成整治的黑臭水体，开展整治过程和效果评估，确保达到水质指标和村民满意度要求。严禁表面治理和虚假治理，禁止简单采用冲污稀释、一填了之等“治标不治本”的做法。将农村黑臭水体排查结果和整治进展通过县级媒体等向社会公开，在所在村公示，鼓励群众积极参与，对排查结果、整治情况监督举报。（生态环境部、水利部牵头，农业农村部、国家乡村振兴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（三）实施化肥农药减量增效行动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深入推进化肥减量增效。聚焦长江经济带、黄河流域重点区域，明确化肥减量增效技术路径和措施。实施精准施肥，分区域、分作物制定化肥施用限量标准和减量方案，制定水稻、玉米、小麦、油菜等氮肥推荐定额用量，依法落实化肥使用总量控制。大力推进测土配方施肥，优化氮、磷、钾配比，逐步实现在粮食主产区及果菜茶等经济作物优势区的全覆盖。改进施肥方式，推广应用机械施肥、种肥同播、水肥一体化等措施，减少养分挥发和流失，提高肥料利用效率。加强绿色投入品创新研发，积极推广缓释肥料、水溶肥料、微生物肥料等新型肥料，拓宽畜禽粪肥、秸秆和种植绿肥的还田渠道，在更大范围推进有机肥替代化肥。在旱作区大力发展高效旱作农业，集成配套全生物降解地膜覆盖、长效肥料应用、保水剂混肥底施等措施，减少养分挥发和随雨流失。培育扶持一批专业化服务组织，提供统测、统配、统供、统施“四统一”服务。鼓励以循环利用与生态净化相结合的方式控制种植业污染，农企合作推进测土配方施肥。到2025年，主要农作物测土配方施肥技术覆盖率稳定在90%以上。（农业农村部牵头，生态环境部、全国供销合作总社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持续推进农药减量控害。推进科学用药，推广应用高效低风险农药，分期分批淘汰现存10种高毒农药。推广新型高效植保机械，推进精准施药，提高农药利用效率。创建一批绿色防控示范县，推行统防统治与绿色防控融合，提高防控组织化程度和科学化水平。构建农作物病虫害监测预警体系，建设一批智能化、自动化田间监测网点，提高重大病虫疫情监测预警能力。到2025年，主要农作物病虫害绿色防控及统防统治覆盖率分别达到55%和45%。（农业农村部牵头，生态环境部、全国供销合作总社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（四）深入实施农膜回收行动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落实严格的农膜管理制度，加强农膜生产、销售、使用、回收、再利用等环节的全链条监管，持续开展塑料污染治理联合专项行动。全面加强市场监管，禁止企业生产销售不符合国家强制性标准的地膜，依法严厉查处不合格产品。因地制宜调减作物覆膜面积，大力推进废旧农膜机械化捡拾、专业化回收、资源化利用，建立健全回收网络体系，提高废旧农膜回收利用和处置水平。加强农膜回收重点县建设，推动生产者、销售者、使用者落实回收责任，集成推广典型回收模式。推进全生物可降解地膜有序替代，在不同类型区域建设试验示范基地。建立健全农田地膜残留监测点，开展常态化、制度化监测评估。（农业农村部牵头，生态环境部、市场监管总局、全国供销合作总社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（五）加强养殖业污染防治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推行畜禽粪污资源化利用。完善畜禽粪污资源化利用管理制度，依法合理施用畜禽粪肥。推动畜禽规模养殖场粪污处理设施装备提档升级，规范畜禽养殖户粪污处理设施装备配套，开展设施装备配套情况核查。整县推进畜禽粪污资源化利用，改造提升粪污处理设施，建设粪肥还田利用示范基地，推进种养结合，畅通粪肥还田渠道。建立畜禽规模养殖场碳排放核算、报告、核查等标准，探索制定重点畜产品全生命周期碳足迹标准，引导畜禽养殖环节温室气体减排。完善畜禽粪肥限量标准，指导各地安全合理施用粪肥。到2025年，畜禽规模养殖场建立粪污资源化利用计划和台账，粪污处理设施装备配套率稳定在97%以上，畜禽养殖户粪污处理设施装备配套水平明显提升。（农业农村部牵头，生态环境部、国家发展改革委、市场监管总局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严格畜禽养殖污染防治监管。组织各地依法编制实施畜禽养殖污染防治规划，到2023年，畜牧大县率先完成规划编制。推动各省（自治区、直辖市）根据畜禽养殖发展情况和生态环境保护需要，制修订畜禽养殖污染物地方排放标准。严格落实环境影响评价与排污许可制度，依法开展环境影响评价，监督指导畜禽规模养殖场依法持证排污、按证排污或者进行排污登记，遵守排污许可证管理规定。结合养殖场直联直报信息和全国排污许可证管理信息平台，对畜禽粪污资源化利用计划、台账和排污许可证执行报告进行抽查。加大环境监管执法力度，依法查处无证排污、不按证排污、污染防治设施配套不到位以及粪肥超量施用污染环境等环境违法行为。（生态环境部牵头，农业农村部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推动水产养殖污染防治。养殖大省要依法加快制定出台水产养殖业水污染物排放控制标准，加强水产养殖尾水监测，规范工厂化水产养殖尾水排污口设置。以珠三角、长江流域、黄渤海等区域为重点，依法加大环境监管执法检查力度。（生态环境部负责）大力发展水产生态健康养殖，积极推广池塘工厂化循环水、大水面生态增养殖、稻渔综合种养等多种生态健康养殖模式。实施池塘标准化改造，完善循环水和进排水处理设施，推进养殖尾水节水减排。（农业农村部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（一）强化组织领导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生态环境部联合农业农村部、住房和城乡建设部、水利部、国家乡村振兴局等部门，加强信息共享、定期会商、督导评估，强化“一岗双责”、齐抓共管，协同推进攻坚战。各地有关部门要密切协作配合，形成工作合力，将深入打好农业农村污染治理攻坚战目标任务逐级分解落实，制定实施方案，明确职责分工、时限要求和责任人员，并将主要任务纳入当地督查督办重要内容，建立定期调度机制。各省（自治区、直辖市）生态环境部门要会同有关部门将实施方案于2022年6月底前报生态环境部、农业农村部、住房和城乡建设部、水利部、国家乡村振兴局，按季度报送目标任务进展情况，按年度总结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（二）强化政策保障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地方各级财政落实农业农村污染治理支出责任，保障重点任务实施。发挥中央农村环境整治资金等政策引导效应，加强资金绩效管理，支持解决农村环境突出问题，推动农村人居环境保护。建立农村人居环境整治管护长效机制，推动农村厕所、生活污水和垃圾处理设施等一体化运行管护。落实污染治理相关税费优惠政策。农村生活污水处理设施建设用地，按照公用基础设施建设优先列入建设用地计划，依法落实用地审批。大力发展农业农村绿色金融，引导社会资本以多种形式参与农业农村污染治理项目投资建设。鼓励有条件地区依法建立农村生活污水垃圾治理农户付费制度。加强农村生态环境宣传教育，提高村民生态文明意识，引导公众积极参与生态环境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（三）强化监测监控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加强农村环境质量监测，在人口集中区、主要养殖区和种植区等，加密布设水体质量监测点位，基本实现监测点位区县级全覆盖。持续推进日处理20吨及以上农村生活污水处理设施出水水质监测。结合环境监测工作，调查农村生活污水收集情况、污染物去除效果，并对设施正常运行情况进行通报。采用卫星遥感等技术，对较大面积农村黑臭水体进行动态排查；对国家监管清单中已完成整治的黑臭水体，省级有关部门要组织监测透明度、溶解氧和氨氮3项指标，原则上每年至少监测1次。在典型灌区开展农田灌溉用水和出水水质监测。加强畜禽规模养殖场环境执法监测。推进农业面源污染监测网建设；选择典型小流域，试点开展农业面源污染长期监测。鼓励有条件的地区，建设农业农村生态环境监管信息平台，加强污染治理调查评估，强化环境质量改善效果分析，对农村生活污水处理设施、畜禽规模养殖场污染排放和黑臭水体整治情况等进行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w:t>
      </w:r>
      <w:r>
        <w:rPr>
          <w:rFonts w:hint="eastAsia" w:ascii="微软雅黑" w:hAnsi="微软雅黑" w:eastAsia="微软雅黑" w:cs="微软雅黑"/>
          <w:b/>
          <w:bCs/>
          <w:color w:val="000000"/>
          <w:kern w:val="0"/>
          <w:sz w:val="24"/>
          <w:szCs w:val="24"/>
          <w:bdr w:val="none" w:color="auto" w:sz="0" w:space="0"/>
          <w:shd w:val="clear" w:fill="FFFFFF"/>
          <w:lang w:val="en-US" w:eastAsia="zh-CN" w:bidi="ar"/>
        </w:rPr>
        <w:t>　</w:t>
      </w:r>
      <w:r>
        <w:rPr>
          <w:rFonts w:hint="eastAsia" w:ascii="仿宋" w:hAnsi="仿宋" w:eastAsia="仿宋" w:cs="仿宋"/>
          <w:b/>
          <w:bCs/>
          <w:color w:val="000000"/>
          <w:kern w:val="0"/>
          <w:sz w:val="24"/>
          <w:szCs w:val="24"/>
          <w:bdr w:val="none" w:color="auto" w:sz="0" w:space="0"/>
          <w:shd w:val="clear" w:fill="FFFFFF"/>
          <w:lang w:val="en-US" w:eastAsia="zh-CN" w:bidi="ar"/>
        </w:rPr>
        <w:t>（四）强化监督考核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各省（自治区、直辖市）相关部门以本地区实施方案为依据，将农业农村污染治理工作纳入本省污染防治攻坚战考核范围，作为目标责任考核重要参考。健全农村环境整治成效评估机制，对污染治理设施运行情况进行抽查。将农村黑臭水体整治情况纳入强化监督。将农业农村污染治理突出问题纳入中央和省级生态环境保护督察范畴，对污染问题严重、治理工作推进不力的地区进行严肃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47792"/>
    <w:rsid w:val="0464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8">
    <w:name w:val="lishishuju"/>
    <w:basedOn w:val="4"/>
    <w:uiPriority w:val="0"/>
    <w:rPr>
      <w:b/>
      <w:bCs/>
      <w:color w:val="000052"/>
      <w:sz w:val="24"/>
      <w:szCs w:val="24"/>
      <w:bdr w:val="single" w:color="E3E3E3" w:sz="6" w:space="0"/>
    </w:rPr>
  </w:style>
  <w:style w:type="character" w:customStyle="1" w:styleId="9">
    <w:name w:val="lable"/>
    <w:basedOn w:val="4"/>
    <w:uiPriority w:val="0"/>
    <w:rPr>
      <w:sz w:val="24"/>
      <w:szCs w:val="24"/>
    </w:rPr>
  </w:style>
  <w:style w:type="character" w:customStyle="1" w:styleId="10">
    <w:name w:val="znspantitle"/>
    <w:basedOn w:val="4"/>
    <w:uiPriority w:val="0"/>
    <w:rPr>
      <w:b/>
      <w:bCs/>
      <w:color w:val="333333"/>
    </w:rPr>
  </w:style>
  <w:style w:type="character" w:customStyle="1" w:styleId="11">
    <w:name w:val="cur1"/>
    <w:basedOn w:val="4"/>
    <w:uiPriority w:val="0"/>
    <w:rPr>
      <w:color w:val="FFFFFF"/>
      <w:shd w:val="clear" w:fill="2F6B98"/>
    </w:rPr>
  </w:style>
  <w:style w:type="character" w:customStyle="1" w:styleId="12">
    <w:name w:val="radio-btn"/>
    <w:basedOn w:val="4"/>
    <w:uiPriority w:val="0"/>
    <w:rPr>
      <w:sz w:val="24"/>
      <w:szCs w:val="24"/>
      <w:bdr w:val="none" w:color="auto" w:sz="0" w:space="0"/>
    </w:rPr>
  </w:style>
  <w:style w:type="character" w:customStyle="1" w:styleId="13">
    <w:name w:val="radio-btn1"/>
    <w:basedOn w:val="4"/>
    <w:uiPriority w:val="0"/>
    <w:rPr>
      <w:sz w:val="21"/>
      <w:szCs w:val="21"/>
      <w:bdr w:val="none" w:color="auto" w:sz="0" w:space="0"/>
    </w:rPr>
  </w:style>
  <w:style w:type="character" w:customStyle="1" w:styleId="14">
    <w:name w:val="radio-btn2"/>
    <w:basedOn w:val="4"/>
    <w:uiPriority w:val="0"/>
    <w:rPr>
      <w:sz w:val="24"/>
      <w:szCs w:val="24"/>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2022-02-23T06:47:00Z</dcterms:created>
  <dc:creator>太平洋</dc:creator>
  <cp:lastModifiedBy>太平洋</cp:lastModifiedBy>
  <dcterms:modified xsi:type="dcterms:W3CDTF">2022-02-23T06:53:24Z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6707A0916CD24259A1B9FEA3209FAAD6</vt:lpwstr>
  </property>
</Properties>
</file>