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3820">
      <w:pPr>
        <w:spacing w:line="560" w:lineRule="exact"/>
        <w:rPr>
          <w:rFonts w:ascii="宋体" w:hAnsi="宋体" w:cs="宋体"/>
          <w:b/>
          <w:bCs/>
          <w:sz w:val="36"/>
          <w:szCs w:val="36"/>
        </w:rPr>
      </w:pPr>
      <w:r>
        <w:rPr>
          <w:rFonts w:hint="eastAsia" w:ascii="宋体" w:hAnsi="宋体" w:cs="宋体"/>
          <w:b/>
          <w:bCs/>
          <w:sz w:val="36"/>
          <w:szCs w:val="36"/>
        </w:rPr>
        <w:t>附件</w:t>
      </w:r>
      <w:r>
        <w:rPr>
          <w:rFonts w:ascii="宋体" w:hAnsi="宋体" w:cs="宋体"/>
          <w:b/>
          <w:bCs/>
          <w:sz w:val="36"/>
          <w:szCs w:val="36"/>
        </w:rPr>
        <w:t>1</w:t>
      </w:r>
    </w:p>
    <w:p w14:paraId="75FABE59">
      <w:pPr>
        <w:spacing w:line="560" w:lineRule="exact"/>
        <w:rPr>
          <w:b/>
          <w:bCs/>
          <w:sz w:val="36"/>
          <w:szCs w:val="36"/>
        </w:rPr>
      </w:pPr>
    </w:p>
    <w:p w14:paraId="7ABDB2A3">
      <w:pPr>
        <w:spacing w:line="560" w:lineRule="exact"/>
        <w:jc w:val="center"/>
        <w:rPr>
          <w:b/>
          <w:bCs/>
          <w:sz w:val="36"/>
          <w:szCs w:val="36"/>
        </w:rPr>
      </w:pPr>
      <w:r>
        <w:rPr>
          <w:rFonts w:hint="eastAsia"/>
          <w:b/>
          <w:bCs/>
          <w:sz w:val="36"/>
          <w:szCs w:val="36"/>
        </w:rPr>
        <w:t>阳城县南北大道道路改造工程</w:t>
      </w:r>
    </w:p>
    <w:p w14:paraId="5CDB02D0">
      <w:pPr>
        <w:spacing w:line="560" w:lineRule="exact"/>
        <w:jc w:val="center"/>
        <w:rPr>
          <w:b/>
          <w:bCs/>
          <w:sz w:val="36"/>
          <w:szCs w:val="36"/>
        </w:rPr>
      </w:pPr>
      <w:r>
        <w:rPr>
          <w:rFonts w:hint="eastAsia"/>
          <w:b/>
          <w:bCs/>
          <w:sz w:val="36"/>
          <w:szCs w:val="36"/>
        </w:rPr>
        <w:t>古城社区段居民房屋征收补偿与安置方案</w:t>
      </w:r>
    </w:p>
    <w:p w14:paraId="26D9502D">
      <w:pPr>
        <w:spacing w:line="560" w:lineRule="exact"/>
        <w:jc w:val="center"/>
        <w:rPr>
          <w:b/>
          <w:bCs/>
          <w:sz w:val="36"/>
          <w:szCs w:val="36"/>
        </w:rPr>
      </w:pPr>
    </w:p>
    <w:p w14:paraId="508A61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城市基础设施建设，完善城市路网结构，有效改善人居环境和城市交通通行条件，方便群众出行，提升城市品味。现根据国务院《国有土地上房屋征收与补偿条例》等有关规定，结合实际，特制定阳城县南北大道道路改造工程房屋征收补偿与安置方案（古城社区段）。</w:t>
      </w:r>
    </w:p>
    <w:p w14:paraId="6B6B82F6">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一、征收范围</w:t>
      </w:r>
    </w:p>
    <w:p w14:paraId="1B63641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（一）以阳城县南北大道道路改造工程红线为基础，北以天门头路、北城后路路心为界，南以南城东西街街心为界</w:t>
      </w:r>
      <w:r>
        <w:rPr>
          <w:rFonts w:ascii="仿宋" w:hAnsi="仿宋" w:eastAsia="仿宋" w:cs="仿宋"/>
          <w:sz w:val="32"/>
          <w:szCs w:val="32"/>
        </w:rPr>
        <w:t>,</w:t>
      </w:r>
      <w:r>
        <w:rPr>
          <w:rFonts w:hint="eastAsia" w:ascii="仿宋" w:hAnsi="仿宋" w:eastAsia="仿宋" w:cs="仿宋"/>
          <w:kern w:val="0"/>
          <w:sz w:val="32"/>
          <w:szCs w:val="32"/>
        </w:rPr>
        <w:t>东西以</w:t>
      </w:r>
      <w:r>
        <w:rPr>
          <w:rFonts w:hint="eastAsia" w:ascii="仿宋" w:hAnsi="仿宋" w:eastAsia="仿宋" w:cs="仿宋"/>
          <w:sz w:val="32"/>
          <w:szCs w:val="32"/>
        </w:rPr>
        <w:t>阳城县南北大道道路改造红线为准，根据拆迁拆除实际可适当外展。</w:t>
      </w:r>
      <w:r>
        <w:rPr>
          <w:rFonts w:hint="eastAsia" w:ascii="仿宋" w:hAnsi="仿宋" w:eastAsia="仿宋" w:cs="仿宋"/>
          <w:kern w:val="0"/>
          <w:sz w:val="32"/>
          <w:szCs w:val="32"/>
        </w:rPr>
        <w:t>凡在此范围内需征收的建筑物及其附属物等设施均适用本方案。</w:t>
      </w:r>
    </w:p>
    <w:p w14:paraId="016159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（二）在房屋征收范围确定并发布公告之日起，被征收人不得在房屋征收范围内实施新建、扩建、改建房屋和改变房屋用途等不当增加补偿费用的行为；违反规定实施的部分不予补偿。</w:t>
      </w:r>
    </w:p>
    <w:p w14:paraId="05CAED9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二、征收部门和实施单位</w:t>
      </w:r>
    </w:p>
    <w:p w14:paraId="478D961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征收部门：阳城县住房和城乡建设管理局</w:t>
      </w:r>
    </w:p>
    <w:p w14:paraId="1D38F4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征收实施单位：凤城镇人民政府</w:t>
      </w:r>
    </w:p>
    <w:p w14:paraId="231E39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征收实施单位具体承担该项目拆迁改造红线范围内的建筑物及附属物等设施的征收、补偿、拆迁、安置等工作。</w:t>
      </w:r>
    </w:p>
    <w:p w14:paraId="581D75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阳城县住房和城乡建设管理局对房屋征收实施单位在委托范围内实施的房屋征收与补偿行为负责监督，并对其行为后果承担法律责任。</w:t>
      </w:r>
    </w:p>
    <w:p w14:paraId="0AB4332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三、被征收房屋的认定</w:t>
      </w:r>
    </w:p>
    <w:p w14:paraId="51BB22B2">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sz w:val="32"/>
          <w:szCs w:val="32"/>
        </w:rPr>
        <w:t>、被征收房屋的权属认定，以《土地使用权证》、《房屋所有权证》、《不动产权证》及法院生效法律文书、生效仲裁文书等有效的法律文书为依据。对未经登记的房屋以有关部门认定的结果处理。对认定为违法建筑和超过批准期限的临时建筑，不予补偿。</w:t>
      </w:r>
    </w:p>
    <w:p w14:paraId="5C5B2551">
      <w:pPr>
        <w:spacing w:line="560" w:lineRule="exact"/>
        <w:ind w:firstLine="480" w:firstLineChars="20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page">
              <wp:posOffset>352425</wp:posOffset>
            </wp:positionH>
            <wp:positionV relativeFrom="page">
              <wp:posOffset>3097530</wp:posOffset>
            </wp:positionV>
            <wp:extent cx="5080" cy="10160"/>
            <wp:effectExtent l="0" t="0" r="0" b="0"/>
            <wp:wrapSquare wrapText="bothSides"/>
            <wp:docPr id="1"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32"/>
                    <pic:cNvPicPr>
                      <a:picLocks noChangeAspect="1"/>
                    </pic:cNvPicPr>
                  </pic:nvPicPr>
                  <pic:blipFill>
                    <a:blip r:embed="rId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page">
              <wp:posOffset>585470</wp:posOffset>
            </wp:positionH>
            <wp:positionV relativeFrom="page">
              <wp:posOffset>5678805</wp:posOffset>
            </wp:positionV>
            <wp:extent cx="5080" cy="34925"/>
            <wp:effectExtent l="0" t="0" r="13970" b="3175"/>
            <wp:wrapSquare wrapText="bothSides"/>
            <wp:docPr id="2"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6"/>
                    <pic:cNvPicPr>
                      <a:picLocks noChangeAspect="1"/>
                    </pic:cNvPicPr>
                  </pic:nvPicPr>
                  <pic:blipFill>
                    <a:blip r:embed="rId6"/>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page">
              <wp:posOffset>610235</wp:posOffset>
            </wp:positionH>
            <wp:positionV relativeFrom="page">
              <wp:posOffset>5723255</wp:posOffset>
            </wp:positionV>
            <wp:extent cx="5080" cy="34925"/>
            <wp:effectExtent l="0" t="0" r="13970" b="3175"/>
            <wp:wrapSquare wrapText="bothSides"/>
            <wp:docPr id="3"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37"/>
                    <pic:cNvPicPr>
                      <a:picLocks noChangeAspect="1"/>
                    </pic:cNvPicPr>
                  </pic:nvPicPr>
                  <pic:blipFill>
                    <a:blip r:embed="rId7"/>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page">
              <wp:posOffset>585470</wp:posOffset>
            </wp:positionH>
            <wp:positionV relativeFrom="page">
              <wp:posOffset>5812790</wp:posOffset>
            </wp:positionV>
            <wp:extent cx="5080" cy="14605"/>
            <wp:effectExtent l="0" t="0" r="0" b="0"/>
            <wp:wrapSquare wrapText="bothSides"/>
            <wp:docPr id="4"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38"/>
                    <pic:cNvPicPr>
                      <a:picLocks noChangeAspect="1"/>
                    </pic:cNvPicPr>
                  </pic:nvPicPr>
                  <pic:blipFill>
                    <a:blip r:embed="rId8"/>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page">
              <wp:posOffset>610235</wp:posOffset>
            </wp:positionH>
            <wp:positionV relativeFrom="page">
              <wp:posOffset>6473190</wp:posOffset>
            </wp:positionV>
            <wp:extent cx="5080" cy="29845"/>
            <wp:effectExtent l="0" t="0" r="13970" b="8255"/>
            <wp:wrapSquare wrapText="bothSides"/>
            <wp:docPr id="5"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44"/>
                    <pic:cNvPicPr>
                      <a:picLocks noChangeAspect="1"/>
                    </pic:cNvPicPr>
                  </pic:nvPicPr>
                  <pic:blipFill>
                    <a:blip r:embed="rId9"/>
                    <a:stretch>
                      <a:fillRect/>
                    </a:stretch>
                  </pic:blipFill>
                  <pic:spPr>
                    <a:xfrm>
                      <a:off x="0" y="0"/>
                      <a:ext cx="5080" cy="2984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page">
              <wp:posOffset>570865</wp:posOffset>
            </wp:positionH>
            <wp:positionV relativeFrom="page">
              <wp:posOffset>6631940</wp:posOffset>
            </wp:positionV>
            <wp:extent cx="5080" cy="40005"/>
            <wp:effectExtent l="0" t="0" r="13970" b="17145"/>
            <wp:wrapSquare wrapText="bothSides"/>
            <wp:docPr id="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46"/>
                    <pic:cNvPicPr>
                      <a:picLocks noChangeAspect="1"/>
                    </pic:cNvPicPr>
                  </pic:nvPicPr>
                  <pic:blipFill>
                    <a:blip r:embed="rId10"/>
                    <a:stretch>
                      <a:fillRect/>
                    </a:stretch>
                  </pic:blipFill>
                  <pic:spPr>
                    <a:xfrm>
                      <a:off x="0" y="0"/>
                      <a:ext cx="5080" cy="4000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page">
              <wp:posOffset>595630</wp:posOffset>
            </wp:positionH>
            <wp:positionV relativeFrom="page">
              <wp:posOffset>6686550</wp:posOffset>
            </wp:positionV>
            <wp:extent cx="5080" cy="5080"/>
            <wp:effectExtent l="0" t="0" r="0" b="0"/>
            <wp:wrapSquare wrapText="bothSides"/>
            <wp:docPr id="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47"/>
                    <pic:cNvPicPr>
                      <a:picLocks noChangeAspect="1"/>
                    </pic:cNvPicPr>
                  </pic:nvPicPr>
                  <pic:blipFill>
                    <a:blip r:embed="rId11"/>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page">
              <wp:posOffset>610235</wp:posOffset>
            </wp:positionH>
            <wp:positionV relativeFrom="page">
              <wp:posOffset>6880225</wp:posOffset>
            </wp:positionV>
            <wp:extent cx="5080" cy="14605"/>
            <wp:effectExtent l="0" t="0" r="0" b="0"/>
            <wp:wrapSquare wrapText="bothSides"/>
            <wp:docPr id="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48"/>
                    <pic:cNvPicPr>
                      <a:picLocks noChangeAspect="1"/>
                    </pic:cNvPicPr>
                  </pic:nvPicPr>
                  <pic:blipFill>
                    <a:blip r:embed="rId12"/>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page">
              <wp:posOffset>590550</wp:posOffset>
            </wp:positionH>
            <wp:positionV relativeFrom="page">
              <wp:posOffset>6889750</wp:posOffset>
            </wp:positionV>
            <wp:extent cx="10160" cy="10160"/>
            <wp:effectExtent l="0" t="0" r="0" b="0"/>
            <wp:wrapSquare wrapText="bothSides"/>
            <wp:docPr id="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49"/>
                    <pic:cNvPicPr>
                      <a:picLocks noChangeAspect="1"/>
                    </pic:cNvPicPr>
                  </pic:nvPicPr>
                  <pic:blipFill>
                    <a:blip r:embed="rId13"/>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page">
              <wp:posOffset>570865</wp:posOffset>
            </wp:positionH>
            <wp:positionV relativeFrom="page">
              <wp:posOffset>6924675</wp:posOffset>
            </wp:positionV>
            <wp:extent cx="5080" cy="14605"/>
            <wp:effectExtent l="0" t="0" r="0" b="0"/>
            <wp:wrapSquare wrapText="bothSides"/>
            <wp:docPr id="1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50"/>
                    <pic:cNvPicPr>
                      <a:picLocks noChangeAspect="1"/>
                    </pic:cNvPicPr>
                  </pic:nvPicPr>
                  <pic:blipFill>
                    <a:blip r:embed="rId14"/>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page">
              <wp:posOffset>610235</wp:posOffset>
            </wp:positionH>
            <wp:positionV relativeFrom="page">
              <wp:posOffset>6939280</wp:posOffset>
            </wp:positionV>
            <wp:extent cx="5080" cy="10160"/>
            <wp:effectExtent l="0" t="0" r="0" b="0"/>
            <wp:wrapSquare wrapText="bothSides"/>
            <wp:docPr id="1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51"/>
                    <pic:cNvPicPr>
                      <a:picLocks noChangeAspect="1"/>
                    </pic:cNvPicPr>
                  </pic:nvPicPr>
                  <pic:blipFill>
                    <a:blip r:embed="rId1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page">
              <wp:posOffset>565785</wp:posOffset>
            </wp:positionH>
            <wp:positionV relativeFrom="page">
              <wp:posOffset>6949440</wp:posOffset>
            </wp:positionV>
            <wp:extent cx="5080" cy="19685"/>
            <wp:effectExtent l="0" t="0" r="13970" b="8890"/>
            <wp:wrapSquare wrapText="bothSides"/>
            <wp:docPr id="1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52"/>
                    <pic:cNvPicPr>
                      <a:picLocks noChangeAspect="1"/>
                    </pic:cNvPicPr>
                  </pic:nvPicPr>
                  <pic:blipFill>
                    <a:blip r:embed="rId16"/>
                    <a:stretch>
                      <a:fillRect/>
                    </a:stretch>
                  </pic:blipFill>
                  <pic:spPr>
                    <a:xfrm>
                      <a:off x="0" y="0"/>
                      <a:ext cx="5080" cy="19685"/>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page">
              <wp:posOffset>610235</wp:posOffset>
            </wp:positionH>
            <wp:positionV relativeFrom="page">
              <wp:posOffset>6964680</wp:posOffset>
            </wp:positionV>
            <wp:extent cx="5080" cy="5080"/>
            <wp:effectExtent l="0" t="0" r="0" b="0"/>
            <wp:wrapSquare wrapText="bothSides"/>
            <wp:docPr id="1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53"/>
                    <pic:cNvPicPr>
                      <a:picLocks noChangeAspect="1"/>
                    </pic:cNvPicPr>
                  </pic:nvPicPr>
                  <pic:blipFill>
                    <a:blip r:embed="rId17"/>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page">
              <wp:posOffset>620395</wp:posOffset>
            </wp:positionH>
            <wp:positionV relativeFrom="page">
              <wp:posOffset>6964680</wp:posOffset>
            </wp:positionV>
            <wp:extent cx="5080" cy="5080"/>
            <wp:effectExtent l="0" t="0" r="0" b="0"/>
            <wp:wrapSquare wrapText="bothSides"/>
            <wp:docPr id="1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254"/>
                    <pic:cNvPicPr>
                      <a:picLocks noChangeAspect="1"/>
                    </pic:cNvPicPr>
                  </pic:nvPicPr>
                  <pic:blipFill>
                    <a:blip r:embed="rId1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3600" behindDoc="0" locked="0" layoutInCell="1" allowOverlap="1">
            <wp:simplePos x="0" y="0"/>
            <wp:positionH relativeFrom="page">
              <wp:posOffset>595630</wp:posOffset>
            </wp:positionH>
            <wp:positionV relativeFrom="page">
              <wp:posOffset>6988810</wp:posOffset>
            </wp:positionV>
            <wp:extent cx="10160" cy="10160"/>
            <wp:effectExtent l="0" t="0" r="0" b="0"/>
            <wp:wrapSquare wrapText="bothSides"/>
            <wp:docPr id="1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55"/>
                    <pic:cNvPicPr>
                      <a:picLocks noChangeAspect="1"/>
                    </pic:cNvPicPr>
                  </pic:nvPicPr>
                  <pic:blipFill>
                    <a:blip r:embed="rId1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page">
              <wp:posOffset>605155</wp:posOffset>
            </wp:positionH>
            <wp:positionV relativeFrom="page">
              <wp:posOffset>7028815</wp:posOffset>
            </wp:positionV>
            <wp:extent cx="10160" cy="49530"/>
            <wp:effectExtent l="0" t="0" r="8890" b="7620"/>
            <wp:wrapSquare wrapText="bothSides"/>
            <wp:docPr id="1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56"/>
                    <pic:cNvPicPr>
                      <a:picLocks noChangeAspect="1"/>
                    </pic:cNvPicPr>
                  </pic:nvPicPr>
                  <pic:blipFill>
                    <a:blip r:embed="rId20"/>
                    <a:stretch>
                      <a:fillRect/>
                    </a:stretch>
                  </pic:blipFill>
                  <pic:spPr>
                    <a:xfrm>
                      <a:off x="0" y="0"/>
                      <a:ext cx="10160" cy="4953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page">
              <wp:posOffset>605155</wp:posOffset>
            </wp:positionH>
            <wp:positionV relativeFrom="page">
              <wp:posOffset>7321550</wp:posOffset>
            </wp:positionV>
            <wp:extent cx="10160" cy="24765"/>
            <wp:effectExtent l="0" t="0" r="8890" b="3810"/>
            <wp:wrapSquare wrapText="bothSides"/>
            <wp:docPr id="1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57"/>
                    <pic:cNvPicPr>
                      <a:picLocks noChangeAspect="1"/>
                    </pic:cNvPicPr>
                  </pic:nvPicPr>
                  <pic:blipFill>
                    <a:blip r:embed="rId21"/>
                    <a:stretch>
                      <a:fillRect/>
                    </a:stretch>
                  </pic:blipFill>
                  <pic:spPr>
                    <a:xfrm>
                      <a:off x="0" y="0"/>
                      <a:ext cx="10160" cy="24765"/>
                    </a:xfrm>
                    <a:prstGeom prst="rect">
                      <a:avLst/>
                    </a:prstGeom>
                    <a:noFill/>
                    <a:ln>
                      <a:noFill/>
                    </a:ln>
                  </pic:spPr>
                </pic:pic>
              </a:graphicData>
            </a:graphic>
          </wp:anchor>
        </w:drawing>
      </w:r>
      <w:r>
        <w:drawing>
          <wp:anchor distT="0" distB="0" distL="114300" distR="114300" simplePos="0" relativeHeight="251676672" behindDoc="0" locked="0" layoutInCell="1" allowOverlap="1">
            <wp:simplePos x="0" y="0"/>
            <wp:positionH relativeFrom="page">
              <wp:posOffset>570865</wp:posOffset>
            </wp:positionH>
            <wp:positionV relativeFrom="page">
              <wp:posOffset>7361555</wp:posOffset>
            </wp:positionV>
            <wp:extent cx="5080" cy="5080"/>
            <wp:effectExtent l="0" t="0" r="0" b="0"/>
            <wp:wrapSquare wrapText="bothSides"/>
            <wp:docPr id="1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58"/>
                    <pic:cNvPicPr>
                      <a:picLocks noChangeAspect="1"/>
                    </pic:cNvPicPr>
                  </pic:nvPicPr>
                  <pic:blipFill>
                    <a:blip r:embed="rId22"/>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page">
              <wp:posOffset>605155</wp:posOffset>
            </wp:positionH>
            <wp:positionV relativeFrom="page">
              <wp:posOffset>7396480</wp:posOffset>
            </wp:positionV>
            <wp:extent cx="10160" cy="14605"/>
            <wp:effectExtent l="0" t="0" r="0" b="0"/>
            <wp:wrapSquare wrapText="bothSides"/>
            <wp:docPr id="1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59"/>
                    <pic:cNvPicPr>
                      <a:picLocks noChangeAspect="1"/>
                    </pic:cNvPicPr>
                  </pic:nvPicPr>
                  <pic:blipFill>
                    <a:blip r:embed="rId23"/>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78720" behindDoc="0" locked="0" layoutInCell="1" allowOverlap="1">
            <wp:simplePos x="0" y="0"/>
            <wp:positionH relativeFrom="page">
              <wp:posOffset>595630</wp:posOffset>
            </wp:positionH>
            <wp:positionV relativeFrom="page">
              <wp:posOffset>7719060</wp:posOffset>
            </wp:positionV>
            <wp:extent cx="10160" cy="10160"/>
            <wp:effectExtent l="0" t="0" r="0" b="0"/>
            <wp:wrapSquare wrapText="bothSides"/>
            <wp:docPr id="20"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61"/>
                    <pic:cNvPicPr>
                      <a:picLocks noChangeAspect="1"/>
                    </pic:cNvPicPr>
                  </pic:nvPicPr>
                  <pic:blipFill>
                    <a:blip r:embed="rId24"/>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9744" behindDoc="0" locked="0" layoutInCell="1" allowOverlap="1">
            <wp:simplePos x="0" y="0"/>
            <wp:positionH relativeFrom="page">
              <wp:posOffset>570865</wp:posOffset>
            </wp:positionH>
            <wp:positionV relativeFrom="page">
              <wp:posOffset>7813040</wp:posOffset>
            </wp:positionV>
            <wp:extent cx="5080" cy="10160"/>
            <wp:effectExtent l="0" t="0" r="0" b="0"/>
            <wp:wrapSquare wrapText="bothSides"/>
            <wp:docPr id="21"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62"/>
                    <pic:cNvPicPr>
                      <a:picLocks noChangeAspect="1"/>
                    </pic:cNvPicPr>
                  </pic:nvPicPr>
                  <pic:blipFill>
                    <a:blip r:embed="rId2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page">
              <wp:posOffset>610235</wp:posOffset>
            </wp:positionH>
            <wp:positionV relativeFrom="page">
              <wp:posOffset>7858125</wp:posOffset>
            </wp:positionV>
            <wp:extent cx="5080" cy="5080"/>
            <wp:effectExtent l="0" t="0" r="0" b="0"/>
            <wp:wrapSquare wrapText="bothSides"/>
            <wp:docPr id="22"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63"/>
                    <pic:cNvPicPr>
                      <a:picLocks noChangeAspect="1"/>
                    </pic:cNvPicPr>
                  </pic:nvPicPr>
                  <pic:blipFill>
                    <a:blip r:embed="rId2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page">
              <wp:posOffset>565785</wp:posOffset>
            </wp:positionH>
            <wp:positionV relativeFrom="page">
              <wp:posOffset>8110855</wp:posOffset>
            </wp:positionV>
            <wp:extent cx="10160" cy="29845"/>
            <wp:effectExtent l="0" t="0" r="8890" b="8255"/>
            <wp:wrapSquare wrapText="bothSides"/>
            <wp:docPr id="23"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64"/>
                    <pic:cNvPicPr>
                      <a:picLocks noChangeAspect="1"/>
                    </pic:cNvPicPr>
                  </pic:nvPicPr>
                  <pic:blipFill>
                    <a:blip r:embed="rId27"/>
                    <a:stretch>
                      <a:fillRect/>
                    </a:stretch>
                  </pic:blipFill>
                  <pic:spPr>
                    <a:xfrm>
                      <a:off x="0" y="0"/>
                      <a:ext cx="10160" cy="29845"/>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page">
              <wp:posOffset>570865</wp:posOffset>
            </wp:positionH>
            <wp:positionV relativeFrom="page">
              <wp:posOffset>8150860</wp:posOffset>
            </wp:positionV>
            <wp:extent cx="5080" cy="5080"/>
            <wp:effectExtent l="0" t="0" r="0" b="0"/>
            <wp:wrapSquare wrapText="bothSides"/>
            <wp:docPr id="24"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65"/>
                    <pic:cNvPicPr>
                      <a:picLocks noChangeAspect="1"/>
                    </pic:cNvPicPr>
                  </pic:nvPicPr>
                  <pic:blipFill>
                    <a:blip r:embed="rId2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3840" behindDoc="0" locked="0" layoutInCell="1" allowOverlap="1">
            <wp:simplePos x="0" y="0"/>
            <wp:positionH relativeFrom="page">
              <wp:posOffset>565785</wp:posOffset>
            </wp:positionH>
            <wp:positionV relativeFrom="page">
              <wp:posOffset>8175625</wp:posOffset>
            </wp:positionV>
            <wp:extent cx="10160" cy="10160"/>
            <wp:effectExtent l="0" t="0" r="0" b="0"/>
            <wp:wrapSquare wrapText="bothSides"/>
            <wp:docPr id="25"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66"/>
                    <pic:cNvPicPr>
                      <a:picLocks noChangeAspect="1"/>
                    </pic:cNvPicPr>
                  </pic:nvPicPr>
                  <pic:blipFill>
                    <a:blip r:embed="rId2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84864" behindDoc="0" locked="0" layoutInCell="1" allowOverlap="1">
            <wp:simplePos x="0" y="0"/>
            <wp:positionH relativeFrom="page">
              <wp:posOffset>570865</wp:posOffset>
            </wp:positionH>
            <wp:positionV relativeFrom="page">
              <wp:posOffset>8215630</wp:posOffset>
            </wp:positionV>
            <wp:extent cx="5080" cy="14605"/>
            <wp:effectExtent l="0" t="0" r="0" b="0"/>
            <wp:wrapSquare wrapText="bothSides"/>
            <wp:docPr id="26"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67"/>
                    <pic:cNvPicPr>
                      <a:picLocks noChangeAspect="1"/>
                    </pic:cNvPicPr>
                  </pic:nvPicPr>
                  <pic:blipFill>
                    <a:blip r:embed="rId30"/>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85888" behindDoc="0" locked="0" layoutInCell="1" allowOverlap="1">
            <wp:simplePos x="0" y="0"/>
            <wp:positionH relativeFrom="page">
              <wp:posOffset>565785</wp:posOffset>
            </wp:positionH>
            <wp:positionV relativeFrom="page">
              <wp:posOffset>8249285</wp:posOffset>
            </wp:positionV>
            <wp:extent cx="10160" cy="14605"/>
            <wp:effectExtent l="0" t="0" r="0" b="0"/>
            <wp:wrapSquare wrapText="bothSides"/>
            <wp:docPr id="27"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69"/>
                    <pic:cNvPicPr>
                      <a:picLocks noChangeAspect="1"/>
                    </pic:cNvPicPr>
                  </pic:nvPicPr>
                  <pic:blipFill>
                    <a:blip r:embed="rId31"/>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86912" behindDoc="0" locked="0" layoutInCell="1" allowOverlap="1">
            <wp:simplePos x="0" y="0"/>
            <wp:positionH relativeFrom="page">
              <wp:posOffset>565785</wp:posOffset>
            </wp:positionH>
            <wp:positionV relativeFrom="page">
              <wp:posOffset>8289925</wp:posOffset>
            </wp:positionV>
            <wp:extent cx="10160" cy="19685"/>
            <wp:effectExtent l="0" t="0" r="8890" b="8890"/>
            <wp:wrapSquare wrapText="bothSides"/>
            <wp:docPr id="28"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70"/>
                    <pic:cNvPicPr>
                      <a:picLocks noChangeAspect="1"/>
                    </pic:cNvPicPr>
                  </pic:nvPicPr>
                  <pic:blipFill>
                    <a:blip r:embed="rId32"/>
                    <a:stretch>
                      <a:fillRect/>
                    </a:stretch>
                  </pic:blipFill>
                  <pic:spPr>
                    <a:xfrm>
                      <a:off x="0" y="0"/>
                      <a:ext cx="10160" cy="19685"/>
                    </a:xfrm>
                    <a:prstGeom prst="rect">
                      <a:avLst/>
                    </a:prstGeom>
                    <a:noFill/>
                    <a:ln>
                      <a:noFill/>
                    </a:ln>
                  </pic:spPr>
                </pic:pic>
              </a:graphicData>
            </a:graphic>
          </wp:anchor>
        </w:drawing>
      </w:r>
      <w:r>
        <w:drawing>
          <wp:anchor distT="0" distB="0" distL="114300" distR="114300" simplePos="0" relativeHeight="251687936" behindDoc="0" locked="0" layoutInCell="1" allowOverlap="1">
            <wp:simplePos x="0" y="0"/>
            <wp:positionH relativeFrom="page">
              <wp:posOffset>560705</wp:posOffset>
            </wp:positionH>
            <wp:positionV relativeFrom="page">
              <wp:posOffset>8890635</wp:posOffset>
            </wp:positionV>
            <wp:extent cx="14605" cy="5080"/>
            <wp:effectExtent l="0" t="0" r="0" b="0"/>
            <wp:wrapSquare wrapText="bothSides"/>
            <wp:docPr id="29"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78"/>
                    <pic:cNvPicPr>
                      <a:picLocks noChangeAspect="1"/>
                    </pic:cNvPicPr>
                  </pic:nvPicPr>
                  <pic:blipFill>
                    <a:blip r:embed="rId33"/>
                    <a:stretch>
                      <a:fillRect/>
                    </a:stretch>
                  </pic:blipFill>
                  <pic:spPr>
                    <a:xfrm>
                      <a:off x="0" y="0"/>
                      <a:ext cx="14605" cy="5080"/>
                    </a:xfrm>
                    <a:prstGeom prst="rect">
                      <a:avLst/>
                    </a:prstGeom>
                    <a:noFill/>
                    <a:ln>
                      <a:noFill/>
                    </a:ln>
                  </pic:spPr>
                </pic:pic>
              </a:graphicData>
            </a:graphic>
          </wp:anchor>
        </w:drawing>
      </w:r>
      <w:r>
        <w:drawing>
          <wp:anchor distT="0" distB="0" distL="114300" distR="114300" simplePos="0" relativeHeight="251688960" behindDoc="0" locked="0" layoutInCell="1" allowOverlap="1">
            <wp:simplePos x="0" y="0"/>
            <wp:positionH relativeFrom="page">
              <wp:posOffset>516255</wp:posOffset>
            </wp:positionH>
            <wp:positionV relativeFrom="page">
              <wp:posOffset>8895715</wp:posOffset>
            </wp:positionV>
            <wp:extent cx="5080" cy="10160"/>
            <wp:effectExtent l="0" t="0" r="0" b="0"/>
            <wp:wrapSquare wrapText="bothSides"/>
            <wp:docPr id="30"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79"/>
                    <pic:cNvPicPr>
                      <a:picLocks noChangeAspect="1"/>
                    </pic:cNvPicPr>
                  </pic:nvPicPr>
                  <pic:blipFill>
                    <a:blip r:embed="rId34"/>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9984" behindDoc="0" locked="0" layoutInCell="1" allowOverlap="1">
            <wp:simplePos x="0" y="0"/>
            <wp:positionH relativeFrom="page">
              <wp:posOffset>511175</wp:posOffset>
            </wp:positionH>
            <wp:positionV relativeFrom="page">
              <wp:posOffset>8910320</wp:posOffset>
            </wp:positionV>
            <wp:extent cx="5080" cy="5080"/>
            <wp:effectExtent l="0" t="0" r="0" b="0"/>
            <wp:wrapSquare wrapText="bothSides"/>
            <wp:docPr id="31"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80"/>
                    <pic:cNvPicPr>
                      <a:picLocks noChangeAspect="1"/>
                    </pic:cNvPicPr>
                  </pic:nvPicPr>
                  <pic:blipFill>
                    <a:blip r:embed="rId35"/>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1008" behindDoc="0" locked="0" layoutInCell="1" allowOverlap="1">
            <wp:simplePos x="0" y="0"/>
            <wp:positionH relativeFrom="page">
              <wp:posOffset>511175</wp:posOffset>
            </wp:positionH>
            <wp:positionV relativeFrom="page">
              <wp:posOffset>8935085</wp:posOffset>
            </wp:positionV>
            <wp:extent cx="5080" cy="5080"/>
            <wp:effectExtent l="0" t="0" r="0" b="0"/>
            <wp:wrapSquare wrapText="bothSides"/>
            <wp:docPr id="32"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81"/>
                    <pic:cNvPicPr>
                      <a:picLocks noChangeAspect="1"/>
                    </pic:cNvPicPr>
                  </pic:nvPicPr>
                  <pic:blipFill>
                    <a:blip r:embed="rId3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2032" behindDoc="0" locked="0" layoutInCell="1" allowOverlap="1">
            <wp:simplePos x="0" y="0"/>
            <wp:positionH relativeFrom="page">
              <wp:posOffset>530860</wp:posOffset>
            </wp:positionH>
            <wp:positionV relativeFrom="page">
              <wp:posOffset>9024620</wp:posOffset>
            </wp:positionV>
            <wp:extent cx="5080" cy="5080"/>
            <wp:effectExtent l="0" t="0" r="0" b="0"/>
            <wp:wrapSquare wrapText="bothSides"/>
            <wp:docPr id="33"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282"/>
                    <pic:cNvPicPr>
                      <a:picLocks noChangeAspect="1"/>
                    </pic:cNvPicPr>
                  </pic:nvPicPr>
                  <pic:blipFill>
                    <a:blip r:embed="rId37"/>
                    <a:stretch>
                      <a:fillRect/>
                    </a:stretch>
                  </pic:blipFill>
                  <pic:spPr>
                    <a:xfrm>
                      <a:off x="0" y="0"/>
                      <a:ext cx="5080" cy="5080"/>
                    </a:xfrm>
                    <a:prstGeom prst="rect">
                      <a:avLst/>
                    </a:prstGeom>
                    <a:noFill/>
                    <a:ln>
                      <a:noFill/>
                    </a:ln>
                  </pic:spPr>
                </pic:pic>
              </a:graphicData>
            </a:graphic>
          </wp:anchor>
        </w:drawing>
      </w:r>
      <w:r>
        <w:rPr>
          <w:rFonts w:ascii="仿宋" w:hAnsi="仿宋" w:eastAsia="仿宋" w:cs="仿宋"/>
          <w:sz w:val="32"/>
          <w:szCs w:val="32"/>
        </w:rPr>
        <w:t>2</w:t>
      </w:r>
      <w:r>
        <w:rPr>
          <w:rFonts w:hint="eastAsia" w:ascii="仿宋" w:hAnsi="仿宋" w:eastAsia="仿宋" w:cs="仿宋"/>
          <w:sz w:val="32"/>
          <w:szCs w:val="32"/>
        </w:rPr>
        <w:t>、被征收房屋建筑面积，依据《房屋所有权证》等有效法律文书记载结合国家相关测量规范进行认定。</w:t>
      </w:r>
    </w:p>
    <w:p w14:paraId="4E70276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四、被征收人户数的认定</w:t>
      </w:r>
    </w:p>
    <w:p w14:paraId="06835685">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、被征收人户数的确定以《土地使用证》、《房屋所有权证》登记的权属人为准；</w:t>
      </w:r>
    </w:p>
    <w:p w14:paraId="586CEB48">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、被征收房屋为共有的，按一户被征收人进行认定；</w:t>
      </w:r>
    </w:p>
    <w:p w14:paraId="6983CB3E">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、在征收范围内，被征收人有多处房产的，视同一户对待；</w:t>
      </w:r>
    </w:p>
    <w:p w14:paraId="2708C231">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、在征收范围内，被征收人夫妻双方持有两本以上（含两本）房产、土地证件的，视同一户对待；</w:t>
      </w:r>
    </w:p>
    <w:p w14:paraId="7CC112F2">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、在征收范围内，被征收人既有住宅房屋又有营业性房屋的，视同一户对待。</w:t>
      </w:r>
    </w:p>
    <w:p w14:paraId="3F72818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五、评估机构的选择</w:t>
      </w:r>
    </w:p>
    <w:p w14:paraId="648DC5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由被征收人在规定时间内协商选定；在规定时间内协商不成的，由房屋征收实施单位通过组织被征收人按照少数服从多数的原则投票决定，或者采用摇号、抽号等随机方式确定，具体方式采取少数服从多数的原则确定。房屋评估应参照住建部《国有土地上房屋征收评估办法》的规定执行。</w:t>
      </w:r>
    </w:p>
    <w:p w14:paraId="190F7E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房地产价格评估机构同时具有房屋等级鉴定和货币补偿中房屋、附属物和临时建筑物价值认定职能。</w:t>
      </w:r>
    </w:p>
    <w:p w14:paraId="63A6EE3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六、补偿安置方式</w:t>
      </w:r>
    </w:p>
    <w:p w14:paraId="01772F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补偿安置方式分为货币补偿、产权调换两种。</w:t>
      </w:r>
    </w:p>
    <w:p w14:paraId="207D40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方案所称的货币补偿是指被征收人放弃被征收房屋产权，由房屋征收实施单位根据房地产价格评估机构按照房屋征收决定公告之日被征收房屋类似房地产的市场价格，评估的被征收人房屋、附属物和临时建筑等的价值，对被征收人实行一次性货币补偿。</w:t>
      </w:r>
    </w:p>
    <w:p w14:paraId="6D7B7B7D">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、住宅房屋货币补偿</w:t>
      </w:r>
    </w:p>
    <w:p w14:paraId="37FF04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由房地产价格评估机构对被征收房屋分两部分进行评估，第一部分为合法建筑面积×补偿基价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㎡，第二部分按房屋合法建筑面积重置价（毛墙毛地）×成新率，给予一次性货币补偿。</w:t>
      </w:r>
    </w:p>
    <w:p w14:paraId="1508AD7E">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、营业性房屋货币补偿</w:t>
      </w:r>
    </w:p>
    <w:p w14:paraId="09698BD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根据被征收房屋的《土地使用证》、《房屋所有权证》或《不动产权证书》记载的用途和有无合法、有效的《营业执照》，将凤凰街居民营业性房屋分为三类进行认定与补偿：</w:t>
      </w:r>
    </w:p>
    <w:p w14:paraId="50C14D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第一类：在调查摸底时已具备以下条件：《土地使用证》、《房屋所有权证》或《不动产权证书》记载的用途为商业。</w:t>
      </w:r>
    </w:p>
    <w:p w14:paraId="3467C38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被认定为该类的，由评估机构按照商业用房第一自然层补偿基价</w:t>
      </w:r>
      <w:r>
        <w:rPr>
          <w:rFonts w:ascii="仿宋" w:hAnsi="仿宋" w:eastAsia="仿宋" w:cs="仿宋"/>
          <w:sz w:val="32"/>
          <w:szCs w:val="32"/>
        </w:rPr>
        <w:t>13000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㎡，结合房屋重置价分两部分进行评估，第一部分为商业用房合法建筑面积×补偿基价，第二部分为合法建筑面积重置价（毛墙毛地</w:t>
      </w:r>
      <w:r>
        <w:rPr>
          <w:rFonts w:ascii="仿宋" w:hAnsi="仿宋" w:eastAsia="仿宋" w:cs="仿宋"/>
          <w:sz w:val="32"/>
          <w:szCs w:val="32"/>
        </w:rPr>
        <w:t>)</w:t>
      </w:r>
      <w:r>
        <w:rPr>
          <w:rFonts w:hint="eastAsia" w:ascii="仿宋" w:hAnsi="仿宋" w:eastAsia="仿宋" w:cs="仿宋"/>
          <w:sz w:val="32"/>
          <w:szCs w:val="32"/>
        </w:rPr>
        <w:t>×成新率，给予一次性货币补偿，并给予过渡期一年的停产停业损失补偿（第一层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p>
    <w:p w14:paraId="6EE845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第二类：被征收房屋位于街面，在调查摸底时已具备以下条件：《土地使用证》、《房屋所有权证》或《不动产权证书》记载的用途是住宅，但历来用作经营，有合法、有效的《营业</w:t>
      </w:r>
      <w:r>
        <w:rPr>
          <w:rFonts w:hint="eastAsia" w:ascii="仿宋" w:hAnsi="仿宋" w:eastAsia="仿宋" w:cs="仿宋"/>
          <w:sz w:val="32"/>
          <w:szCs w:val="32"/>
          <w:lang w:eastAsia="zh-CN"/>
        </w:rPr>
        <w:t>执照</w:t>
      </w:r>
      <w:bookmarkStart w:id="0" w:name="_GoBack"/>
      <w:bookmarkEnd w:id="0"/>
      <w:r>
        <w:rPr>
          <w:rFonts w:hint="eastAsia" w:ascii="仿宋" w:hAnsi="仿宋" w:eastAsia="仿宋" w:cs="仿宋"/>
          <w:sz w:val="32"/>
          <w:szCs w:val="32"/>
        </w:rPr>
        <w:t>》，营业执照上载明的住所（营业场所）为被征收房屋，且房屋进深不超过</w:t>
      </w:r>
      <w:r>
        <w:rPr>
          <w:rFonts w:ascii="仿宋" w:hAnsi="仿宋" w:eastAsia="仿宋" w:cs="仿宋"/>
          <w:sz w:val="32"/>
          <w:szCs w:val="32"/>
        </w:rPr>
        <w:t>6</w:t>
      </w:r>
      <w:r>
        <w:rPr>
          <w:rFonts w:hint="eastAsia" w:ascii="仿宋" w:hAnsi="仿宋" w:eastAsia="仿宋" w:cs="仿宋"/>
          <w:sz w:val="32"/>
          <w:szCs w:val="32"/>
        </w:rPr>
        <w:t>米</w:t>
      </w:r>
      <w:r>
        <w:rPr>
          <w:rFonts w:ascii="仿宋" w:hAnsi="仿宋" w:eastAsia="仿宋" w:cs="仿宋"/>
          <w:sz w:val="32"/>
          <w:szCs w:val="32"/>
        </w:rPr>
        <w:t>(</w:t>
      </w:r>
      <w:r>
        <w:rPr>
          <w:rFonts w:hint="eastAsia" w:ascii="仿宋" w:hAnsi="仿宋" w:eastAsia="仿宋" w:cs="仿宋"/>
          <w:sz w:val="32"/>
          <w:szCs w:val="32"/>
        </w:rPr>
        <w:t>超过</w:t>
      </w:r>
      <w:r>
        <w:rPr>
          <w:rFonts w:ascii="仿宋" w:hAnsi="仿宋" w:eastAsia="仿宋" w:cs="仿宋"/>
          <w:sz w:val="32"/>
          <w:szCs w:val="32"/>
        </w:rPr>
        <w:t>6</w:t>
      </w:r>
      <w:r>
        <w:rPr>
          <w:rFonts w:hint="eastAsia" w:ascii="仿宋" w:hAnsi="仿宋" w:eastAsia="仿宋" w:cs="仿宋"/>
          <w:sz w:val="32"/>
          <w:szCs w:val="32"/>
        </w:rPr>
        <w:t>米的部分按巷面对待</w:t>
      </w:r>
      <w:r>
        <w:rPr>
          <w:rFonts w:ascii="仿宋" w:hAnsi="仿宋" w:eastAsia="仿宋" w:cs="仿宋"/>
          <w:sz w:val="32"/>
          <w:szCs w:val="32"/>
        </w:rPr>
        <w:t>)</w:t>
      </w:r>
      <w:r>
        <w:rPr>
          <w:rFonts w:hint="eastAsia" w:ascii="仿宋" w:hAnsi="仿宋" w:eastAsia="仿宋" w:cs="仿宋"/>
          <w:sz w:val="32"/>
          <w:szCs w:val="32"/>
        </w:rPr>
        <w:t>，并能够提供营业相关年检手续。</w:t>
      </w:r>
    </w:p>
    <w:p w14:paraId="79436D3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被认定为该类的，由评估机构按照第一自然层补偿基价</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8000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㎡，结合实际营业面积、房屋重置价分两部分进行评估，第一部分为实际营业面积×补偿基价，第二部分为实际营业面积房屋重置价</w:t>
      </w:r>
      <w:r>
        <w:rPr>
          <w:rFonts w:ascii="仿宋" w:hAnsi="仿宋" w:eastAsia="仿宋" w:cs="仿宋"/>
          <w:sz w:val="32"/>
          <w:szCs w:val="32"/>
        </w:rPr>
        <w:t>(</w:t>
      </w:r>
      <w:r>
        <w:rPr>
          <w:rFonts w:hint="eastAsia" w:ascii="仿宋" w:hAnsi="仿宋" w:eastAsia="仿宋" w:cs="仿宋"/>
          <w:sz w:val="32"/>
          <w:szCs w:val="32"/>
        </w:rPr>
        <w:t>毛墙毛地</w:t>
      </w:r>
      <w:r>
        <w:rPr>
          <w:rFonts w:ascii="仿宋" w:hAnsi="仿宋" w:eastAsia="仿宋" w:cs="仿宋"/>
          <w:sz w:val="32"/>
          <w:szCs w:val="32"/>
        </w:rPr>
        <w:t>)</w:t>
      </w:r>
      <w:r>
        <w:rPr>
          <w:rFonts w:hint="eastAsia" w:ascii="仿宋" w:hAnsi="仿宋" w:eastAsia="仿宋" w:cs="仿宋"/>
          <w:sz w:val="32"/>
          <w:szCs w:val="32"/>
        </w:rPr>
        <w:t>×成新率，给子一次性货币补偿。在此基础上，给予过渡期一年的停产停业损失补偿（第一层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，实际营业面积超出进深</w:t>
      </w:r>
      <w:r>
        <w:rPr>
          <w:rFonts w:ascii="仿宋" w:hAnsi="仿宋" w:eastAsia="仿宋" w:cs="仿宋"/>
          <w:sz w:val="32"/>
          <w:szCs w:val="32"/>
        </w:rPr>
        <w:t>6</w:t>
      </w:r>
      <w:r>
        <w:rPr>
          <w:rFonts w:hint="eastAsia" w:ascii="仿宋" w:hAnsi="仿宋" w:eastAsia="仿宋" w:cs="仿宋"/>
          <w:sz w:val="32"/>
          <w:szCs w:val="32"/>
        </w:rPr>
        <w:t>米的部分按第三类进行补偿。</w:t>
      </w:r>
    </w:p>
    <w:p w14:paraId="5602D0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第三类：被征收房屋位于巷面，在调查摸底时已具备以下条件：《土地使用证》、《房屋所有权证》或《不动产权证书》记载的用途是住宅，但有合法、有效的《营业执照》，营业执照上载明的住所（营业场所</w:t>
      </w:r>
      <w:r>
        <w:rPr>
          <w:rFonts w:ascii="仿宋" w:hAnsi="仿宋" w:eastAsia="仿宋" w:cs="仿宋"/>
          <w:sz w:val="32"/>
          <w:szCs w:val="32"/>
        </w:rPr>
        <w:t>)</w:t>
      </w:r>
      <w:r>
        <w:rPr>
          <w:rFonts w:hint="eastAsia" w:ascii="仿宋" w:hAnsi="仿宋" w:eastAsia="仿宋" w:cs="仿宋"/>
          <w:sz w:val="32"/>
          <w:szCs w:val="32"/>
        </w:rPr>
        <w:t>为被征收房屋，并能够提供营业相关年检手续。</w:t>
      </w:r>
    </w:p>
    <w:p w14:paraId="73E2B59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被认定为该类的，由评估机构按照住宅补偿基价，结合实际营业面积、房屋重置价分两部分进行评估，第一部分为实际营业面积×住宅补偿基价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第二部分为实际营业面积房屋重置价（毛墙毛地）×成新率，给予一次性货币补偿。在此基础上，给予实际营业面积</w:t>
      </w:r>
      <w:r>
        <w:rPr>
          <w:rFonts w:ascii="仿宋" w:hAnsi="仿宋" w:eastAsia="仿宋" w:cs="仿宋"/>
          <w:sz w:val="32"/>
          <w:szCs w:val="32"/>
        </w:rPr>
        <w:t>1000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㎡一次性货币补偿，并给予过渡期一年的停产停业损失补偿</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w:t>
      </w:r>
    </w:p>
    <w:p w14:paraId="27A34E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方案所称的产权调换，是指房屋征收实施单位用县政府提供的回迁安置房，与被征收人征收房屋的合法建筑面积，结合房屋鉴定等级进行调换。附属物和不符合建筑面积计算标准的阁楼、地下室、临时建筑不进行产权调换。不进行产权调换的按房地产价格评估机构认定的价值，对被征收人实行货币补偿。</w:t>
      </w:r>
    </w:p>
    <w:p w14:paraId="3ECF453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、房屋建筑面积的认定及等级划分</w:t>
      </w:r>
    </w:p>
    <w:p w14:paraId="4A48A9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住宅房屋面积兑换标准为：</w:t>
      </w:r>
      <w:r>
        <w:rPr>
          <w:rFonts w:ascii="仿宋" w:hAnsi="仿宋" w:eastAsia="仿宋" w:cs="仿宋"/>
          <w:sz w:val="32"/>
          <w:szCs w:val="32"/>
        </w:rPr>
        <w:t>1:1.12</w:t>
      </w:r>
      <w:r>
        <w:rPr>
          <w:rFonts w:hint="eastAsia" w:ascii="仿宋" w:hAnsi="仿宋" w:eastAsia="仿宋" w:cs="仿宋"/>
          <w:sz w:val="32"/>
          <w:szCs w:val="32"/>
        </w:rPr>
        <w:t>、</w:t>
      </w:r>
      <w:r>
        <w:rPr>
          <w:rFonts w:ascii="仿宋" w:hAnsi="仿宋" w:eastAsia="仿宋" w:cs="仿宋"/>
          <w:sz w:val="32"/>
          <w:szCs w:val="32"/>
        </w:rPr>
        <w:t>1:1.11</w:t>
      </w:r>
      <w:r>
        <w:rPr>
          <w:rFonts w:hint="eastAsia" w:ascii="仿宋" w:hAnsi="仿宋" w:eastAsia="仿宋" w:cs="仿宋"/>
          <w:sz w:val="32"/>
          <w:szCs w:val="32"/>
        </w:rPr>
        <w:t>、</w:t>
      </w:r>
      <w:r>
        <w:rPr>
          <w:rFonts w:ascii="仿宋" w:hAnsi="仿宋" w:eastAsia="仿宋" w:cs="仿宋"/>
          <w:sz w:val="32"/>
          <w:szCs w:val="32"/>
        </w:rPr>
        <w:t>1:1.10</w:t>
      </w:r>
      <w:r>
        <w:rPr>
          <w:rFonts w:hint="eastAsia" w:ascii="仿宋" w:hAnsi="仿宋" w:eastAsia="仿宋" w:cs="仿宋"/>
          <w:sz w:val="32"/>
          <w:szCs w:val="32"/>
        </w:rPr>
        <w:t>、</w:t>
      </w:r>
      <w:r>
        <w:rPr>
          <w:rFonts w:ascii="仿宋" w:hAnsi="仿宋" w:eastAsia="仿宋" w:cs="仿宋"/>
          <w:sz w:val="32"/>
          <w:szCs w:val="32"/>
        </w:rPr>
        <w:t>1:1.08</w:t>
      </w:r>
      <w:r>
        <w:rPr>
          <w:rFonts w:hint="eastAsia" w:ascii="仿宋" w:hAnsi="仿宋" w:eastAsia="仿宋" w:cs="仿宋"/>
          <w:sz w:val="32"/>
          <w:szCs w:val="32"/>
        </w:rPr>
        <w:t>、</w:t>
      </w:r>
      <w:r>
        <w:rPr>
          <w:rFonts w:ascii="仿宋" w:hAnsi="仿宋" w:eastAsia="仿宋" w:cs="仿宋"/>
          <w:sz w:val="32"/>
          <w:szCs w:val="32"/>
        </w:rPr>
        <w:t>1:1.06</w:t>
      </w:r>
      <w:r>
        <w:rPr>
          <w:rFonts w:hint="eastAsia" w:ascii="仿宋" w:hAnsi="仿宋" w:eastAsia="仿宋" w:cs="仿宋"/>
          <w:sz w:val="32"/>
          <w:szCs w:val="32"/>
        </w:rPr>
        <w:t>、</w:t>
      </w:r>
      <w:r>
        <w:rPr>
          <w:rFonts w:ascii="仿宋" w:hAnsi="仿宋" w:eastAsia="仿宋" w:cs="仿宋"/>
          <w:sz w:val="32"/>
          <w:szCs w:val="32"/>
        </w:rPr>
        <w:t>1:1.04</w:t>
      </w:r>
      <w:r>
        <w:rPr>
          <w:rFonts w:hint="eastAsia" w:ascii="仿宋" w:hAnsi="仿宋" w:eastAsia="仿宋" w:cs="仿宋"/>
          <w:sz w:val="32"/>
          <w:szCs w:val="32"/>
        </w:rPr>
        <w:t>、</w:t>
      </w:r>
      <w:r>
        <w:rPr>
          <w:rFonts w:ascii="仿宋" w:hAnsi="仿宋" w:eastAsia="仿宋" w:cs="仿宋"/>
          <w:sz w:val="32"/>
          <w:szCs w:val="32"/>
        </w:rPr>
        <w:t>1:1.02</w:t>
      </w: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共</w:t>
      </w:r>
      <w:r>
        <w:rPr>
          <w:rFonts w:ascii="仿宋" w:hAnsi="仿宋" w:eastAsia="仿宋" w:cs="仿宋"/>
          <w:sz w:val="32"/>
          <w:szCs w:val="32"/>
        </w:rPr>
        <w:t>8</w:t>
      </w:r>
      <w:r>
        <w:rPr>
          <w:rFonts w:hint="eastAsia" w:ascii="仿宋" w:hAnsi="仿宋" w:eastAsia="仿宋" w:cs="仿宋"/>
          <w:sz w:val="32"/>
          <w:szCs w:val="32"/>
        </w:rPr>
        <w:t>个等级（等级划分见附件</w:t>
      </w:r>
      <w:r>
        <w:rPr>
          <w:rFonts w:ascii="仿宋" w:hAnsi="仿宋" w:eastAsia="仿宋" w:cs="仿宋"/>
          <w:sz w:val="32"/>
          <w:szCs w:val="32"/>
        </w:rPr>
        <w:t>)</w:t>
      </w:r>
      <w:r>
        <w:rPr>
          <w:rFonts w:hint="eastAsia" w:ascii="仿宋" w:hAnsi="仿宋" w:eastAsia="仿宋" w:cs="仿宋"/>
          <w:sz w:val="32"/>
          <w:szCs w:val="32"/>
        </w:rPr>
        <w:t>。</w:t>
      </w:r>
    </w:p>
    <w:p w14:paraId="7B3B9985">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被征收房屋面积的认定：</w:t>
      </w:r>
    </w:p>
    <w:p w14:paraId="79FFDE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由房屋征收实施单位、房地产价格评估机构、被征收人共同对被征收房屋进行实地查勘，拍摄反映被征收房屋内外部状况的照片等影像资料，做好实地查勘记录，并在实地查勘记录上签字确认房屋建筑等级。</w:t>
      </w:r>
    </w:p>
    <w:p w14:paraId="2C7C88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被征收人应当协助房地产价格评估机构对被征收房屋进行实地查勘，提供或协助搜集被征收房屋评估所必须的情况和资料。</w:t>
      </w:r>
    </w:p>
    <w:p w14:paraId="1624FC3A">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、依照房地产价格评估机构做出的最终鉴定结果，由房屋征收实施单位给予被征收人进行货币补偿或产权调换。</w:t>
      </w:r>
    </w:p>
    <w:p w14:paraId="7937CE04">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、附属物依照附属设施拆迁补偿等级标准价目进行补偿（见附件</w:t>
      </w:r>
      <w:r>
        <w:rPr>
          <w:rFonts w:ascii="仿宋" w:hAnsi="仿宋" w:eastAsia="仿宋" w:cs="仿宋"/>
          <w:sz w:val="32"/>
          <w:szCs w:val="32"/>
        </w:rPr>
        <w:t>2</w:t>
      </w:r>
      <w:r>
        <w:rPr>
          <w:rFonts w:hint="eastAsia" w:ascii="仿宋" w:hAnsi="仿宋" w:eastAsia="仿宋" w:cs="仿宋"/>
          <w:sz w:val="32"/>
          <w:szCs w:val="32"/>
        </w:rPr>
        <w:t>）。</w:t>
      </w:r>
    </w:p>
    <w:p w14:paraId="1908F9B6">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5</w:t>
      </w:r>
      <w:r>
        <w:rPr>
          <w:rFonts w:hint="eastAsia" w:ascii="仿宋" w:hAnsi="仿宋" w:eastAsia="仿宋" w:cs="仿宋"/>
          <w:sz w:val="32"/>
          <w:szCs w:val="32"/>
        </w:rPr>
        <w:t>、闭路电视、电话移机、燃气移装等的补偿由房屋征收实施单位核实数量，回迁实行一户兑一户。</w:t>
      </w:r>
    </w:p>
    <w:p w14:paraId="46B61175">
      <w:pPr>
        <w:spacing w:line="560" w:lineRule="exact"/>
        <w:ind w:firstLine="640" w:firstLineChars="200"/>
        <w:rPr>
          <w:rFonts w:ascii="仿宋" w:hAnsi="仿宋" w:eastAsia="仿宋" w:cs="仿宋"/>
          <w:b/>
          <w:bCs/>
          <w:sz w:val="32"/>
          <w:szCs w:val="32"/>
        </w:rPr>
      </w:pPr>
      <w:r>
        <w:rPr>
          <w:rFonts w:hint="eastAsia" w:ascii="黑体" w:hAnsi="黑体" w:eastAsia="黑体" w:cs="黑体"/>
          <w:sz w:val="32"/>
          <w:szCs w:val="32"/>
        </w:rPr>
        <w:t>七、实行货币补偿的协议签订和补偿</w:t>
      </w:r>
    </w:p>
    <w:p w14:paraId="55B14B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房地产价格评估机构对被征收人的建筑物、附属物、阁楼、地下室和临时建筑面积和数量核实后，进入评估程序，评估结果得出后，经房屋征收实施单位和被征收人核实无误，签字认可，签订征收补偿协议，腾空房屋（具备拆除条件），办理房屋交接手续，一次性付清所有补偿款项。</w:t>
      </w:r>
    </w:p>
    <w:p w14:paraId="4B85989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（二）搬迁补助费：被征收房屋合法建筑面积在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平方米的，超过部分每平方米支付搬迁补助费</w:t>
      </w:r>
      <w:r>
        <w:rPr>
          <w:rFonts w:ascii="仿宋" w:hAnsi="仿宋" w:eastAsia="仿宋" w:cs="仿宋"/>
          <w:sz w:val="32"/>
          <w:szCs w:val="32"/>
        </w:rPr>
        <w:t>11</w:t>
      </w:r>
      <w:r>
        <w:rPr>
          <w:rFonts w:hint="eastAsia" w:ascii="仿宋" w:hAnsi="仿宋" w:eastAsia="仿宋" w:cs="仿宋"/>
          <w:sz w:val="32"/>
          <w:szCs w:val="32"/>
        </w:rPr>
        <w:t>元。</w:t>
      </w:r>
    </w:p>
    <w:p w14:paraId="1DE109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平方米的，超过部分每平方米月支付临时安置补助费</w:t>
      </w:r>
      <w:r>
        <w:rPr>
          <w:rFonts w:ascii="仿宋" w:hAnsi="仿宋" w:eastAsia="仿宋" w:cs="仿宋"/>
          <w:sz w:val="32"/>
          <w:szCs w:val="32"/>
        </w:rPr>
        <w:t>6</w:t>
      </w:r>
      <w:r>
        <w:rPr>
          <w:rFonts w:hint="eastAsia" w:ascii="仿宋" w:hAnsi="仿宋" w:eastAsia="仿宋" w:cs="仿宋"/>
          <w:sz w:val="32"/>
          <w:szCs w:val="32"/>
        </w:rPr>
        <w:t>元。由房屋征收实施单位一次性支付</w:t>
      </w:r>
      <w:r>
        <w:rPr>
          <w:rFonts w:ascii="仿宋" w:hAnsi="仿宋" w:eastAsia="仿宋" w:cs="仿宋"/>
          <w:sz w:val="32"/>
          <w:szCs w:val="32"/>
        </w:rPr>
        <w:t>6</w:t>
      </w:r>
      <w:r>
        <w:rPr>
          <w:rFonts w:hint="eastAsia" w:ascii="仿宋" w:hAnsi="仿宋" w:eastAsia="仿宋" w:cs="仿宋"/>
          <w:sz w:val="32"/>
          <w:szCs w:val="32"/>
        </w:rPr>
        <w:t>个月。</w:t>
      </w:r>
    </w:p>
    <w:p w14:paraId="7D62EEF6">
      <w:pPr>
        <w:spacing w:line="560" w:lineRule="exact"/>
        <w:ind w:firstLine="640" w:firstLineChars="200"/>
        <w:rPr>
          <w:b/>
          <w:bCs/>
          <w:sz w:val="32"/>
          <w:szCs w:val="32"/>
        </w:rPr>
      </w:pPr>
      <w:r>
        <w:rPr>
          <w:rFonts w:hint="eastAsia" w:ascii="黑体" w:hAnsi="黑体" w:eastAsia="黑体" w:cs="黑体"/>
          <w:sz w:val="32"/>
          <w:szCs w:val="32"/>
        </w:rPr>
        <w:t>八、实行产权调换的协议签订和补偿</w:t>
      </w:r>
    </w:p>
    <w:p w14:paraId="7B748C3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房屋征收面积确定后，由房地产价格评估机构对附属物、阁楼、地下室、临时建筑等予以评估，评估结果得出后，经房屋征收实施单位和被征收人核实无误、签订协议、腾空房屋（具备拆除条件）、办理房屋交接手续、补偿结算、领取安置选房序号、选择回迁安置房。</w:t>
      </w:r>
    </w:p>
    <w:p w14:paraId="042695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（二）临时安置过渡期最长不超过</w:t>
      </w:r>
      <w:r>
        <w:rPr>
          <w:rFonts w:ascii="仿宋" w:hAnsi="仿宋" w:eastAsia="仿宋" w:cs="仿宋"/>
          <w:sz w:val="32"/>
          <w:szCs w:val="32"/>
        </w:rPr>
        <w:t>36</w:t>
      </w:r>
      <w:r>
        <w:rPr>
          <w:rFonts w:hint="eastAsia" w:ascii="仿宋" w:hAnsi="仿宋" w:eastAsia="仿宋" w:cs="仿宋"/>
          <w:sz w:val="32"/>
          <w:szCs w:val="32"/>
        </w:rPr>
        <w:t>个月。房屋征收实施单位应支付被征收人自搬迁之月起至用于产权调换房屋交付后六个月内的临时安置补助费，房屋征收实施单位没有在协议规定过渡期内安置被征收人的，超过</w:t>
      </w:r>
      <w:r>
        <w:rPr>
          <w:rFonts w:ascii="仿宋" w:hAnsi="仿宋" w:eastAsia="仿宋" w:cs="仿宋"/>
          <w:sz w:val="32"/>
          <w:szCs w:val="32"/>
        </w:rPr>
        <w:t>36</w:t>
      </w:r>
      <w:r>
        <w:rPr>
          <w:rFonts w:hint="eastAsia" w:ascii="仿宋" w:hAnsi="仿宋" w:eastAsia="仿宋" w:cs="仿宋"/>
          <w:sz w:val="32"/>
          <w:szCs w:val="32"/>
        </w:rPr>
        <w:t>个月之后的按</w:t>
      </w:r>
      <w:r>
        <w:rPr>
          <w:rFonts w:ascii="仿宋" w:hAnsi="仿宋" w:eastAsia="仿宋" w:cs="仿宋"/>
          <w:sz w:val="32"/>
          <w:szCs w:val="32"/>
        </w:rPr>
        <w:t>3</w:t>
      </w:r>
      <w:r>
        <w:rPr>
          <w:rFonts w:hint="eastAsia" w:ascii="仿宋" w:hAnsi="仿宋" w:eastAsia="仿宋" w:cs="仿宋"/>
          <w:sz w:val="32"/>
          <w:szCs w:val="32"/>
        </w:rPr>
        <w:t>倍支付临时安置补助费。如因不可抗力造成房屋回迁延期，由双方协商解决。</w:t>
      </w:r>
    </w:p>
    <w:p w14:paraId="348C69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（三）临时安置补助费标准为：被征收房屋建筑面积在</w:t>
      </w:r>
      <w:r>
        <w:rPr>
          <w:rFonts w:ascii="仿宋" w:hAnsi="仿宋" w:eastAsia="仿宋" w:cs="仿宋"/>
          <w:sz w:val="32"/>
          <w:szCs w:val="32"/>
        </w:rPr>
        <w:t xml:space="preserve"> 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平方米的，超出部分每平方米月支付临时安置补助费</w:t>
      </w:r>
      <w:r>
        <w:rPr>
          <w:rFonts w:ascii="仿宋" w:hAnsi="仿宋" w:eastAsia="仿宋" w:cs="仿宋"/>
          <w:sz w:val="32"/>
          <w:szCs w:val="32"/>
        </w:rPr>
        <w:t>6</w:t>
      </w:r>
      <w:r>
        <w:rPr>
          <w:rFonts w:hint="eastAsia" w:ascii="仿宋" w:hAnsi="仿宋" w:eastAsia="仿宋" w:cs="仿宋"/>
          <w:sz w:val="32"/>
          <w:szCs w:val="32"/>
        </w:rPr>
        <w:t>元。</w:t>
      </w:r>
    </w:p>
    <w:p w14:paraId="6DB6E9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（四）搬迁补助的标准为：被征收房屋建筑面积在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平方米的，超出部分每平方米支付搬迁补助费</w:t>
      </w:r>
      <w:r>
        <w:rPr>
          <w:rFonts w:ascii="仿宋" w:hAnsi="仿宋" w:eastAsia="仿宋" w:cs="仿宋"/>
          <w:sz w:val="32"/>
          <w:szCs w:val="32"/>
        </w:rPr>
        <w:t>11</w:t>
      </w:r>
      <w:r>
        <w:rPr>
          <w:rFonts w:hint="eastAsia" w:ascii="仿宋" w:hAnsi="仿宋" w:eastAsia="仿宋" w:cs="仿宋"/>
          <w:sz w:val="32"/>
          <w:szCs w:val="32"/>
        </w:rPr>
        <w:t>元。由房屋征收实施单位支付二次搬迁费。</w:t>
      </w:r>
    </w:p>
    <w:p w14:paraId="54032A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（五）实行产权调换的，依据被征收房屋可调换的面积就近靠档选择回迁安置房屋面积。</w:t>
      </w:r>
    </w:p>
    <w:p w14:paraId="5298FF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（六）按产权调换方式选择回迁安置住房的被征收人，必须按其回迁面积就近靠档的原则进行选房。</w:t>
      </w:r>
    </w:p>
    <w:p w14:paraId="71FB9ED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产权调换选房后剩余回迁面积</w:t>
      </w:r>
      <w:r>
        <w:rPr>
          <w:rFonts w:ascii="仿宋" w:hAnsi="仿宋" w:eastAsia="仿宋" w:cs="仿宋"/>
          <w:sz w:val="32"/>
          <w:szCs w:val="32"/>
        </w:rPr>
        <w:t>50</w:t>
      </w:r>
      <w:r>
        <w:rPr>
          <w:rFonts w:hint="eastAsia" w:ascii="仿宋" w:hAnsi="仿宋" w:eastAsia="仿宋" w:cs="仿宋"/>
          <w:sz w:val="32"/>
          <w:szCs w:val="32"/>
        </w:rPr>
        <w:t>平方米以上（含</w:t>
      </w:r>
      <w:r>
        <w:rPr>
          <w:rFonts w:ascii="仿宋" w:hAnsi="仿宋" w:eastAsia="仿宋" w:cs="仿宋"/>
          <w:sz w:val="32"/>
          <w:szCs w:val="32"/>
        </w:rPr>
        <w:t>50</w:t>
      </w:r>
      <w:r>
        <w:rPr>
          <w:rFonts w:hint="eastAsia" w:ascii="仿宋" w:hAnsi="仿宋" w:eastAsia="仿宋" w:cs="仿宋"/>
          <w:sz w:val="32"/>
          <w:szCs w:val="32"/>
        </w:rPr>
        <w:t>平方米）且不足回迁房最小面积的，可再次选择产权调换，也可选择货币补偿。选择产权调换的，按最小回迁房户型面积选房，不足部分按住建局提供的成本价补足余款后予以产权调换，选择货币补偿的，按确定的货币补偿价予以货币补偿。</w:t>
      </w:r>
    </w:p>
    <w:p w14:paraId="35947A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选房后剩余回迁面积不满</w:t>
      </w:r>
      <w:r>
        <w:rPr>
          <w:rFonts w:ascii="仿宋" w:hAnsi="仿宋" w:eastAsia="仿宋" w:cs="仿宋"/>
          <w:sz w:val="32"/>
          <w:szCs w:val="32"/>
        </w:rPr>
        <w:t>50</w:t>
      </w:r>
      <w:r>
        <w:rPr>
          <w:rFonts w:hint="eastAsia" w:ascii="仿宋" w:hAnsi="仿宋" w:eastAsia="仿宋" w:cs="仿宋"/>
          <w:sz w:val="32"/>
          <w:szCs w:val="32"/>
        </w:rPr>
        <w:t>平方米的，按确定的货币补偿价予以货币补偿，不能进行产权调换。</w:t>
      </w:r>
    </w:p>
    <w:p w14:paraId="528A5E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在征收范围内，被征收人仅有一处房屋，且在</w:t>
      </w:r>
      <w:r>
        <w:rPr>
          <w:rFonts w:ascii="仿宋" w:hAnsi="仿宋" w:eastAsia="仿宋" w:cs="仿宋"/>
          <w:sz w:val="32"/>
          <w:szCs w:val="32"/>
        </w:rPr>
        <w:t>50</w:t>
      </w:r>
      <w:r>
        <w:rPr>
          <w:rFonts w:hint="eastAsia" w:ascii="仿宋" w:hAnsi="仿宋" w:eastAsia="仿宋" w:cs="仿宋"/>
          <w:sz w:val="32"/>
          <w:szCs w:val="32"/>
        </w:rPr>
        <w:t>平方米以下的，原则上给予货币补偿，如自愿选择产权调换的，超出面积按住建局提供的成本价结算，补交房款后方可进行选房。</w:t>
      </w:r>
    </w:p>
    <w:p w14:paraId="09064A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（七）对于需要补交房款的被征收人，必须依照《回迁安置房合同》按期交足房款。如未按合同规定的时间付款，逾期在</w:t>
      </w:r>
      <w:r>
        <w:rPr>
          <w:rFonts w:ascii="仿宋" w:hAnsi="仿宋" w:eastAsia="仿宋" w:cs="仿宋"/>
          <w:sz w:val="32"/>
          <w:szCs w:val="32"/>
        </w:rPr>
        <w:t>30</w:t>
      </w:r>
      <w:r>
        <w:rPr>
          <w:rFonts w:hint="eastAsia" w:ascii="仿宋" w:hAnsi="仿宋" w:eastAsia="仿宋" w:cs="仿宋"/>
          <w:sz w:val="32"/>
          <w:szCs w:val="32"/>
        </w:rPr>
        <w:t>日之内，自本合同规定的应付款期限之第二天起到实际全额支付应付款之日止，被征收人按日向房屋征收实施单位支付逾期应付款万分之三的违约金，合同继续履行；逾期在</w:t>
      </w:r>
      <w:r>
        <w:rPr>
          <w:rFonts w:ascii="仿宋" w:hAnsi="仿宋" w:eastAsia="仿宋" w:cs="仿宋"/>
          <w:sz w:val="32"/>
          <w:szCs w:val="32"/>
        </w:rPr>
        <w:t>30</w:t>
      </w:r>
      <w:r>
        <w:rPr>
          <w:rFonts w:hint="eastAsia" w:ascii="仿宋" w:hAnsi="仿宋" w:eastAsia="仿宋" w:cs="仿宋"/>
          <w:sz w:val="32"/>
          <w:szCs w:val="32"/>
        </w:rPr>
        <w:t>日后，被征收人按日向房屋征收实施单位支付逾期应付款万分之五的违约金，合同继续履行</w:t>
      </w:r>
      <w:r>
        <w:rPr>
          <w:rFonts w:ascii="仿宋" w:hAnsi="仿宋" w:eastAsia="仿宋" w:cs="仿宋"/>
          <w:sz w:val="32"/>
          <w:szCs w:val="32"/>
        </w:rPr>
        <w:t>,</w:t>
      </w:r>
      <w:r>
        <w:rPr>
          <w:rFonts w:hint="eastAsia" w:ascii="仿宋" w:hAnsi="仿宋" w:eastAsia="仿宋" w:cs="仿宋"/>
          <w:sz w:val="32"/>
          <w:szCs w:val="32"/>
        </w:rPr>
        <w:t>直至违约金达到置换房屋价值，合同自行终止。</w:t>
      </w:r>
    </w:p>
    <w:p w14:paraId="7ED52FB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（八）回迁时间以房屋征收实施单位通知的时间为准。被征收人不得以任何理由拒绝回迁。回迁时被征收人应当根据所选的房屋面积补足房款及其他应交款项，方予办理相关回迁手续。</w:t>
      </w:r>
    </w:p>
    <w:p w14:paraId="7CE2EE30">
      <w:pPr>
        <w:spacing w:line="560" w:lineRule="exact"/>
        <w:ind w:firstLine="640" w:firstLineChars="200"/>
        <w:rPr>
          <w:b/>
          <w:bCs/>
          <w:sz w:val="32"/>
          <w:szCs w:val="32"/>
        </w:rPr>
      </w:pPr>
      <w:r>
        <w:rPr>
          <w:rFonts w:hint="eastAsia" w:ascii="黑体" w:hAnsi="黑体" w:eastAsia="黑体" w:cs="黑体"/>
          <w:sz w:val="32"/>
          <w:szCs w:val="32"/>
        </w:rPr>
        <w:t>九、非住宅房屋的补偿安置及搬迁补助费标准</w:t>
      </w:r>
    </w:p>
    <w:p w14:paraId="444030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非住宅房屋补偿采用货币补偿方式，国有、集体性质的房屋由房地产评估机构参照《</w:t>
      </w:r>
      <w:r>
        <w:rPr>
          <w:rFonts w:ascii="仿宋" w:hAnsi="仿宋" w:eastAsia="仿宋" w:cs="仿宋"/>
          <w:sz w:val="32"/>
          <w:szCs w:val="32"/>
        </w:rPr>
        <w:t>2013</w:t>
      </w:r>
      <w:r>
        <w:rPr>
          <w:rFonts w:hint="eastAsia" w:ascii="仿宋" w:hAnsi="仿宋" w:eastAsia="仿宋" w:cs="仿宋"/>
          <w:sz w:val="32"/>
          <w:szCs w:val="32"/>
        </w:rPr>
        <w:t>年阳城县县城普通住宅重置价格标准》进行评估确定。</w:t>
      </w:r>
    </w:p>
    <w:p w14:paraId="3BD8D4FE">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非住宅房屋的搬迁补助费标准为：商业营业用房每平方米支付</w:t>
      </w:r>
      <w:r>
        <w:rPr>
          <w:rFonts w:ascii="仿宋" w:hAnsi="仿宋" w:eastAsia="仿宋" w:cs="仿宋"/>
          <w:sz w:val="32"/>
          <w:szCs w:val="32"/>
        </w:rPr>
        <w:t>22.5</w:t>
      </w:r>
      <w:r>
        <w:rPr>
          <w:rFonts w:hint="eastAsia" w:ascii="仿宋" w:hAnsi="仿宋" w:eastAsia="仿宋" w:cs="仿宋"/>
          <w:sz w:val="32"/>
          <w:szCs w:val="32"/>
        </w:rPr>
        <w:t>元，生产用房每平方米支付</w:t>
      </w:r>
      <w:r>
        <w:rPr>
          <w:rFonts w:ascii="仿宋" w:hAnsi="仿宋" w:eastAsia="仿宋" w:cs="仿宋"/>
          <w:sz w:val="32"/>
          <w:szCs w:val="32"/>
        </w:rPr>
        <w:t>32.5</w:t>
      </w:r>
      <w:r>
        <w:rPr>
          <w:rFonts w:hint="eastAsia" w:ascii="仿宋" w:hAnsi="仿宋" w:eastAsia="仿宋" w:cs="仿宋"/>
          <w:sz w:val="32"/>
          <w:szCs w:val="32"/>
        </w:rPr>
        <w:t>元，办公用房每平方米支付</w:t>
      </w:r>
      <w:r>
        <w:rPr>
          <w:rFonts w:ascii="仿宋" w:hAnsi="仿宋" w:eastAsia="仿宋" w:cs="仿宋"/>
          <w:sz w:val="32"/>
          <w:szCs w:val="32"/>
        </w:rPr>
        <w:t>15.5</w:t>
      </w:r>
      <w:r>
        <w:rPr>
          <w:rFonts w:hint="eastAsia" w:ascii="仿宋" w:hAnsi="仿宋" w:eastAsia="仿宋" w:cs="仿宋"/>
          <w:sz w:val="32"/>
          <w:szCs w:val="32"/>
        </w:rPr>
        <w:t>元，仓储用房每平方米支付</w:t>
      </w:r>
      <w:r>
        <w:rPr>
          <w:rFonts w:ascii="仿宋" w:hAnsi="仿宋" w:eastAsia="仿宋" w:cs="仿宋"/>
          <w:sz w:val="32"/>
          <w:szCs w:val="32"/>
        </w:rPr>
        <w:t>22.5</w:t>
      </w:r>
      <w:r>
        <w:rPr>
          <w:rFonts w:hint="eastAsia" w:ascii="仿宋" w:hAnsi="仿宋" w:eastAsia="仿宋" w:cs="仿宋"/>
          <w:sz w:val="32"/>
          <w:szCs w:val="32"/>
        </w:rPr>
        <w:t>元，特殊设备的搬迁费由房地产评估机构评估确定。</w:t>
      </w:r>
    </w:p>
    <w:p w14:paraId="456F11B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因征收房屋造成非住宅房屋停产停业的，招用人员工资补偿按照人力资源和社会保障部门备案的劳动用工合同在册（在岗）人员，经人社部门核实后，按劳动合同法有关规定给予一次性经济补偿。</w:t>
      </w:r>
    </w:p>
    <w:p w14:paraId="0266F7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经营性补偿经税务部门审核，按上一年度平均税后利润的</w:t>
      </w:r>
      <w:r>
        <w:rPr>
          <w:rFonts w:ascii="仿宋" w:hAnsi="仿宋" w:eastAsia="仿宋" w:cs="仿宋"/>
          <w:sz w:val="32"/>
          <w:szCs w:val="32"/>
        </w:rPr>
        <w:t>60</w:t>
      </w:r>
      <w:r>
        <w:rPr>
          <w:rFonts w:hint="eastAsia" w:ascii="仿宋" w:hAnsi="仿宋" w:eastAsia="仿宋" w:cs="仿宋"/>
          <w:sz w:val="32"/>
          <w:szCs w:val="32"/>
        </w:rPr>
        <w:t>％计算。</w:t>
      </w:r>
    </w:p>
    <w:p w14:paraId="577BA9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造成全部停产停业的，补偿期限为</w:t>
      </w:r>
      <w:r>
        <w:rPr>
          <w:rFonts w:ascii="仿宋" w:hAnsi="仿宋" w:eastAsia="仿宋" w:cs="仿宋"/>
          <w:sz w:val="32"/>
          <w:szCs w:val="32"/>
        </w:rPr>
        <w:t>6</w:t>
      </w:r>
      <w:r>
        <w:rPr>
          <w:rFonts w:hint="eastAsia" w:ascii="仿宋" w:hAnsi="仿宋" w:eastAsia="仿宋" w:cs="仿宋"/>
          <w:sz w:val="32"/>
          <w:szCs w:val="32"/>
        </w:rPr>
        <w:t>个月，造成部分停产停业的，补偿期限为</w:t>
      </w:r>
      <w:r>
        <w:rPr>
          <w:rFonts w:ascii="仿宋" w:hAnsi="仿宋" w:eastAsia="仿宋" w:cs="仿宋"/>
          <w:sz w:val="32"/>
          <w:szCs w:val="32"/>
        </w:rPr>
        <w:t>3</w:t>
      </w:r>
      <w:r>
        <w:rPr>
          <w:rFonts w:hint="eastAsia" w:ascii="仿宋" w:hAnsi="仿宋" w:eastAsia="仿宋" w:cs="仿宋"/>
          <w:sz w:val="32"/>
          <w:szCs w:val="32"/>
        </w:rPr>
        <w:t>个月。</w:t>
      </w:r>
    </w:p>
    <w:p w14:paraId="1A7502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征收决定公告发布之日前已停产停业的，不给予补偿。</w:t>
      </w:r>
    </w:p>
    <w:p w14:paraId="71E01072">
      <w:pPr>
        <w:spacing w:line="560" w:lineRule="exact"/>
        <w:ind w:firstLine="640" w:firstLineChars="200"/>
        <w:rPr>
          <w:b/>
          <w:bCs/>
          <w:sz w:val="32"/>
          <w:szCs w:val="32"/>
        </w:rPr>
      </w:pPr>
      <w:r>
        <w:rPr>
          <w:rFonts w:hint="eastAsia" w:ascii="黑体" w:hAnsi="黑体" w:eastAsia="黑体" w:cs="黑体"/>
          <w:sz w:val="32"/>
          <w:szCs w:val="32"/>
        </w:rPr>
        <w:t>十、奖励办法</w:t>
      </w:r>
    </w:p>
    <w:p w14:paraId="701ED6FE">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签订协议后，</w:t>
      </w:r>
      <w:r>
        <w:rPr>
          <w:rFonts w:ascii="仿宋" w:hAnsi="仿宋" w:eastAsia="仿宋" w:cs="仿宋"/>
          <w:sz w:val="32"/>
          <w:szCs w:val="32"/>
        </w:rPr>
        <w:t>10</w:t>
      </w:r>
      <w:r>
        <w:rPr>
          <w:rFonts w:hint="eastAsia" w:ascii="仿宋" w:hAnsi="仿宋" w:eastAsia="仿宋" w:cs="仿宋"/>
          <w:sz w:val="32"/>
          <w:szCs w:val="32"/>
        </w:rPr>
        <w:t>天内完成搬迁移交房屋的，按合法建筑面积</w:t>
      </w:r>
      <w:r>
        <w:rPr>
          <w:rFonts w:ascii="仿宋" w:hAnsi="仿宋" w:eastAsia="仿宋" w:cs="仿宋"/>
          <w:sz w:val="32"/>
          <w:szCs w:val="32"/>
        </w:rPr>
        <w:t>150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㎡给予奖励，第</w:t>
      </w:r>
      <w:r>
        <w:rPr>
          <w:rFonts w:ascii="仿宋" w:hAnsi="仿宋" w:eastAsia="仿宋" w:cs="仿宋"/>
          <w:sz w:val="32"/>
          <w:szCs w:val="32"/>
        </w:rPr>
        <w:t>11</w:t>
      </w:r>
      <w:r>
        <w:rPr>
          <w:rFonts w:hint="eastAsia" w:ascii="仿宋" w:hAnsi="仿宋" w:eastAsia="仿宋" w:cs="仿宋"/>
          <w:sz w:val="32"/>
          <w:szCs w:val="32"/>
        </w:rPr>
        <w:t>天至第</w:t>
      </w:r>
      <w:r>
        <w:rPr>
          <w:rFonts w:ascii="仿宋" w:hAnsi="仿宋" w:eastAsia="仿宋" w:cs="仿宋"/>
          <w:sz w:val="32"/>
          <w:szCs w:val="32"/>
        </w:rPr>
        <w:t>16</w:t>
      </w:r>
      <w:r>
        <w:rPr>
          <w:rFonts w:hint="eastAsia" w:ascii="仿宋" w:hAnsi="仿宋" w:eastAsia="仿宋" w:cs="仿宋"/>
          <w:sz w:val="32"/>
          <w:szCs w:val="32"/>
        </w:rPr>
        <w:t>天完成搬迁移交房屋的，按合法建筑面积</w:t>
      </w:r>
      <w:r>
        <w:rPr>
          <w:rFonts w:ascii="仿宋" w:hAnsi="仿宋" w:eastAsia="仿宋" w:cs="仿宋"/>
          <w:sz w:val="32"/>
          <w:szCs w:val="32"/>
        </w:rPr>
        <w:t>100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㎡给予奖励，之后开始搬迁移交房屋的不予奖励。</w:t>
      </w:r>
    </w:p>
    <w:p w14:paraId="7B32938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十一、产权调换的相关事项</w:t>
      </w:r>
    </w:p>
    <w:p w14:paraId="791301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（一）房屋征收实施单位为被征收人统一办理《不动产权证书》，属于被征收面积部分的办理费用由房屋征收实施单位负担，超出被征收部分面积的费用由被征收人负担。</w:t>
      </w:r>
    </w:p>
    <w:p w14:paraId="75AD7C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（二）房屋维修基金按照住宅维修资金管理规定，由房屋所有权人缴纳。</w:t>
      </w:r>
    </w:p>
    <w:p w14:paraId="3DE8CA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回迁房的所有权人应当在办理房屋入住手续前，将首期住宅专项维修基金交房屋征收实施单位，并存入住宅专项维修资金专户。</w:t>
      </w:r>
    </w:p>
    <w:p w14:paraId="52D26D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住宅专项维修资金是用于住宅共同部位、共用设备设施保修期满后的维修和更新、改造，不得挪作他用。</w:t>
      </w:r>
    </w:p>
    <w:p w14:paraId="7E5DF27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十二、征收与补偿中的争议处理</w:t>
      </w:r>
    </w:p>
    <w:p w14:paraId="2926CD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如不服阳城县人民政府房屋征收决定的，可在《阳城县人民政府关于实施南北大道道路改造工程房屋征收决定的公告》发布之日起六十日内向晋城市人民政府申请行政复议，或在六个月内向长治市中级人民法院提起行政诉讼。被征收人在规定期限内，不申请行政复议或者不提起行政诉讼，在《阳城县人民政府关于实施南北大道道路改造工程房屋征收决定的公告》的期限内又不搬迁的，由阳城县人民政府依法申请人民法院强制执行。</w:t>
      </w:r>
    </w:p>
    <w:p w14:paraId="6F44DD0E">
      <w:pPr>
        <w:spacing w:line="560" w:lineRule="exact"/>
        <w:ind w:firstLine="640" w:firstLineChars="200"/>
        <w:rPr>
          <w:b/>
          <w:bCs/>
          <w:sz w:val="32"/>
          <w:szCs w:val="32"/>
        </w:rPr>
      </w:pPr>
      <w:r>
        <w:rPr>
          <w:rFonts w:hint="eastAsia" w:ascii="黑体" w:hAnsi="黑体" w:eastAsia="黑体" w:cs="黑体"/>
          <w:sz w:val="32"/>
          <w:szCs w:val="32"/>
        </w:rPr>
        <w:t>十三、征收搬迁时限</w:t>
      </w:r>
    </w:p>
    <w:p w14:paraId="1B4A75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征收及搬迁时限：自《阳城县人民政府关于实施南北大道道路改造工程房屋征收决定的公告》之日起六个月内。</w:t>
      </w:r>
    </w:p>
    <w:p w14:paraId="7E17E91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十四、本方案未尽事宜，按有关法律法规的规定或房屋征收部门的补充方案执行。</w:t>
      </w:r>
    </w:p>
    <w:p w14:paraId="6C97FD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、房屋等级划分标准和兑换比例</w:t>
      </w:r>
    </w:p>
    <w:p w14:paraId="2FD0EF96">
      <w:pPr>
        <w:spacing w:line="56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、附属物设施拆迁补偿等级标准价目表</w:t>
      </w:r>
    </w:p>
    <w:p w14:paraId="59DCD279">
      <w:pPr>
        <w:rPr>
          <w:b/>
          <w:bCs/>
          <w:sz w:val="28"/>
          <w:szCs w:val="28"/>
        </w:rPr>
      </w:pPr>
    </w:p>
    <w:p w14:paraId="6D960CCA">
      <w:pPr>
        <w:rPr>
          <w:b/>
          <w:bCs/>
          <w:sz w:val="28"/>
          <w:szCs w:val="28"/>
        </w:rPr>
      </w:pPr>
      <w:r>
        <w:rPr>
          <w:rFonts w:hint="eastAsia"/>
          <w:b/>
          <w:bCs/>
          <w:sz w:val="28"/>
          <w:szCs w:val="28"/>
        </w:rPr>
        <w:t>附件</w:t>
      </w:r>
      <w:r>
        <w:rPr>
          <w:b/>
          <w:bCs/>
          <w:sz w:val="28"/>
          <w:szCs w:val="28"/>
        </w:rPr>
        <w:t>1</w:t>
      </w:r>
    </w:p>
    <w:p w14:paraId="4C1D3060">
      <w:pPr>
        <w:jc w:val="center"/>
        <w:rPr>
          <w:b/>
          <w:bCs/>
          <w:sz w:val="28"/>
          <w:szCs w:val="28"/>
        </w:rPr>
      </w:pPr>
      <w:r>
        <w:rPr>
          <w:rFonts w:hint="eastAsia"/>
          <w:b/>
          <w:bCs/>
          <w:sz w:val="28"/>
          <w:szCs w:val="28"/>
        </w:rPr>
        <w:t>房屋等级划分标准</w:t>
      </w:r>
    </w:p>
    <w:tbl>
      <w:tblPr>
        <w:tblStyle w:val="5"/>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060"/>
        <w:gridCol w:w="1512"/>
      </w:tblGrid>
      <w:tr w14:paraId="0A19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24" w:type="dxa"/>
            <w:noWrap/>
            <w:vAlign w:val="center"/>
          </w:tcPr>
          <w:p w14:paraId="566240AB">
            <w:pPr>
              <w:jc w:val="center"/>
              <w:rPr>
                <w:rFonts w:ascii="宋体" w:cs="宋体"/>
              </w:rPr>
            </w:pPr>
            <w:r>
              <w:rPr>
                <w:rFonts w:hint="eastAsia" w:ascii="宋体" w:hAnsi="宋体" w:cs="宋体"/>
              </w:rPr>
              <w:t>等级</w:t>
            </w:r>
          </w:p>
        </w:tc>
        <w:tc>
          <w:tcPr>
            <w:tcW w:w="6060" w:type="dxa"/>
            <w:noWrap/>
            <w:vAlign w:val="center"/>
          </w:tcPr>
          <w:p w14:paraId="7B3F1ADD">
            <w:pPr>
              <w:jc w:val="center"/>
              <w:rPr>
                <w:rFonts w:ascii="宋体" w:cs="宋体"/>
              </w:rPr>
            </w:pPr>
            <w:r>
              <w:rPr>
                <w:rFonts w:hint="eastAsia" w:ascii="宋体" w:hAnsi="宋体" w:cs="宋体"/>
              </w:rPr>
              <w:t>划</w:t>
            </w:r>
            <w:r>
              <w:rPr>
                <w:rFonts w:ascii="宋体" w:hAnsi="宋体" w:cs="宋体"/>
              </w:rPr>
              <w:t xml:space="preserve">  </w:t>
            </w:r>
            <w:r>
              <w:rPr>
                <w:rFonts w:hint="eastAsia" w:ascii="宋体" w:hAnsi="宋体" w:cs="宋体"/>
              </w:rPr>
              <w:t>分</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准</w:t>
            </w:r>
          </w:p>
        </w:tc>
        <w:tc>
          <w:tcPr>
            <w:tcW w:w="1512" w:type="dxa"/>
            <w:noWrap/>
            <w:vAlign w:val="center"/>
          </w:tcPr>
          <w:p w14:paraId="1D1D32FE">
            <w:pPr>
              <w:jc w:val="center"/>
              <w:rPr>
                <w:rFonts w:ascii="宋体" w:cs="宋体"/>
              </w:rPr>
            </w:pPr>
            <w:r>
              <w:rPr>
                <w:rFonts w:hint="eastAsia" w:ascii="宋体" w:hAnsi="宋体" w:cs="宋体"/>
              </w:rPr>
              <w:t>兑换比例</w:t>
            </w:r>
          </w:p>
        </w:tc>
      </w:tr>
      <w:tr w14:paraId="0470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92518C2">
            <w:pPr>
              <w:jc w:val="center"/>
              <w:rPr>
                <w:rFonts w:ascii="宋体" w:cs="宋体"/>
              </w:rPr>
            </w:pPr>
            <w:r>
              <w:rPr>
                <w:rFonts w:ascii="宋体" w:hAnsi="宋体" w:cs="宋体"/>
              </w:rPr>
              <w:t>1</w:t>
            </w:r>
          </w:p>
        </w:tc>
        <w:tc>
          <w:tcPr>
            <w:tcW w:w="6060" w:type="dxa"/>
            <w:noWrap/>
            <w:vAlign w:val="center"/>
          </w:tcPr>
          <w:p w14:paraId="6D58A9D4">
            <w:pPr>
              <w:jc w:val="left"/>
              <w:rPr>
                <w:rFonts w:ascii="宋体" w:cs="宋体"/>
              </w:rPr>
            </w:pPr>
            <w:r>
              <w:rPr>
                <w:rFonts w:hint="eastAsia" w:ascii="宋体" w:hAnsi="宋体" w:cs="宋体"/>
              </w:rPr>
              <w:t>砖混结构，全现浇顶，地圈梁，构造柱，</w:t>
            </w:r>
            <w:r>
              <w:rPr>
                <w:rFonts w:ascii="宋体" w:hAnsi="宋体" w:cs="宋体"/>
              </w:rPr>
              <w:t>2005</w:t>
            </w:r>
            <w:r>
              <w:rPr>
                <w:rFonts w:hint="eastAsia" w:ascii="宋体" w:hAnsi="宋体" w:cs="宋体"/>
              </w:rPr>
              <w:t>年以后修建的，水、暖、电、卫齐全，地砖地面，防盗门，断桥隔热或塑钢双玻中空窗，外墙贴面。</w:t>
            </w:r>
          </w:p>
        </w:tc>
        <w:tc>
          <w:tcPr>
            <w:tcW w:w="1512" w:type="dxa"/>
            <w:noWrap/>
            <w:vAlign w:val="center"/>
          </w:tcPr>
          <w:p w14:paraId="29A93818">
            <w:pPr>
              <w:jc w:val="center"/>
              <w:rPr>
                <w:rFonts w:ascii="宋体" w:cs="宋体"/>
              </w:rPr>
            </w:pPr>
            <w:r>
              <w:rPr>
                <w:rFonts w:ascii="宋体" w:hAnsi="宋体" w:cs="宋体"/>
              </w:rPr>
              <w:t>1:1.12</w:t>
            </w:r>
          </w:p>
        </w:tc>
      </w:tr>
      <w:tr w14:paraId="2CFD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193F6DF6">
            <w:pPr>
              <w:jc w:val="center"/>
              <w:rPr>
                <w:rFonts w:ascii="宋体" w:cs="宋体"/>
              </w:rPr>
            </w:pPr>
            <w:r>
              <w:rPr>
                <w:rFonts w:ascii="宋体" w:hAnsi="宋体" w:cs="宋体"/>
              </w:rPr>
              <w:t>2</w:t>
            </w:r>
          </w:p>
        </w:tc>
        <w:tc>
          <w:tcPr>
            <w:tcW w:w="6060" w:type="dxa"/>
            <w:noWrap/>
            <w:vAlign w:val="center"/>
          </w:tcPr>
          <w:p w14:paraId="7FEBA278">
            <w:pPr>
              <w:jc w:val="left"/>
              <w:rPr>
                <w:rFonts w:ascii="宋体" w:cs="宋体"/>
              </w:rPr>
            </w:pPr>
            <w:r>
              <w:rPr>
                <w:rFonts w:hint="eastAsia" w:ascii="宋体" w:hAnsi="宋体" w:cs="宋体"/>
              </w:rPr>
              <w:t>砖混结构，现浇顶，</w:t>
            </w:r>
            <w:r>
              <w:rPr>
                <w:rFonts w:ascii="宋体" w:hAnsi="宋体" w:cs="宋体"/>
              </w:rPr>
              <w:t>2000</w:t>
            </w:r>
            <w:r>
              <w:rPr>
                <w:rFonts w:hint="eastAsia" w:ascii="宋体" w:hAnsi="宋体" w:cs="宋体"/>
              </w:rPr>
              <w:t>年以后修建的，水、暖、电、卫齐全，地砖地面，铝合金或塑钢门窗，外墙抹灰。</w:t>
            </w:r>
          </w:p>
        </w:tc>
        <w:tc>
          <w:tcPr>
            <w:tcW w:w="1512" w:type="dxa"/>
            <w:noWrap/>
            <w:vAlign w:val="center"/>
          </w:tcPr>
          <w:p w14:paraId="31898007">
            <w:pPr>
              <w:jc w:val="center"/>
              <w:rPr>
                <w:rFonts w:ascii="宋体" w:cs="宋体"/>
              </w:rPr>
            </w:pPr>
            <w:r>
              <w:rPr>
                <w:rFonts w:ascii="宋体" w:hAnsi="宋体" w:cs="宋体"/>
              </w:rPr>
              <w:t>1:1.11</w:t>
            </w:r>
          </w:p>
        </w:tc>
      </w:tr>
      <w:tr w14:paraId="7883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3F77F2E">
            <w:pPr>
              <w:jc w:val="center"/>
              <w:rPr>
                <w:rFonts w:ascii="宋体" w:cs="宋体"/>
              </w:rPr>
            </w:pPr>
            <w:r>
              <w:rPr>
                <w:rFonts w:ascii="宋体" w:hAnsi="宋体" w:cs="宋体"/>
              </w:rPr>
              <w:t>3</w:t>
            </w:r>
          </w:p>
        </w:tc>
        <w:tc>
          <w:tcPr>
            <w:tcW w:w="6060" w:type="dxa"/>
            <w:noWrap/>
            <w:vAlign w:val="center"/>
          </w:tcPr>
          <w:p w14:paraId="74484CF3">
            <w:pPr>
              <w:jc w:val="left"/>
              <w:rPr>
                <w:rFonts w:ascii="宋体" w:cs="宋体"/>
              </w:rPr>
            </w:pPr>
            <w:r>
              <w:rPr>
                <w:rFonts w:hint="eastAsia" w:ascii="宋体" w:hAnsi="宋体" w:cs="宋体"/>
              </w:rPr>
              <w:t>砖混结构，预制板顶，</w:t>
            </w:r>
            <w:r>
              <w:rPr>
                <w:rFonts w:ascii="宋体" w:hAnsi="宋体" w:cs="宋体"/>
              </w:rPr>
              <w:t>2000</w:t>
            </w:r>
            <w:r>
              <w:rPr>
                <w:rFonts w:hint="eastAsia" w:ascii="宋体" w:hAnsi="宋体" w:cs="宋体"/>
              </w:rPr>
              <w:t>年以后修建的，水、暖、电、卫基本齐全，普通地砖地面，普通木门窗或部分为塑钢门窗。</w:t>
            </w:r>
          </w:p>
        </w:tc>
        <w:tc>
          <w:tcPr>
            <w:tcW w:w="1512" w:type="dxa"/>
            <w:noWrap/>
            <w:vAlign w:val="center"/>
          </w:tcPr>
          <w:p w14:paraId="3DE6B07D">
            <w:pPr>
              <w:jc w:val="center"/>
              <w:rPr>
                <w:rFonts w:ascii="宋体" w:cs="宋体"/>
              </w:rPr>
            </w:pPr>
            <w:r>
              <w:rPr>
                <w:rFonts w:ascii="宋体" w:hAnsi="宋体" w:cs="宋体"/>
              </w:rPr>
              <w:t>1:1.10</w:t>
            </w:r>
          </w:p>
        </w:tc>
      </w:tr>
      <w:tr w14:paraId="03E5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26B60B20">
            <w:pPr>
              <w:jc w:val="center"/>
              <w:rPr>
                <w:rFonts w:ascii="宋体" w:cs="宋体"/>
              </w:rPr>
            </w:pPr>
            <w:r>
              <w:rPr>
                <w:rFonts w:ascii="宋体" w:hAnsi="宋体" w:cs="宋体"/>
              </w:rPr>
              <w:t>4</w:t>
            </w:r>
          </w:p>
        </w:tc>
        <w:tc>
          <w:tcPr>
            <w:tcW w:w="6060" w:type="dxa"/>
            <w:noWrap/>
            <w:vAlign w:val="center"/>
          </w:tcPr>
          <w:p w14:paraId="1073917B">
            <w:pPr>
              <w:jc w:val="left"/>
              <w:rPr>
                <w:rFonts w:ascii="宋体" w:cs="宋体"/>
              </w:rPr>
            </w:pPr>
            <w:r>
              <w:rPr>
                <w:rFonts w:hint="eastAsia" w:ascii="宋体" w:hAnsi="宋体" w:cs="宋体"/>
              </w:rPr>
              <w:t>砖木结构，全砖墙，水、暖、电、卫基本齐全，地砖地面，塑钢门窗。</w:t>
            </w:r>
          </w:p>
        </w:tc>
        <w:tc>
          <w:tcPr>
            <w:tcW w:w="1512" w:type="dxa"/>
            <w:noWrap/>
            <w:vAlign w:val="center"/>
          </w:tcPr>
          <w:p w14:paraId="1D8108FE">
            <w:pPr>
              <w:jc w:val="center"/>
              <w:rPr>
                <w:rFonts w:ascii="宋体" w:cs="宋体"/>
              </w:rPr>
            </w:pPr>
            <w:r>
              <w:rPr>
                <w:rFonts w:ascii="宋体" w:hAnsi="宋体" w:cs="宋体"/>
              </w:rPr>
              <w:t>1:1.08</w:t>
            </w:r>
          </w:p>
        </w:tc>
      </w:tr>
      <w:tr w14:paraId="6328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62FCE33">
            <w:pPr>
              <w:jc w:val="center"/>
              <w:rPr>
                <w:rFonts w:ascii="宋体" w:cs="宋体"/>
              </w:rPr>
            </w:pPr>
            <w:r>
              <w:rPr>
                <w:rFonts w:ascii="宋体" w:hAnsi="宋体" w:cs="宋体"/>
              </w:rPr>
              <w:t>5</w:t>
            </w:r>
          </w:p>
        </w:tc>
        <w:tc>
          <w:tcPr>
            <w:tcW w:w="6060" w:type="dxa"/>
            <w:noWrap/>
            <w:vAlign w:val="center"/>
          </w:tcPr>
          <w:p w14:paraId="483269A4">
            <w:pPr>
              <w:jc w:val="left"/>
              <w:rPr>
                <w:rFonts w:ascii="宋体" w:cs="宋体"/>
              </w:rPr>
            </w:pPr>
            <w:r>
              <w:rPr>
                <w:rFonts w:hint="eastAsia" w:ascii="宋体" w:hAnsi="宋体" w:cs="宋体"/>
              </w:rPr>
              <w:t>砖木结构，砖包土坯墙，水、暖、电、卫基本齐全，普通地砖地面，普通塑钢门窗。</w:t>
            </w:r>
          </w:p>
        </w:tc>
        <w:tc>
          <w:tcPr>
            <w:tcW w:w="1512" w:type="dxa"/>
            <w:noWrap/>
            <w:vAlign w:val="center"/>
          </w:tcPr>
          <w:p w14:paraId="5B37A998">
            <w:pPr>
              <w:jc w:val="center"/>
              <w:rPr>
                <w:rFonts w:ascii="宋体" w:cs="宋体"/>
              </w:rPr>
            </w:pPr>
            <w:r>
              <w:rPr>
                <w:rFonts w:ascii="宋体" w:hAnsi="宋体" w:cs="宋体"/>
              </w:rPr>
              <w:t>1:1.06</w:t>
            </w:r>
          </w:p>
        </w:tc>
      </w:tr>
      <w:tr w14:paraId="780A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D241100">
            <w:pPr>
              <w:jc w:val="center"/>
              <w:rPr>
                <w:rFonts w:ascii="宋体" w:cs="宋体"/>
              </w:rPr>
            </w:pPr>
            <w:r>
              <w:rPr>
                <w:rFonts w:ascii="宋体" w:hAnsi="宋体" w:cs="宋体"/>
              </w:rPr>
              <w:t>6</w:t>
            </w:r>
          </w:p>
        </w:tc>
        <w:tc>
          <w:tcPr>
            <w:tcW w:w="6060" w:type="dxa"/>
            <w:noWrap/>
            <w:vAlign w:val="center"/>
          </w:tcPr>
          <w:p w14:paraId="1C4F644E">
            <w:pPr>
              <w:jc w:val="left"/>
              <w:rPr>
                <w:rFonts w:ascii="宋体" w:cs="宋体"/>
              </w:rPr>
            </w:pPr>
            <w:r>
              <w:rPr>
                <w:rFonts w:hint="eastAsia" w:ascii="宋体" w:hAnsi="宋体" w:cs="宋体"/>
              </w:rPr>
              <w:t>砖木结构，全土坯墙，水、电齐全，普通地砖或水磨石地面，普通木门窗。</w:t>
            </w:r>
          </w:p>
        </w:tc>
        <w:tc>
          <w:tcPr>
            <w:tcW w:w="1512" w:type="dxa"/>
            <w:noWrap/>
            <w:vAlign w:val="center"/>
          </w:tcPr>
          <w:p w14:paraId="6FDFA3F6">
            <w:pPr>
              <w:jc w:val="center"/>
              <w:rPr>
                <w:rFonts w:ascii="宋体" w:cs="宋体"/>
              </w:rPr>
            </w:pPr>
            <w:r>
              <w:rPr>
                <w:rFonts w:ascii="宋体" w:hAnsi="宋体" w:cs="宋体"/>
              </w:rPr>
              <w:t>1:1.04</w:t>
            </w:r>
          </w:p>
        </w:tc>
      </w:tr>
      <w:tr w14:paraId="0CDB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3214200E">
            <w:pPr>
              <w:jc w:val="center"/>
              <w:rPr>
                <w:rFonts w:ascii="宋体" w:cs="宋体"/>
              </w:rPr>
            </w:pPr>
            <w:r>
              <w:rPr>
                <w:rFonts w:ascii="宋体" w:hAnsi="宋体" w:cs="宋体"/>
              </w:rPr>
              <w:t>7</w:t>
            </w:r>
          </w:p>
        </w:tc>
        <w:tc>
          <w:tcPr>
            <w:tcW w:w="6060" w:type="dxa"/>
            <w:noWrap/>
            <w:vAlign w:val="center"/>
          </w:tcPr>
          <w:p w14:paraId="1136D8F8">
            <w:pPr>
              <w:jc w:val="left"/>
              <w:rPr>
                <w:rFonts w:ascii="宋体" w:cs="宋体"/>
              </w:rPr>
            </w:pPr>
            <w:r>
              <w:rPr>
                <w:rFonts w:hint="eastAsia" w:ascii="宋体" w:hAnsi="宋体" w:cs="宋体"/>
              </w:rPr>
              <w:t>使用年限超过</w:t>
            </w:r>
            <w:r>
              <w:rPr>
                <w:rFonts w:ascii="宋体" w:hAnsi="宋体" w:cs="宋体"/>
              </w:rPr>
              <w:t>50</w:t>
            </w:r>
            <w:r>
              <w:rPr>
                <w:rFonts w:hint="eastAsia" w:ascii="宋体" w:hAnsi="宋体" w:cs="宋体"/>
              </w:rPr>
              <w:t>年的建筑，整体较完好，能基本保证正常居住和使用安全的房屋。</w:t>
            </w:r>
          </w:p>
        </w:tc>
        <w:tc>
          <w:tcPr>
            <w:tcW w:w="1512" w:type="dxa"/>
            <w:noWrap/>
            <w:vAlign w:val="center"/>
          </w:tcPr>
          <w:p w14:paraId="0BD6CFDA">
            <w:pPr>
              <w:jc w:val="center"/>
              <w:rPr>
                <w:rFonts w:ascii="宋体" w:cs="宋体"/>
              </w:rPr>
            </w:pPr>
            <w:r>
              <w:rPr>
                <w:rFonts w:ascii="宋体" w:hAnsi="宋体" w:cs="宋体"/>
              </w:rPr>
              <w:t>1:1.02</w:t>
            </w:r>
          </w:p>
        </w:tc>
      </w:tr>
      <w:tr w14:paraId="0867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24" w:type="dxa"/>
            <w:noWrap/>
            <w:vAlign w:val="center"/>
          </w:tcPr>
          <w:p w14:paraId="5CC32651">
            <w:pPr>
              <w:jc w:val="center"/>
              <w:rPr>
                <w:rFonts w:ascii="宋体" w:cs="宋体"/>
              </w:rPr>
            </w:pPr>
            <w:r>
              <w:rPr>
                <w:rFonts w:ascii="宋体" w:hAnsi="宋体" w:cs="宋体"/>
              </w:rPr>
              <w:t>8</w:t>
            </w:r>
          </w:p>
        </w:tc>
        <w:tc>
          <w:tcPr>
            <w:tcW w:w="6060" w:type="dxa"/>
            <w:noWrap/>
            <w:vAlign w:val="center"/>
          </w:tcPr>
          <w:p w14:paraId="7085EA38">
            <w:pPr>
              <w:jc w:val="left"/>
              <w:rPr>
                <w:rFonts w:ascii="宋体" w:cs="宋体"/>
              </w:rPr>
            </w:pPr>
            <w:r>
              <w:rPr>
                <w:rFonts w:hint="eastAsia" w:ascii="宋体" w:hAnsi="宋体" w:cs="宋体"/>
              </w:rPr>
              <w:t>年久失修，承重构件已属危险构件，随时有可能丧失结构稳定和承载能力的，不能保证正常居住和使用安全的房屋。</w:t>
            </w:r>
          </w:p>
        </w:tc>
        <w:tc>
          <w:tcPr>
            <w:tcW w:w="1512" w:type="dxa"/>
            <w:noWrap/>
            <w:vAlign w:val="center"/>
          </w:tcPr>
          <w:p w14:paraId="7E57CBEF">
            <w:pPr>
              <w:jc w:val="center"/>
              <w:rPr>
                <w:rFonts w:ascii="宋体" w:cs="宋体"/>
              </w:rPr>
            </w:pPr>
            <w:r>
              <w:rPr>
                <w:rFonts w:ascii="宋体" w:hAnsi="宋体" w:cs="宋体"/>
              </w:rPr>
              <w:t>1:1</w:t>
            </w:r>
          </w:p>
        </w:tc>
      </w:tr>
    </w:tbl>
    <w:p w14:paraId="47EF097C">
      <w:pPr>
        <w:rPr>
          <w:b/>
          <w:bCs/>
          <w:sz w:val="28"/>
          <w:szCs w:val="28"/>
        </w:rPr>
      </w:pPr>
    </w:p>
    <w:p w14:paraId="6C11BBF6">
      <w:pPr>
        <w:spacing w:line="240" w:lineRule="atLeast"/>
        <w:rPr>
          <w:b/>
          <w:bCs/>
        </w:rPr>
      </w:pPr>
      <w:r>
        <w:rPr>
          <w:rFonts w:hint="eastAsia"/>
          <w:b/>
          <w:bCs/>
        </w:rPr>
        <w:t>附件</w:t>
      </w:r>
      <w:r>
        <w:rPr>
          <w:b/>
          <w:bCs/>
        </w:rPr>
        <w:t xml:space="preserve">2 </w:t>
      </w:r>
    </w:p>
    <w:p w14:paraId="654C3D37">
      <w:pPr>
        <w:spacing w:line="240" w:lineRule="atLeast"/>
        <w:jc w:val="center"/>
        <w:rPr>
          <w:b/>
          <w:bCs/>
        </w:rPr>
      </w:pPr>
      <w:r>
        <w:rPr>
          <w:rFonts w:hint="eastAsia"/>
          <w:b/>
          <w:bCs/>
          <w:sz w:val="28"/>
          <w:szCs w:val="28"/>
        </w:rPr>
        <w:t>附属设施拆迁补偿等级标准价目表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44"/>
        <w:gridCol w:w="1404"/>
        <w:gridCol w:w="5053"/>
      </w:tblGrid>
      <w:tr w14:paraId="5F58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ign w:val="center"/>
          </w:tcPr>
          <w:p w14:paraId="70147128">
            <w:pPr>
              <w:jc w:val="center"/>
              <w:rPr>
                <w:rFonts w:ascii="宋体" w:cs="宋体"/>
                <w:sz w:val="21"/>
                <w:szCs w:val="21"/>
              </w:rPr>
            </w:pPr>
            <w:r>
              <w:rPr>
                <w:rFonts w:hint="eastAsia" w:ascii="宋体" w:hAnsi="宋体" w:cs="宋体"/>
                <w:sz w:val="21"/>
                <w:szCs w:val="21"/>
              </w:rPr>
              <w:t>名称</w:t>
            </w:r>
          </w:p>
        </w:tc>
        <w:tc>
          <w:tcPr>
            <w:tcW w:w="1044" w:type="dxa"/>
            <w:noWrap/>
            <w:vAlign w:val="center"/>
          </w:tcPr>
          <w:p w14:paraId="1809C388">
            <w:pPr>
              <w:jc w:val="center"/>
              <w:rPr>
                <w:rFonts w:ascii="宋体" w:cs="宋体"/>
                <w:sz w:val="21"/>
                <w:szCs w:val="21"/>
              </w:rPr>
            </w:pPr>
            <w:r>
              <w:rPr>
                <w:rFonts w:hint="eastAsia" w:ascii="宋体" w:hAnsi="宋体" w:cs="宋体"/>
                <w:sz w:val="21"/>
                <w:szCs w:val="21"/>
              </w:rPr>
              <w:t>等级</w:t>
            </w:r>
          </w:p>
        </w:tc>
        <w:tc>
          <w:tcPr>
            <w:tcW w:w="1404" w:type="dxa"/>
            <w:noWrap/>
            <w:vAlign w:val="center"/>
          </w:tcPr>
          <w:p w14:paraId="7FEDFDD8">
            <w:pPr>
              <w:jc w:val="center"/>
              <w:rPr>
                <w:rFonts w:ascii="宋体" w:cs="宋体"/>
                <w:sz w:val="21"/>
                <w:szCs w:val="21"/>
              </w:rPr>
            </w:pPr>
            <w:r>
              <w:rPr>
                <w:rFonts w:hint="eastAsia" w:ascii="宋体" w:hAnsi="宋体" w:cs="宋体"/>
                <w:sz w:val="21"/>
                <w:szCs w:val="21"/>
              </w:rPr>
              <w:t>单价（元）</w:t>
            </w:r>
          </w:p>
        </w:tc>
        <w:tc>
          <w:tcPr>
            <w:tcW w:w="5053" w:type="dxa"/>
            <w:noWrap/>
            <w:vAlign w:val="center"/>
          </w:tcPr>
          <w:p w14:paraId="3CFCAFB3">
            <w:pPr>
              <w:jc w:val="center"/>
              <w:rPr>
                <w:rFonts w:ascii="宋体" w:cs="宋体"/>
                <w:sz w:val="21"/>
                <w:szCs w:val="21"/>
              </w:rPr>
            </w:pPr>
            <w:r>
              <w:rPr>
                <w:rFonts w:hint="eastAsia" w:ascii="宋体" w:hAnsi="宋体" w:cs="宋体"/>
                <w:sz w:val="21"/>
                <w:szCs w:val="21"/>
              </w:rPr>
              <w:t>等级内容说明</w:t>
            </w:r>
          </w:p>
        </w:tc>
      </w:tr>
      <w:tr w14:paraId="42F2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21" w:type="dxa"/>
            <w:vMerge w:val="restart"/>
            <w:noWrap/>
            <w:vAlign w:val="center"/>
          </w:tcPr>
          <w:p w14:paraId="4D7B1C39">
            <w:pPr>
              <w:jc w:val="center"/>
              <w:rPr>
                <w:rFonts w:ascii="宋体" w:cs="宋体"/>
                <w:sz w:val="21"/>
                <w:szCs w:val="21"/>
              </w:rPr>
            </w:pPr>
            <w:r>
              <w:rPr>
                <w:rFonts w:hint="eastAsia" w:ascii="宋体" w:hAnsi="宋体" w:cs="宋体"/>
                <w:sz w:val="21"/>
                <w:szCs w:val="21"/>
              </w:rPr>
              <w:t>厕所</w:t>
            </w:r>
          </w:p>
        </w:tc>
        <w:tc>
          <w:tcPr>
            <w:tcW w:w="1044" w:type="dxa"/>
            <w:noWrap/>
            <w:vAlign w:val="center"/>
          </w:tcPr>
          <w:p w14:paraId="417DF761">
            <w:pPr>
              <w:jc w:val="center"/>
              <w:rPr>
                <w:rFonts w:ascii="宋体" w:cs="宋体"/>
                <w:sz w:val="21"/>
                <w:szCs w:val="21"/>
              </w:rPr>
            </w:pPr>
            <w:r>
              <w:rPr>
                <w:rFonts w:ascii="宋体" w:hAnsi="宋体" w:cs="宋体"/>
                <w:sz w:val="21"/>
                <w:szCs w:val="21"/>
              </w:rPr>
              <w:t>1</w:t>
            </w:r>
          </w:p>
        </w:tc>
        <w:tc>
          <w:tcPr>
            <w:tcW w:w="1404" w:type="dxa"/>
            <w:noWrap/>
            <w:vAlign w:val="center"/>
          </w:tcPr>
          <w:p w14:paraId="7E02E669">
            <w:pPr>
              <w:jc w:val="center"/>
              <w:rPr>
                <w:rFonts w:ascii="宋体" w:cs="宋体"/>
                <w:sz w:val="21"/>
                <w:szCs w:val="21"/>
              </w:rPr>
            </w:pPr>
            <w:r>
              <w:rPr>
                <w:rFonts w:ascii="宋体" w:hAnsi="宋体" w:cs="宋体"/>
                <w:sz w:val="21"/>
                <w:szCs w:val="21"/>
              </w:rPr>
              <w:t>750</w:t>
            </w:r>
          </w:p>
        </w:tc>
        <w:tc>
          <w:tcPr>
            <w:tcW w:w="5053" w:type="dxa"/>
            <w:noWrap/>
            <w:vAlign w:val="center"/>
          </w:tcPr>
          <w:p w14:paraId="3CC15D26">
            <w:pPr>
              <w:jc w:val="left"/>
              <w:rPr>
                <w:rFonts w:ascii="宋体" w:cs="宋体"/>
                <w:sz w:val="21"/>
                <w:szCs w:val="21"/>
              </w:rPr>
            </w:pPr>
            <w:r>
              <w:rPr>
                <w:rFonts w:hint="eastAsia" w:ascii="宋体" w:hAnsi="宋体" w:cs="宋体"/>
                <w:sz w:val="21"/>
                <w:szCs w:val="21"/>
              </w:rPr>
              <w:t>砖砌墙、围墙完好、有瓦木顶盖、深</w:t>
            </w:r>
            <w:r>
              <w:rPr>
                <w:rFonts w:ascii="宋体" w:hAnsi="宋体" w:cs="宋体"/>
                <w:sz w:val="21"/>
                <w:szCs w:val="21"/>
              </w:rPr>
              <w:t>3</w:t>
            </w:r>
            <w:r>
              <w:rPr>
                <w:rFonts w:hint="eastAsia" w:ascii="宋体" w:hAnsi="宋体" w:cs="宋体"/>
                <w:sz w:val="21"/>
                <w:szCs w:val="21"/>
              </w:rPr>
              <w:t>米、宽</w:t>
            </w:r>
            <w:r>
              <w:rPr>
                <w:rFonts w:ascii="宋体" w:hAnsi="宋体" w:cs="宋体"/>
                <w:sz w:val="21"/>
                <w:szCs w:val="21"/>
              </w:rPr>
              <w:t>2</w:t>
            </w:r>
            <w:r>
              <w:rPr>
                <w:rFonts w:hint="eastAsia" w:ascii="宋体" w:hAnsi="宋体" w:cs="宋体"/>
                <w:sz w:val="21"/>
                <w:szCs w:val="21"/>
              </w:rPr>
              <w:t>米、长</w:t>
            </w:r>
            <w:r>
              <w:rPr>
                <w:rFonts w:ascii="宋体" w:hAnsi="宋体" w:cs="宋体"/>
                <w:sz w:val="21"/>
                <w:szCs w:val="21"/>
              </w:rPr>
              <w:t>3</w:t>
            </w:r>
            <w:r>
              <w:rPr>
                <w:rFonts w:hint="eastAsia" w:ascii="宋体" w:hAnsi="宋体" w:cs="宋体"/>
                <w:sz w:val="21"/>
                <w:szCs w:val="21"/>
              </w:rPr>
              <w:t>米以上</w:t>
            </w:r>
          </w:p>
        </w:tc>
      </w:tr>
      <w:tr w14:paraId="7D72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5F55B5B6">
            <w:pPr>
              <w:jc w:val="center"/>
              <w:rPr>
                <w:rFonts w:ascii="宋体" w:cs="宋体"/>
                <w:sz w:val="21"/>
                <w:szCs w:val="21"/>
              </w:rPr>
            </w:pPr>
          </w:p>
        </w:tc>
        <w:tc>
          <w:tcPr>
            <w:tcW w:w="1044" w:type="dxa"/>
            <w:noWrap/>
            <w:vAlign w:val="center"/>
          </w:tcPr>
          <w:p w14:paraId="6711E966">
            <w:pPr>
              <w:jc w:val="center"/>
              <w:rPr>
                <w:rFonts w:ascii="宋体" w:cs="宋体"/>
                <w:sz w:val="21"/>
                <w:szCs w:val="21"/>
              </w:rPr>
            </w:pPr>
            <w:r>
              <w:rPr>
                <w:rFonts w:ascii="宋体" w:hAnsi="宋体" w:cs="宋体"/>
                <w:sz w:val="21"/>
                <w:szCs w:val="21"/>
              </w:rPr>
              <w:t>2</w:t>
            </w:r>
          </w:p>
        </w:tc>
        <w:tc>
          <w:tcPr>
            <w:tcW w:w="1404" w:type="dxa"/>
            <w:noWrap/>
            <w:vAlign w:val="center"/>
          </w:tcPr>
          <w:p w14:paraId="52D45076">
            <w:pPr>
              <w:jc w:val="center"/>
              <w:rPr>
                <w:rFonts w:ascii="宋体" w:cs="宋体"/>
                <w:sz w:val="21"/>
                <w:szCs w:val="21"/>
              </w:rPr>
            </w:pPr>
            <w:r>
              <w:rPr>
                <w:rFonts w:ascii="宋体" w:hAnsi="宋体" w:cs="宋体"/>
                <w:sz w:val="21"/>
                <w:szCs w:val="21"/>
              </w:rPr>
              <w:t>630</w:t>
            </w:r>
          </w:p>
        </w:tc>
        <w:tc>
          <w:tcPr>
            <w:tcW w:w="5053" w:type="dxa"/>
            <w:noWrap/>
            <w:vAlign w:val="center"/>
          </w:tcPr>
          <w:p w14:paraId="76E12F36">
            <w:pPr>
              <w:jc w:val="left"/>
              <w:rPr>
                <w:rFonts w:ascii="宋体" w:cs="宋体"/>
                <w:sz w:val="21"/>
                <w:szCs w:val="21"/>
              </w:rPr>
            </w:pPr>
            <w:r>
              <w:rPr>
                <w:rFonts w:hint="eastAsia" w:ascii="宋体" w:hAnsi="宋体" w:cs="宋体"/>
                <w:sz w:val="21"/>
                <w:szCs w:val="21"/>
              </w:rPr>
              <w:t>砖石砌体、围墙完好、有简易顶、深</w:t>
            </w:r>
            <w:r>
              <w:rPr>
                <w:rFonts w:ascii="宋体" w:hAnsi="宋体" w:cs="宋体"/>
                <w:sz w:val="21"/>
                <w:szCs w:val="21"/>
              </w:rPr>
              <w:t>2.5</w:t>
            </w:r>
            <w:r>
              <w:rPr>
                <w:rFonts w:hint="eastAsia" w:ascii="宋体" w:hAnsi="宋体" w:cs="宋体"/>
                <w:sz w:val="21"/>
                <w:szCs w:val="21"/>
              </w:rPr>
              <w:t>米、宽</w:t>
            </w:r>
            <w:r>
              <w:rPr>
                <w:rFonts w:ascii="宋体" w:hAnsi="宋体" w:cs="宋体"/>
                <w:sz w:val="21"/>
                <w:szCs w:val="21"/>
              </w:rPr>
              <w:t>1. 5</w:t>
            </w:r>
            <w:r>
              <w:rPr>
                <w:rFonts w:hint="eastAsia" w:ascii="宋体" w:hAnsi="宋体" w:cs="宋体"/>
                <w:sz w:val="21"/>
                <w:szCs w:val="21"/>
              </w:rPr>
              <w:t>米、长</w:t>
            </w:r>
            <w:r>
              <w:rPr>
                <w:rFonts w:ascii="宋体" w:hAnsi="宋体" w:cs="宋体"/>
                <w:sz w:val="21"/>
                <w:szCs w:val="21"/>
              </w:rPr>
              <w:t>2.5</w:t>
            </w:r>
            <w:r>
              <w:rPr>
                <w:rFonts w:hint="eastAsia" w:ascii="宋体" w:hAnsi="宋体" w:cs="宋体"/>
                <w:sz w:val="21"/>
                <w:szCs w:val="21"/>
              </w:rPr>
              <w:t>米以上</w:t>
            </w:r>
          </w:p>
        </w:tc>
      </w:tr>
      <w:tr w14:paraId="5E2C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38F71BA3">
            <w:pPr>
              <w:jc w:val="center"/>
              <w:rPr>
                <w:rFonts w:ascii="宋体" w:cs="宋体"/>
                <w:sz w:val="21"/>
                <w:szCs w:val="21"/>
              </w:rPr>
            </w:pPr>
          </w:p>
        </w:tc>
        <w:tc>
          <w:tcPr>
            <w:tcW w:w="1044" w:type="dxa"/>
            <w:noWrap/>
            <w:vAlign w:val="center"/>
          </w:tcPr>
          <w:p w14:paraId="0123A6BE">
            <w:pPr>
              <w:jc w:val="center"/>
              <w:rPr>
                <w:rFonts w:ascii="宋体" w:cs="宋体"/>
                <w:sz w:val="21"/>
                <w:szCs w:val="21"/>
              </w:rPr>
            </w:pPr>
            <w:r>
              <w:rPr>
                <w:rFonts w:ascii="宋体" w:hAnsi="宋体" w:cs="宋体"/>
                <w:sz w:val="21"/>
                <w:szCs w:val="21"/>
              </w:rPr>
              <w:t>3</w:t>
            </w:r>
          </w:p>
        </w:tc>
        <w:tc>
          <w:tcPr>
            <w:tcW w:w="1404" w:type="dxa"/>
            <w:noWrap/>
            <w:vAlign w:val="center"/>
          </w:tcPr>
          <w:p w14:paraId="577E5CBD">
            <w:pPr>
              <w:jc w:val="center"/>
              <w:rPr>
                <w:rFonts w:ascii="宋体" w:cs="宋体"/>
                <w:sz w:val="21"/>
                <w:szCs w:val="21"/>
              </w:rPr>
            </w:pPr>
            <w:r>
              <w:rPr>
                <w:rFonts w:ascii="宋体" w:hAnsi="宋体" w:cs="宋体"/>
                <w:sz w:val="21"/>
                <w:szCs w:val="21"/>
              </w:rPr>
              <w:t>390</w:t>
            </w:r>
          </w:p>
        </w:tc>
        <w:tc>
          <w:tcPr>
            <w:tcW w:w="5053" w:type="dxa"/>
            <w:noWrap/>
            <w:vAlign w:val="center"/>
          </w:tcPr>
          <w:p w14:paraId="29F530F7">
            <w:pPr>
              <w:jc w:val="left"/>
              <w:rPr>
                <w:rFonts w:ascii="宋体" w:cs="宋体"/>
                <w:sz w:val="21"/>
                <w:szCs w:val="21"/>
              </w:rPr>
            </w:pPr>
            <w:r>
              <w:rPr>
                <w:rFonts w:hint="eastAsia" w:ascii="宋体" w:hAnsi="宋体" w:cs="宋体"/>
                <w:sz w:val="21"/>
                <w:szCs w:val="21"/>
              </w:rPr>
              <w:t>其他简易厕所</w:t>
            </w:r>
          </w:p>
        </w:tc>
      </w:tr>
      <w:tr w14:paraId="6403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7C951537">
            <w:pPr>
              <w:jc w:val="center"/>
              <w:rPr>
                <w:rFonts w:ascii="宋体" w:cs="宋体"/>
                <w:sz w:val="21"/>
                <w:szCs w:val="21"/>
              </w:rPr>
            </w:pPr>
            <w:r>
              <w:rPr>
                <w:rFonts w:hint="eastAsia" w:ascii="宋体" w:hAnsi="宋体" w:cs="宋体"/>
                <w:sz w:val="21"/>
                <w:szCs w:val="21"/>
              </w:rPr>
              <w:t>猪圈</w:t>
            </w:r>
          </w:p>
        </w:tc>
        <w:tc>
          <w:tcPr>
            <w:tcW w:w="1044" w:type="dxa"/>
            <w:noWrap/>
            <w:vAlign w:val="center"/>
          </w:tcPr>
          <w:p w14:paraId="16BD5BB6">
            <w:pPr>
              <w:jc w:val="center"/>
              <w:rPr>
                <w:rFonts w:ascii="宋体" w:cs="宋体"/>
                <w:sz w:val="21"/>
                <w:szCs w:val="21"/>
              </w:rPr>
            </w:pPr>
            <w:r>
              <w:rPr>
                <w:rFonts w:ascii="宋体" w:hAnsi="宋体" w:cs="宋体"/>
                <w:sz w:val="21"/>
                <w:szCs w:val="21"/>
              </w:rPr>
              <w:t>1</w:t>
            </w:r>
          </w:p>
        </w:tc>
        <w:tc>
          <w:tcPr>
            <w:tcW w:w="1404" w:type="dxa"/>
            <w:noWrap/>
            <w:vAlign w:val="center"/>
          </w:tcPr>
          <w:p w14:paraId="664084FA">
            <w:pPr>
              <w:jc w:val="center"/>
              <w:rPr>
                <w:rFonts w:ascii="宋体" w:cs="宋体"/>
                <w:sz w:val="21"/>
                <w:szCs w:val="21"/>
              </w:rPr>
            </w:pPr>
            <w:r>
              <w:rPr>
                <w:rFonts w:ascii="宋体" w:hAnsi="宋体" w:cs="宋体"/>
                <w:sz w:val="21"/>
                <w:szCs w:val="21"/>
              </w:rPr>
              <w:t>390</w:t>
            </w:r>
          </w:p>
        </w:tc>
        <w:tc>
          <w:tcPr>
            <w:tcW w:w="5053" w:type="dxa"/>
            <w:noWrap/>
            <w:vAlign w:val="center"/>
          </w:tcPr>
          <w:p w14:paraId="7E522003">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砖砌围墙，占地面积在</w:t>
            </w:r>
            <w:r>
              <w:rPr>
                <w:rFonts w:ascii="宋体" w:hAnsi="宋体" w:cs="宋体"/>
                <w:sz w:val="21"/>
                <w:szCs w:val="21"/>
              </w:rPr>
              <w:t>8</w:t>
            </w:r>
            <w:r>
              <w:rPr>
                <w:rFonts w:hint="eastAsia" w:ascii="宋体" w:hAnsi="宋体" w:cs="宋体"/>
                <w:sz w:val="21"/>
                <w:szCs w:val="21"/>
              </w:rPr>
              <w:t>平方米以上</w:t>
            </w:r>
          </w:p>
        </w:tc>
      </w:tr>
      <w:tr w14:paraId="385C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60D1EF6E">
            <w:pPr>
              <w:jc w:val="center"/>
              <w:rPr>
                <w:rFonts w:ascii="宋体" w:cs="宋体"/>
                <w:sz w:val="21"/>
                <w:szCs w:val="21"/>
              </w:rPr>
            </w:pPr>
          </w:p>
        </w:tc>
        <w:tc>
          <w:tcPr>
            <w:tcW w:w="1044" w:type="dxa"/>
            <w:noWrap/>
            <w:vAlign w:val="center"/>
          </w:tcPr>
          <w:p w14:paraId="01EABEA3">
            <w:pPr>
              <w:jc w:val="center"/>
              <w:rPr>
                <w:rFonts w:ascii="宋体" w:cs="宋体"/>
                <w:sz w:val="21"/>
                <w:szCs w:val="21"/>
              </w:rPr>
            </w:pPr>
            <w:r>
              <w:rPr>
                <w:rFonts w:ascii="宋体" w:hAnsi="宋体" w:cs="宋体"/>
                <w:sz w:val="21"/>
                <w:szCs w:val="21"/>
              </w:rPr>
              <w:t>2</w:t>
            </w:r>
          </w:p>
        </w:tc>
        <w:tc>
          <w:tcPr>
            <w:tcW w:w="1404" w:type="dxa"/>
            <w:noWrap/>
            <w:vAlign w:val="center"/>
          </w:tcPr>
          <w:p w14:paraId="0CD8BDFF">
            <w:pPr>
              <w:jc w:val="center"/>
              <w:rPr>
                <w:rFonts w:ascii="宋体" w:cs="宋体"/>
                <w:sz w:val="21"/>
                <w:szCs w:val="21"/>
              </w:rPr>
            </w:pPr>
            <w:r>
              <w:rPr>
                <w:rFonts w:ascii="宋体" w:hAnsi="宋体" w:cs="宋体"/>
                <w:sz w:val="21"/>
                <w:szCs w:val="21"/>
              </w:rPr>
              <w:t>300</w:t>
            </w:r>
          </w:p>
        </w:tc>
        <w:tc>
          <w:tcPr>
            <w:tcW w:w="5053" w:type="dxa"/>
            <w:noWrap/>
            <w:vAlign w:val="center"/>
          </w:tcPr>
          <w:p w14:paraId="72941004">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石砌围墻，占地面积在</w:t>
            </w:r>
            <w:r>
              <w:rPr>
                <w:rFonts w:ascii="宋体" w:hAnsi="宋体" w:cs="宋体"/>
                <w:sz w:val="21"/>
                <w:szCs w:val="21"/>
              </w:rPr>
              <w:t>8</w:t>
            </w:r>
            <w:r>
              <w:rPr>
                <w:rFonts w:hint="eastAsia" w:ascii="宋体" w:hAnsi="宋体" w:cs="宋体"/>
                <w:sz w:val="21"/>
                <w:szCs w:val="21"/>
              </w:rPr>
              <w:t>平方米以上</w:t>
            </w:r>
          </w:p>
        </w:tc>
      </w:tr>
      <w:tr w14:paraId="2D71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27836E8F">
            <w:pPr>
              <w:jc w:val="center"/>
              <w:rPr>
                <w:rFonts w:ascii="宋体" w:cs="宋体"/>
                <w:sz w:val="21"/>
                <w:szCs w:val="21"/>
              </w:rPr>
            </w:pPr>
          </w:p>
        </w:tc>
        <w:tc>
          <w:tcPr>
            <w:tcW w:w="1044" w:type="dxa"/>
            <w:noWrap/>
            <w:vAlign w:val="center"/>
          </w:tcPr>
          <w:p w14:paraId="1222F1D0">
            <w:pPr>
              <w:jc w:val="center"/>
              <w:rPr>
                <w:rFonts w:ascii="宋体" w:cs="宋体"/>
                <w:sz w:val="21"/>
                <w:szCs w:val="21"/>
              </w:rPr>
            </w:pPr>
            <w:r>
              <w:rPr>
                <w:rFonts w:ascii="宋体" w:hAnsi="宋体" w:cs="宋体"/>
                <w:sz w:val="21"/>
                <w:szCs w:val="21"/>
              </w:rPr>
              <w:t>3</w:t>
            </w:r>
          </w:p>
        </w:tc>
        <w:tc>
          <w:tcPr>
            <w:tcW w:w="1404" w:type="dxa"/>
            <w:noWrap/>
            <w:vAlign w:val="center"/>
          </w:tcPr>
          <w:p w14:paraId="5D675A15">
            <w:pPr>
              <w:jc w:val="center"/>
              <w:rPr>
                <w:rFonts w:ascii="宋体" w:cs="宋体"/>
                <w:sz w:val="21"/>
                <w:szCs w:val="21"/>
              </w:rPr>
            </w:pPr>
            <w:r>
              <w:rPr>
                <w:rFonts w:ascii="宋体" w:hAnsi="宋体" w:cs="宋体"/>
                <w:sz w:val="21"/>
                <w:szCs w:val="21"/>
              </w:rPr>
              <w:t>240</w:t>
            </w:r>
          </w:p>
        </w:tc>
        <w:tc>
          <w:tcPr>
            <w:tcW w:w="5053" w:type="dxa"/>
            <w:noWrap/>
            <w:vAlign w:val="center"/>
          </w:tcPr>
          <w:p w14:paraId="44CAA5F6">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219C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020C82B2">
            <w:pPr>
              <w:jc w:val="center"/>
              <w:rPr>
                <w:rFonts w:ascii="宋体" w:cs="宋体"/>
                <w:sz w:val="21"/>
                <w:szCs w:val="21"/>
              </w:rPr>
            </w:pPr>
            <w:r>
              <w:rPr>
                <w:rFonts w:hint="eastAsia" w:ascii="宋体" w:hAnsi="宋体" w:cs="宋体"/>
                <w:sz w:val="21"/>
                <w:szCs w:val="21"/>
              </w:rPr>
              <w:t>鸡舍</w:t>
            </w:r>
          </w:p>
        </w:tc>
        <w:tc>
          <w:tcPr>
            <w:tcW w:w="1044" w:type="dxa"/>
            <w:noWrap/>
            <w:vAlign w:val="center"/>
          </w:tcPr>
          <w:p w14:paraId="3F431257">
            <w:pPr>
              <w:jc w:val="center"/>
              <w:rPr>
                <w:rFonts w:ascii="宋体" w:cs="宋体"/>
                <w:sz w:val="21"/>
                <w:szCs w:val="21"/>
              </w:rPr>
            </w:pPr>
            <w:r>
              <w:rPr>
                <w:rFonts w:ascii="宋体" w:hAnsi="宋体" w:cs="宋体"/>
                <w:sz w:val="21"/>
                <w:szCs w:val="21"/>
              </w:rPr>
              <w:t>1</w:t>
            </w:r>
          </w:p>
        </w:tc>
        <w:tc>
          <w:tcPr>
            <w:tcW w:w="1404" w:type="dxa"/>
            <w:noWrap/>
            <w:vAlign w:val="center"/>
          </w:tcPr>
          <w:p w14:paraId="431AB042">
            <w:pPr>
              <w:jc w:val="center"/>
              <w:rPr>
                <w:rFonts w:ascii="宋体" w:cs="宋体"/>
                <w:sz w:val="21"/>
                <w:szCs w:val="21"/>
              </w:rPr>
            </w:pPr>
            <w:r>
              <w:rPr>
                <w:rFonts w:ascii="宋体" w:hAnsi="宋体" w:cs="宋体"/>
                <w:sz w:val="21"/>
                <w:szCs w:val="21"/>
              </w:rPr>
              <w:t>225</w:t>
            </w:r>
          </w:p>
        </w:tc>
        <w:tc>
          <w:tcPr>
            <w:tcW w:w="5053" w:type="dxa"/>
            <w:noWrap/>
            <w:vAlign w:val="center"/>
          </w:tcPr>
          <w:p w14:paraId="3F6EF7B3">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636A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5585FC34">
            <w:pPr>
              <w:jc w:val="center"/>
              <w:rPr>
                <w:rFonts w:ascii="宋体" w:cs="宋体"/>
                <w:sz w:val="21"/>
                <w:szCs w:val="21"/>
              </w:rPr>
            </w:pPr>
          </w:p>
        </w:tc>
        <w:tc>
          <w:tcPr>
            <w:tcW w:w="1044" w:type="dxa"/>
            <w:noWrap/>
            <w:vAlign w:val="center"/>
          </w:tcPr>
          <w:p w14:paraId="3EE83FEE">
            <w:pPr>
              <w:jc w:val="center"/>
              <w:rPr>
                <w:rFonts w:ascii="宋体" w:cs="宋体"/>
                <w:sz w:val="21"/>
                <w:szCs w:val="21"/>
              </w:rPr>
            </w:pPr>
            <w:r>
              <w:rPr>
                <w:rFonts w:ascii="宋体" w:hAnsi="宋体" w:cs="宋体"/>
                <w:sz w:val="21"/>
                <w:szCs w:val="21"/>
              </w:rPr>
              <w:t>2</w:t>
            </w:r>
          </w:p>
        </w:tc>
        <w:tc>
          <w:tcPr>
            <w:tcW w:w="1404" w:type="dxa"/>
            <w:noWrap/>
            <w:vAlign w:val="center"/>
          </w:tcPr>
          <w:p w14:paraId="4176F966">
            <w:pPr>
              <w:jc w:val="center"/>
              <w:rPr>
                <w:rFonts w:ascii="宋体" w:cs="宋体"/>
                <w:sz w:val="21"/>
                <w:szCs w:val="21"/>
              </w:rPr>
            </w:pPr>
            <w:r>
              <w:rPr>
                <w:rFonts w:ascii="宋体" w:hAnsi="宋体" w:cs="宋体"/>
                <w:sz w:val="21"/>
                <w:szCs w:val="21"/>
              </w:rPr>
              <w:t>180</w:t>
            </w:r>
          </w:p>
        </w:tc>
        <w:tc>
          <w:tcPr>
            <w:tcW w:w="5053" w:type="dxa"/>
            <w:noWrap/>
            <w:vAlign w:val="center"/>
          </w:tcPr>
          <w:p w14:paraId="20DB1FE9">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3</w:t>
            </w:r>
            <w:r>
              <w:rPr>
                <w:rFonts w:hint="eastAsia" w:ascii="宋体" w:hAnsi="宋体" w:cs="宋体"/>
                <w:sz w:val="21"/>
                <w:szCs w:val="21"/>
              </w:rPr>
              <w:t>平方米以上</w:t>
            </w:r>
          </w:p>
        </w:tc>
      </w:tr>
      <w:tr w14:paraId="784C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0A563070">
            <w:pPr>
              <w:jc w:val="center"/>
              <w:rPr>
                <w:rFonts w:ascii="宋体" w:cs="宋体"/>
                <w:sz w:val="21"/>
                <w:szCs w:val="21"/>
              </w:rPr>
            </w:pPr>
          </w:p>
        </w:tc>
        <w:tc>
          <w:tcPr>
            <w:tcW w:w="1044" w:type="dxa"/>
            <w:noWrap/>
            <w:vAlign w:val="center"/>
          </w:tcPr>
          <w:p w14:paraId="2FFB1B32">
            <w:pPr>
              <w:jc w:val="center"/>
              <w:rPr>
                <w:rFonts w:ascii="宋体" w:cs="宋体"/>
                <w:sz w:val="21"/>
                <w:szCs w:val="21"/>
              </w:rPr>
            </w:pPr>
            <w:r>
              <w:rPr>
                <w:rFonts w:ascii="宋体" w:hAnsi="宋体" w:cs="宋体"/>
                <w:sz w:val="21"/>
                <w:szCs w:val="21"/>
              </w:rPr>
              <w:t>3</w:t>
            </w:r>
          </w:p>
        </w:tc>
        <w:tc>
          <w:tcPr>
            <w:tcW w:w="1404" w:type="dxa"/>
            <w:noWrap/>
            <w:vAlign w:val="center"/>
          </w:tcPr>
          <w:p w14:paraId="22CD649E">
            <w:pPr>
              <w:jc w:val="center"/>
              <w:rPr>
                <w:rFonts w:ascii="宋体" w:cs="宋体"/>
                <w:sz w:val="21"/>
                <w:szCs w:val="21"/>
              </w:rPr>
            </w:pPr>
            <w:r>
              <w:rPr>
                <w:rFonts w:ascii="宋体" w:hAnsi="宋体" w:cs="宋体"/>
                <w:sz w:val="21"/>
                <w:szCs w:val="21"/>
              </w:rPr>
              <w:t>120</w:t>
            </w:r>
          </w:p>
        </w:tc>
        <w:tc>
          <w:tcPr>
            <w:tcW w:w="5053" w:type="dxa"/>
            <w:noWrap/>
            <w:vAlign w:val="center"/>
          </w:tcPr>
          <w:p w14:paraId="774A1892">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2</w:t>
            </w:r>
            <w:r>
              <w:rPr>
                <w:rFonts w:hint="eastAsia" w:ascii="宋体" w:hAnsi="宋体" w:cs="宋体"/>
                <w:sz w:val="21"/>
                <w:szCs w:val="21"/>
              </w:rPr>
              <w:t>平方米以上</w:t>
            </w:r>
          </w:p>
        </w:tc>
      </w:tr>
      <w:tr w14:paraId="6D5F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42990F14">
            <w:pPr>
              <w:jc w:val="center"/>
              <w:rPr>
                <w:rFonts w:ascii="宋体" w:cs="宋体"/>
                <w:sz w:val="21"/>
                <w:szCs w:val="21"/>
              </w:rPr>
            </w:pPr>
            <w:r>
              <w:rPr>
                <w:rFonts w:hint="eastAsia" w:ascii="宋体" w:hAnsi="宋体" w:cs="宋体"/>
                <w:sz w:val="21"/>
                <w:szCs w:val="21"/>
              </w:rPr>
              <w:t>经济树</w:t>
            </w:r>
          </w:p>
        </w:tc>
        <w:tc>
          <w:tcPr>
            <w:tcW w:w="1044" w:type="dxa"/>
            <w:noWrap/>
            <w:vAlign w:val="center"/>
          </w:tcPr>
          <w:p w14:paraId="33E9A1B2">
            <w:pPr>
              <w:jc w:val="center"/>
              <w:rPr>
                <w:rFonts w:ascii="宋体" w:cs="宋体"/>
                <w:sz w:val="21"/>
                <w:szCs w:val="21"/>
              </w:rPr>
            </w:pPr>
            <w:r>
              <w:rPr>
                <w:rFonts w:ascii="宋体" w:hAnsi="宋体" w:cs="宋体"/>
                <w:sz w:val="21"/>
                <w:szCs w:val="21"/>
              </w:rPr>
              <w:t>1</w:t>
            </w:r>
          </w:p>
        </w:tc>
        <w:tc>
          <w:tcPr>
            <w:tcW w:w="1404" w:type="dxa"/>
            <w:noWrap/>
            <w:vAlign w:val="center"/>
          </w:tcPr>
          <w:p w14:paraId="250B7968">
            <w:pPr>
              <w:jc w:val="center"/>
              <w:rPr>
                <w:rFonts w:ascii="宋体" w:cs="宋体"/>
                <w:sz w:val="21"/>
                <w:szCs w:val="21"/>
              </w:rPr>
            </w:pPr>
            <w:r>
              <w:rPr>
                <w:rFonts w:ascii="宋体" w:hAnsi="宋体" w:cs="宋体"/>
                <w:sz w:val="21"/>
                <w:szCs w:val="21"/>
              </w:rPr>
              <w:t>180-340</w:t>
            </w:r>
          </w:p>
        </w:tc>
        <w:tc>
          <w:tcPr>
            <w:tcW w:w="5053" w:type="dxa"/>
            <w:noWrap/>
            <w:vAlign w:val="center"/>
          </w:tcPr>
          <w:p w14:paraId="29F7EC3E">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15cm</w:t>
            </w:r>
          </w:p>
        </w:tc>
      </w:tr>
      <w:tr w14:paraId="55EB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1464F992">
            <w:pPr>
              <w:jc w:val="center"/>
              <w:rPr>
                <w:rFonts w:ascii="宋体" w:cs="宋体"/>
                <w:sz w:val="21"/>
                <w:szCs w:val="21"/>
              </w:rPr>
            </w:pPr>
          </w:p>
        </w:tc>
        <w:tc>
          <w:tcPr>
            <w:tcW w:w="1044" w:type="dxa"/>
            <w:noWrap/>
            <w:vAlign w:val="center"/>
          </w:tcPr>
          <w:p w14:paraId="7FA3A1A8">
            <w:pPr>
              <w:jc w:val="center"/>
              <w:rPr>
                <w:rFonts w:ascii="宋体" w:cs="宋体"/>
                <w:sz w:val="21"/>
                <w:szCs w:val="21"/>
              </w:rPr>
            </w:pPr>
            <w:r>
              <w:rPr>
                <w:rFonts w:ascii="宋体" w:hAnsi="宋体" w:cs="宋体"/>
                <w:sz w:val="21"/>
                <w:szCs w:val="21"/>
              </w:rPr>
              <w:t>2</w:t>
            </w:r>
          </w:p>
        </w:tc>
        <w:tc>
          <w:tcPr>
            <w:tcW w:w="1404" w:type="dxa"/>
            <w:noWrap/>
            <w:vAlign w:val="center"/>
          </w:tcPr>
          <w:p w14:paraId="71E91D11">
            <w:pPr>
              <w:jc w:val="center"/>
              <w:rPr>
                <w:rFonts w:ascii="宋体" w:cs="宋体"/>
                <w:sz w:val="21"/>
                <w:szCs w:val="21"/>
              </w:rPr>
            </w:pPr>
            <w:r>
              <w:rPr>
                <w:rFonts w:ascii="宋体" w:hAnsi="宋体" w:cs="宋体"/>
                <w:sz w:val="21"/>
                <w:szCs w:val="21"/>
              </w:rPr>
              <w:t>150-180</w:t>
            </w:r>
          </w:p>
        </w:tc>
        <w:tc>
          <w:tcPr>
            <w:tcW w:w="5053" w:type="dxa"/>
            <w:noWrap/>
            <w:vAlign w:val="center"/>
          </w:tcPr>
          <w:p w14:paraId="6C21830F">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p>
        </w:tc>
      </w:tr>
      <w:tr w14:paraId="6D4C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35B49C8C">
            <w:pPr>
              <w:jc w:val="center"/>
              <w:rPr>
                <w:rFonts w:ascii="宋体" w:cs="宋体"/>
                <w:sz w:val="21"/>
                <w:szCs w:val="21"/>
              </w:rPr>
            </w:pPr>
          </w:p>
        </w:tc>
        <w:tc>
          <w:tcPr>
            <w:tcW w:w="1044" w:type="dxa"/>
            <w:noWrap/>
            <w:vAlign w:val="center"/>
          </w:tcPr>
          <w:p w14:paraId="56BAEBB6">
            <w:pPr>
              <w:jc w:val="center"/>
              <w:rPr>
                <w:rFonts w:ascii="宋体" w:cs="宋体"/>
                <w:sz w:val="21"/>
                <w:szCs w:val="21"/>
              </w:rPr>
            </w:pPr>
            <w:r>
              <w:rPr>
                <w:rFonts w:ascii="宋体" w:hAnsi="宋体" w:cs="宋体"/>
                <w:sz w:val="21"/>
                <w:szCs w:val="21"/>
              </w:rPr>
              <w:t>3</w:t>
            </w:r>
          </w:p>
        </w:tc>
        <w:tc>
          <w:tcPr>
            <w:tcW w:w="1404" w:type="dxa"/>
            <w:noWrap/>
            <w:vAlign w:val="center"/>
          </w:tcPr>
          <w:p w14:paraId="09FC5027">
            <w:pPr>
              <w:jc w:val="center"/>
              <w:rPr>
                <w:rFonts w:ascii="宋体" w:cs="宋体"/>
                <w:sz w:val="21"/>
                <w:szCs w:val="21"/>
              </w:rPr>
            </w:pPr>
            <w:r>
              <w:rPr>
                <w:rFonts w:ascii="宋体" w:hAnsi="宋体" w:cs="宋体"/>
                <w:sz w:val="21"/>
                <w:szCs w:val="21"/>
              </w:rPr>
              <w:t>90-120</w:t>
            </w:r>
          </w:p>
        </w:tc>
        <w:tc>
          <w:tcPr>
            <w:tcW w:w="5053" w:type="dxa"/>
            <w:noWrap/>
            <w:vAlign w:val="center"/>
          </w:tcPr>
          <w:p w14:paraId="452A2569">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5</w:t>
            </w:r>
            <w:r>
              <w:rPr>
                <w:rFonts w:hint="eastAsia" w:ascii="宋体" w:hAnsi="宋体" w:cs="宋体"/>
                <w:sz w:val="21"/>
                <w:szCs w:val="21"/>
              </w:rPr>
              <w:t>一一</w:t>
            </w:r>
            <w:r>
              <w:rPr>
                <w:rFonts w:ascii="宋体" w:hAnsi="宋体" w:cs="宋体"/>
                <w:sz w:val="21"/>
                <w:szCs w:val="21"/>
              </w:rPr>
              <w:t>10cm</w:t>
            </w:r>
          </w:p>
        </w:tc>
      </w:tr>
      <w:tr w14:paraId="2583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0A55A3FE">
            <w:pPr>
              <w:jc w:val="center"/>
              <w:rPr>
                <w:rFonts w:ascii="宋体" w:cs="宋体"/>
                <w:sz w:val="21"/>
                <w:szCs w:val="21"/>
              </w:rPr>
            </w:pPr>
          </w:p>
        </w:tc>
        <w:tc>
          <w:tcPr>
            <w:tcW w:w="1044" w:type="dxa"/>
            <w:noWrap/>
            <w:vAlign w:val="center"/>
          </w:tcPr>
          <w:p w14:paraId="70CD2FAA">
            <w:pPr>
              <w:jc w:val="center"/>
              <w:rPr>
                <w:rFonts w:ascii="宋体" w:cs="宋体"/>
                <w:sz w:val="21"/>
                <w:szCs w:val="21"/>
              </w:rPr>
            </w:pPr>
            <w:r>
              <w:rPr>
                <w:rFonts w:ascii="宋体" w:hAnsi="宋体" w:cs="宋体"/>
                <w:sz w:val="21"/>
                <w:szCs w:val="21"/>
              </w:rPr>
              <w:t>4</w:t>
            </w:r>
          </w:p>
        </w:tc>
        <w:tc>
          <w:tcPr>
            <w:tcW w:w="1404" w:type="dxa"/>
            <w:noWrap/>
            <w:vAlign w:val="center"/>
          </w:tcPr>
          <w:p w14:paraId="37A568D9">
            <w:pPr>
              <w:jc w:val="center"/>
              <w:rPr>
                <w:rFonts w:ascii="宋体" w:cs="宋体"/>
                <w:sz w:val="21"/>
                <w:szCs w:val="21"/>
              </w:rPr>
            </w:pPr>
            <w:r>
              <w:rPr>
                <w:rFonts w:ascii="宋体" w:hAnsi="宋体" w:cs="宋体"/>
                <w:sz w:val="21"/>
                <w:szCs w:val="21"/>
              </w:rPr>
              <w:t>60-90</w:t>
            </w:r>
          </w:p>
        </w:tc>
        <w:tc>
          <w:tcPr>
            <w:tcW w:w="5053" w:type="dxa"/>
            <w:noWrap/>
            <w:vAlign w:val="center"/>
          </w:tcPr>
          <w:p w14:paraId="2CB3D144">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4cm</w:t>
            </w:r>
            <w:r>
              <w:rPr>
                <w:rFonts w:hint="eastAsia" w:ascii="宋体" w:hAnsi="宋体" w:cs="宋体"/>
                <w:sz w:val="21"/>
                <w:szCs w:val="21"/>
              </w:rPr>
              <w:t>以下</w:t>
            </w:r>
          </w:p>
        </w:tc>
      </w:tr>
      <w:tr w14:paraId="7E8E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671FA827">
            <w:pPr>
              <w:jc w:val="center"/>
              <w:rPr>
                <w:rFonts w:ascii="宋体" w:cs="宋体"/>
                <w:sz w:val="21"/>
                <w:szCs w:val="21"/>
              </w:rPr>
            </w:pPr>
            <w:r>
              <w:rPr>
                <w:rFonts w:hint="eastAsia" w:ascii="宋体" w:hAnsi="宋体" w:cs="宋体"/>
                <w:sz w:val="21"/>
                <w:szCs w:val="21"/>
              </w:rPr>
              <w:t>木材树</w:t>
            </w:r>
          </w:p>
        </w:tc>
        <w:tc>
          <w:tcPr>
            <w:tcW w:w="1044" w:type="dxa"/>
            <w:noWrap/>
            <w:vAlign w:val="center"/>
          </w:tcPr>
          <w:p w14:paraId="4FFC5C8E">
            <w:pPr>
              <w:jc w:val="center"/>
              <w:rPr>
                <w:rFonts w:ascii="宋体" w:cs="宋体"/>
                <w:sz w:val="21"/>
                <w:szCs w:val="21"/>
              </w:rPr>
            </w:pPr>
            <w:r>
              <w:rPr>
                <w:rFonts w:ascii="宋体" w:hAnsi="宋体" w:cs="宋体"/>
                <w:sz w:val="21"/>
                <w:szCs w:val="21"/>
              </w:rPr>
              <w:t>1</w:t>
            </w:r>
          </w:p>
        </w:tc>
        <w:tc>
          <w:tcPr>
            <w:tcW w:w="1404" w:type="dxa"/>
            <w:noWrap/>
            <w:vAlign w:val="center"/>
          </w:tcPr>
          <w:p w14:paraId="15BC2F9D">
            <w:pPr>
              <w:jc w:val="center"/>
              <w:rPr>
                <w:rFonts w:ascii="宋体" w:cs="宋体"/>
                <w:sz w:val="21"/>
                <w:szCs w:val="21"/>
              </w:rPr>
            </w:pPr>
            <w:r>
              <w:rPr>
                <w:rFonts w:ascii="宋体" w:hAnsi="宋体" w:cs="宋体"/>
                <w:sz w:val="21"/>
                <w:szCs w:val="21"/>
              </w:rPr>
              <w:t>135-150</w:t>
            </w:r>
          </w:p>
        </w:tc>
        <w:tc>
          <w:tcPr>
            <w:tcW w:w="5053" w:type="dxa"/>
            <w:noWrap/>
            <w:vAlign w:val="center"/>
          </w:tcPr>
          <w:p w14:paraId="00835550">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22cm</w:t>
            </w:r>
            <w:r>
              <w:rPr>
                <w:rFonts w:hint="eastAsia" w:ascii="宋体" w:hAnsi="宋体" w:cs="宋体"/>
                <w:sz w:val="21"/>
                <w:szCs w:val="21"/>
              </w:rPr>
              <w:t>以上</w:t>
            </w:r>
          </w:p>
        </w:tc>
      </w:tr>
      <w:tr w14:paraId="47A6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3F5706BB">
            <w:pPr>
              <w:jc w:val="center"/>
              <w:rPr>
                <w:rFonts w:ascii="宋体" w:cs="宋体"/>
                <w:sz w:val="21"/>
                <w:szCs w:val="21"/>
              </w:rPr>
            </w:pPr>
          </w:p>
        </w:tc>
        <w:tc>
          <w:tcPr>
            <w:tcW w:w="1044" w:type="dxa"/>
            <w:noWrap/>
            <w:vAlign w:val="center"/>
          </w:tcPr>
          <w:p w14:paraId="47F957E2">
            <w:pPr>
              <w:jc w:val="center"/>
              <w:rPr>
                <w:rFonts w:ascii="宋体" w:cs="宋体"/>
                <w:sz w:val="21"/>
                <w:szCs w:val="21"/>
              </w:rPr>
            </w:pPr>
            <w:r>
              <w:rPr>
                <w:rFonts w:ascii="宋体" w:hAnsi="宋体" w:cs="宋体"/>
                <w:sz w:val="21"/>
                <w:szCs w:val="21"/>
              </w:rPr>
              <w:t>2</w:t>
            </w:r>
          </w:p>
        </w:tc>
        <w:tc>
          <w:tcPr>
            <w:tcW w:w="1404" w:type="dxa"/>
            <w:noWrap/>
            <w:vAlign w:val="center"/>
          </w:tcPr>
          <w:p w14:paraId="0B41DD95">
            <w:pPr>
              <w:jc w:val="center"/>
              <w:rPr>
                <w:rFonts w:ascii="宋体" w:cs="宋体"/>
                <w:sz w:val="21"/>
                <w:szCs w:val="21"/>
              </w:rPr>
            </w:pPr>
            <w:r>
              <w:rPr>
                <w:rFonts w:ascii="宋体" w:hAnsi="宋体" w:cs="宋体"/>
                <w:sz w:val="21"/>
                <w:szCs w:val="21"/>
              </w:rPr>
              <w:t>105-135</w:t>
            </w:r>
          </w:p>
        </w:tc>
        <w:tc>
          <w:tcPr>
            <w:tcW w:w="5053" w:type="dxa"/>
            <w:noWrap/>
            <w:vAlign w:val="center"/>
          </w:tcPr>
          <w:p w14:paraId="083C884D">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16</w:t>
            </w:r>
            <w:r>
              <w:rPr>
                <w:rFonts w:hint="eastAsia" w:ascii="宋体" w:hAnsi="宋体" w:cs="宋体"/>
                <w:sz w:val="21"/>
                <w:szCs w:val="21"/>
              </w:rPr>
              <w:t>一一</w:t>
            </w:r>
            <w:r>
              <w:rPr>
                <w:rFonts w:ascii="宋体" w:hAnsi="宋体" w:cs="宋体"/>
                <w:sz w:val="21"/>
                <w:szCs w:val="21"/>
              </w:rPr>
              <w:t>20cm</w:t>
            </w:r>
            <w:r>
              <w:rPr>
                <w:rFonts w:hint="eastAsia" w:ascii="宋体" w:hAnsi="宋体" w:cs="宋体"/>
                <w:sz w:val="21"/>
                <w:szCs w:val="21"/>
              </w:rPr>
              <w:t>之间</w:t>
            </w:r>
          </w:p>
        </w:tc>
      </w:tr>
      <w:tr w14:paraId="0D2D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6A02600E">
            <w:pPr>
              <w:jc w:val="center"/>
              <w:rPr>
                <w:rFonts w:ascii="宋体" w:cs="宋体"/>
                <w:sz w:val="21"/>
                <w:szCs w:val="21"/>
              </w:rPr>
            </w:pPr>
          </w:p>
        </w:tc>
        <w:tc>
          <w:tcPr>
            <w:tcW w:w="1044" w:type="dxa"/>
            <w:noWrap/>
            <w:vAlign w:val="center"/>
          </w:tcPr>
          <w:p w14:paraId="0497AEA2">
            <w:pPr>
              <w:jc w:val="center"/>
              <w:rPr>
                <w:rFonts w:ascii="宋体" w:cs="宋体"/>
                <w:sz w:val="21"/>
                <w:szCs w:val="21"/>
              </w:rPr>
            </w:pPr>
            <w:r>
              <w:rPr>
                <w:rFonts w:ascii="宋体" w:hAnsi="宋体" w:cs="宋体"/>
                <w:sz w:val="21"/>
                <w:szCs w:val="21"/>
              </w:rPr>
              <w:t>3</w:t>
            </w:r>
          </w:p>
        </w:tc>
        <w:tc>
          <w:tcPr>
            <w:tcW w:w="1404" w:type="dxa"/>
            <w:noWrap/>
            <w:vAlign w:val="center"/>
          </w:tcPr>
          <w:p w14:paraId="25D79466">
            <w:pPr>
              <w:jc w:val="center"/>
              <w:rPr>
                <w:rFonts w:ascii="宋体" w:cs="宋体"/>
                <w:sz w:val="21"/>
                <w:szCs w:val="21"/>
              </w:rPr>
            </w:pPr>
            <w:r>
              <w:rPr>
                <w:rFonts w:ascii="宋体" w:hAnsi="宋体" w:cs="宋体"/>
                <w:sz w:val="21"/>
                <w:szCs w:val="21"/>
              </w:rPr>
              <w:t>60-90</w:t>
            </w:r>
          </w:p>
        </w:tc>
        <w:tc>
          <w:tcPr>
            <w:tcW w:w="5053" w:type="dxa"/>
            <w:noWrap/>
            <w:vAlign w:val="center"/>
          </w:tcPr>
          <w:p w14:paraId="5BC96659">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r>
              <w:rPr>
                <w:rFonts w:hint="eastAsia" w:ascii="宋体" w:hAnsi="宋体" w:cs="宋体"/>
                <w:sz w:val="21"/>
                <w:szCs w:val="21"/>
              </w:rPr>
              <w:t>之间</w:t>
            </w:r>
          </w:p>
        </w:tc>
      </w:tr>
      <w:tr w14:paraId="36CB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01D12A8B">
            <w:pPr>
              <w:jc w:val="center"/>
              <w:rPr>
                <w:rFonts w:ascii="宋体" w:cs="宋体"/>
                <w:sz w:val="21"/>
                <w:szCs w:val="21"/>
              </w:rPr>
            </w:pPr>
          </w:p>
        </w:tc>
        <w:tc>
          <w:tcPr>
            <w:tcW w:w="1044" w:type="dxa"/>
            <w:noWrap/>
            <w:vAlign w:val="center"/>
          </w:tcPr>
          <w:p w14:paraId="3B15009D">
            <w:pPr>
              <w:jc w:val="center"/>
              <w:rPr>
                <w:rFonts w:ascii="宋体" w:cs="宋体"/>
                <w:sz w:val="21"/>
                <w:szCs w:val="21"/>
              </w:rPr>
            </w:pPr>
            <w:r>
              <w:rPr>
                <w:rFonts w:ascii="宋体" w:hAnsi="宋体" w:cs="宋体"/>
                <w:sz w:val="21"/>
                <w:szCs w:val="21"/>
              </w:rPr>
              <w:t>4</w:t>
            </w:r>
          </w:p>
        </w:tc>
        <w:tc>
          <w:tcPr>
            <w:tcW w:w="1404" w:type="dxa"/>
            <w:noWrap/>
            <w:vAlign w:val="center"/>
          </w:tcPr>
          <w:p w14:paraId="3FCDC03D">
            <w:pPr>
              <w:jc w:val="center"/>
              <w:rPr>
                <w:rFonts w:ascii="宋体" w:cs="宋体"/>
                <w:sz w:val="21"/>
                <w:szCs w:val="21"/>
              </w:rPr>
            </w:pPr>
            <w:r>
              <w:rPr>
                <w:rFonts w:ascii="宋体" w:hAnsi="宋体" w:cs="宋体"/>
                <w:sz w:val="21"/>
                <w:szCs w:val="21"/>
              </w:rPr>
              <w:t>15-45</w:t>
            </w:r>
          </w:p>
        </w:tc>
        <w:tc>
          <w:tcPr>
            <w:tcW w:w="5053" w:type="dxa"/>
            <w:noWrap/>
            <w:vAlign w:val="center"/>
          </w:tcPr>
          <w:p w14:paraId="4363A1EF">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6</w:t>
            </w:r>
            <w:r>
              <w:rPr>
                <w:rFonts w:hint="eastAsia" w:ascii="宋体" w:hAnsi="宋体" w:cs="宋体"/>
                <w:sz w:val="21"/>
                <w:szCs w:val="21"/>
              </w:rPr>
              <w:t>一一</w:t>
            </w:r>
            <w:r>
              <w:rPr>
                <w:rFonts w:ascii="宋体" w:hAnsi="宋体" w:cs="宋体"/>
                <w:sz w:val="21"/>
                <w:szCs w:val="21"/>
              </w:rPr>
              <w:t>10cm</w:t>
            </w:r>
            <w:r>
              <w:rPr>
                <w:rFonts w:hint="eastAsia" w:ascii="宋体" w:hAnsi="宋体" w:cs="宋体"/>
                <w:sz w:val="21"/>
                <w:szCs w:val="21"/>
              </w:rPr>
              <w:t>之间，</w:t>
            </w:r>
            <w:r>
              <w:rPr>
                <w:rFonts w:ascii="宋体" w:hAnsi="宋体" w:cs="宋体"/>
                <w:sz w:val="21"/>
                <w:szCs w:val="21"/>
              </w:rPr>
              <w:t>5cm</w:t>
            </w:r>
            <w:r>
              <w:rPr>
                <w:rFonts w:hint="eastAsia" w:ascii="宋体" w:hAnsi="宋体" w:cs="宋体"/>
                <w:sz w:val="21"/>
                <w:szCs w:val="21"/>
              </w:rPr>
              <w:t>以下桉树苗对待</w:t>
            </w:r>
          </w:p>
        </w:tc>
      </w:tr>
      <w:tr w14:paraId="3C8E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20E5DE63">
            <w:pPr>
              <w:jc w:val="center"/>
              <w:rPr>
                <w:rFonts w:ascii="宋体" w:cs="宋体"/>
                <w:sz w:val="21"/>
                <w:szCs w:val="21"/>
              </w:rPr>
            </w:pPr>
            <w:r>
              <w:rPr>
                <w:rFonts w:hint="eastAsia" w:ascii="宋体" w:hAnsi="宋体" w:cs="宋体"/>
                <w:sz w:val="21"/>
                <w:szCs w:val="21"/>
              </w:rPr>
              <w:t>门楼</w:t>
            </w:r>
          </w:p>
        </w:tc>
        <w:tc>
          <w:tcPr>
            <w:tcW w:w="1044" w:type="dxa"/>
            <w:noWrap/>
            <w:vAlign w:val="center"/>
          </w:tcPr>
          <w:p w14:paraId="3ED35DEA">
            <w:pPr>
              <w:jc w:val="center"/>
              <w:rPr>
                <w:rFonts w:ascii="宋体" w:cs="宋体"/>
                <w:sz w:val="21"/>
                <w:szCs w:val="21"/>
              </w:rPr>
            </w:pPr>
            <w:r>
              <w:rPr>
                <w:rFonts w:ascii="宋体" w:hAnsi="宋体" w:cs="宋体"/>
                <w:sz w:val="21"/>
                <w:szCs w:val="21"/>
              </w:rPr>
              <w:t>1</w:t>
            </w:r>
          </w:p>
        </w:tc>
        <w:tc>
          <w:tcPr>
            <w:tcW w:w="1404" w:type="dxa"/>
            <w:noWrap/>
            <w:vAlign w:val="center"/>
          </w:tcPr>
          <w:p w14:paraId="35D256F9">
            <w:pPr>
              <w:jc w:val="center"/>
              <w:rPr>
                <w:rFonts w:ascii="宋体" w:cs="宋体"/>
                <w:sz w:val="21"/>
                <w:szCs w:val="21"/>
              </w:rPr>
            </w:pPr>
            <w:r>
              <w:rPr>
                <w:rFonts w:ascii="宋体" w:hAnsi="宋体" w:cs="宋体"/>
                <w:sz w:val="21"/>
                <w:szCs w:val="21"/>
              </w:rPr>
              <w:t>450/</w:t>
            </w:r>
            <w:r>
              <w:rPr>
                <w:rFonts w:hint="eastAsia" w:ascii="宋体" w:hAnsi="宋体" w:cs="宋体"/>
                <w:sz w:val="21"/>
                <w:szCs w:val="21"/>
              </w:rPr>
              <w:t>㎡</w:t>
            </w:r>
          </w:p>
        </w:tc>
        <w:tc>
          <w:tcPr>
            <w:tcW w:w="5053" w:type="dxa"/>
            <w:noWrap/>
            <w:vAlign w:val="center"/>
          </w:tcPr>
          <w:p w14:paraId="08FF67FD">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w:t>
            </w:r>
            <w:r>
              <w:rPr>
                <w:rFonts w:ascii="宋体" w:cs="宋体"/>
                <w:sz w:val="21"/>
                <w:szCs w:val="21"/>
              </w:rPr>
              <w:t>,</w:t>
            </w:r>
            <w:r>
              <w:rPr>
                <w:rFonts w:hint="eastAsia" w:ascii="宋体" w:hAnsi="宋体" w:cs="宋体"/>
                <w:sz w:val="21"/>
                <w:szCs w:val="21"/>
              </w:rPr>
              <w:t>穿梭</w:t>
            </w:r>
            <w:r>
              <w:rPr>
                <w:rFonts w:ascii="宋体" w:hAnsi="宋体" w:cs="宋体"/>
                <w:sz w:val="21"/>
                <w:szCs w:val="21"/>
              </w:rPr>
              <w:t xml:space="preserve">2 </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预制块，瓷砖贴面，按每平方米计算</w:t>
            </w:r>
          </w:p>
        </w:tc>
      </w:tr>
      <w:tr w14:paraId="70C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7879B682">
            <w:pPr>
              <w:jc w:val="center"/>
              <w:rPr>
                <w:rFonts w:ascii="宋体" w:cs="宋体"/>
                <w:sz w:val="21"/>
                <w:szCs w:val="21"/>
              </w:rPr>
            </w:pPr>
          </w:p>
        </w:tc>
        <w:tc>
          <w:tcPr>
            <w:tcW w:w="1044" w:type="dxa"/>
            <w:noWrap/>
            <w:vAlign w:val="center"/>
          </w:tcPr>
          <w:p w14:paraId="4F83B5B2">
            <w:pPr>
              <w:jc w:val="center"/>
              <w:rPr>
                <w:rFonts w:ascii="宋体" w:cs="宋体"/>
                <w:sz w:val="21"/>
                <w:szCs w:val="21"/>
              </w:rPr>
            </w:pPr>
            <w:r>
              <w:rPr>
                <w:rFonts w:ascii="宋体" w:hAnsi="宋体" w:cs="宋体"/>
                <w:sz w:val="21"/>
                <w:szCs w:val="21"/>
              </w:rPr>
              <w:t>2</w:t>
            </w:r>
          </w:p>
        </w:tc>
        <w:tc>
          <w:tcPr>
            <w:tcW w:w="1404" w:type="dxa"/>
            <w:noWrap/>
            <w:vAlign w:val="center"/>
          </w:tcPr>
          <w:p w14:paraId="41FE7C7E">
            <w:pPr>
              <w:jc w:val="center"/>
              <w:rPr>
                <w:rFonts w:ascii="宋体" w:cs="宋体"/>
                <w:sz w:val="21"/>
                <w:szCs w:val="21"/>
              </w:rPr>
            </w:pPr>
            <w:r>
              <w:rPr>
                <w:rFonts w:ascii="宋体" w:hAnsi="宋体" w:cs="宋体"/>
                <w:sz w:val="21"/>
                <w:szCs w:val="21"/>
              </w:rPr>
              <w:t>360/</w:t>
            </w:r>
            <w:r>
              <w:rPr>
                <w:rFonts w:hint="eastAsia" w:ascii="宋体" w:hAnsi="宋体" w:cs="宋体"/>
                <w:sz w:val="21"/>
                <w:szCs w:val="21"/>
              </w:rPr>
              <w:t>㎡</w:t>
            </w:r>
          </w:p>
        </w:tc>
        <w:tc>
          <w:tcPr>
            <w:tcW w:w="5053" w:type="dxa"/>
            <w:noWrap/>
            <w:vAlign w:val="center"/>
          </w:tcPr>
          <w:p w14:paraId="3A0D7DCD">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米以上，穿梭</w:t>
            </w:r>
            <w:r>
              <w:rPr>
                <w:rFonts w:ascii="宋体" w:hAnsi="宋体" w:cs="宋体"/>
                <w:sz w:val="21"/>
                <w:szCs w:val="21"/>
              </w:rPr>
              <w:t>2</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w:t>
            </w:r>
            <w:r>
              <w:rPr>
                <w:rFonts w:ascii="宋体" w:cs="宋体"/>
                <w:sz w:val="21"/>
                <w:szCs w:val="21"/>
              </w:rPr>
              <w:t>,</w:t>
            </w:r>
            <w:r>
              <w:rPr>
                <w:rFonts w:hint="eastAsia" w:ascii="宋体" w:hAnsi="宋体" w:cs="宋体"/>
                <w:sz w:val="21"/>
                <w:szCs w:val="21"/>
              </w:rPr>
              <w:t>按每平方米计算</w:t>
            </w:r>
          </w:p>
        </w:tc>
      </w:tr>
      <w:tr w14:paraId="2BD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1A85A7D9">
            <w:pPr>
              <w:jc w:val="center"/>
              <w:rPr>
                <w:rFonts w:ascii="宋体" w:cs="宋体"/>
                <w:sz w:val="21"/>
                <w:szCs w:val="21"/>
              </w:rPr>
            </w:pPr>
          </w:p>
        </w:tc>
        <w:tc>
          <w:tcPr>
            <w:tcW w:w="1044" w:type="dxa"/>
            <w:noWrap/>
            <w:vAlign w:val="center"/>
          </w:tcPr>
          <w:p w14:paraId="0728374A">
            <w:pPr>
              <w:jc w:val="center"/>
              <w:rPr>
                <w:rFonts w:ascii="宋体" w:cs="宋体"/>
                <w:sz w:val="21"/>
                <w:szCs w:val="21"/>
              </w:rPr>
            </w:pPr>
            <w:r>
              <w:rPr>
                <w:rFonts w:ascii="宋体" w:hAnsi="宋体" w:cs="宋体"/>
                <w:sz w:val="21"/>
                <w:szCs w:val="21"/>
              </w:rPr>
              <w:t>3</w:t>
            </w:r>
          </w:p>
        </w:tc>
        <w:tc>
          <w:tcPr>
            <w:tcW w:w="1404" w:type="dxa"/>
            <w:noWrap/>
            <w:vAlign w:val="center"/>
          </w:tcPr>
          <w:p w14:paraId="1BC308FD">
            <w:pPr>
              <w:jc w:val="center"/>
              <w:rPr>
                <w:rFonts w:ascii="宋体" w:cs="宋体"/>
                <w:sz w:val="21"/>
                <w:szCs w:val="21"/>
              </w:rPr>
            </w:pPr>
            <w:r>
              <w:rPr>
                <w:rFonts w:ascii="宋体" w:hAnsi="宋体" w:cs="宋体"/>
                <w:sz w:val="21"/>
                <w:szCs w:val="21"/>
              </w:rPr>
              <w:t>900/</w:t>
            </w:r>
            <w:r>
              <w:rPr>
                <w:rFonts w:hint="eastAsia" w:ascii="宋体" w:hAnsi="宋体" w:cs="宋体"/>
                <w:sz w:val="21"/>
                <w:szCs w:val="21"/>
              </w:rPr>
              <w:t>个</w:t>
            </w:r>
          </w:p>
        </w:tc>
        <w:tc>
          <w:tcPr>
            <w:tcW w:w="5053" w:type="dxa"/>
            <w:noWrap/>
            <w:vAlign w:val="center"/>
          </w:tcPr>
          <w:p w14:paraId="3DE0E342">
            <w:pPr>
              <w:jc w:val="left"/>
              <w:rPr>
                <w:rFonts w:ascii="宋体" w:cs="宋体"/>
                <w:sz w:val="21"/>
                <w:szCs w:val="21"/>
              </w:rPr>
            </w:pPr>
            <w:r>
              <w:rPr>
                <w:rFonts w:hint="eastAsia" w:ascii="宋体" w:hAnsi="宋体" w:cs="宋体"/>
                <w:sz w:val="21"/>
                <w:szCs w:val="21"/>
              </w:rPr>
              <w:t>无门圪洞：只有门面墙且整齐美观，全砖砌筑，瓷砖贴面</w:t>
            </w:r>
          </w:p>
        </w:tc>
      </w:tr>
      <w:tr w14:paraId="0737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68E5556E">
            <w:pPr>
              <w:jc w:val="center"/>
              <w:rPr>
                <w:rFonts w:ascii="宋体" w:cs="宋体"/>
                <w:sz w:val="21"/>
                <w:szCs w:val="21"/>
              </w:rPr>
            </w:pPr>
          </w:p>
        </w:tc>
        <w:tc>
          <w:tcPr>
            <w:tcW w:w="1044" w:type="dxa"/>
            <w:noWrap/>
            <w:vAlign w:val="center"/>
          </w:tcPr>
          <w:p w14:paraId="30A6B533">
            <w:pPr>
              <w:jc w:val="center"/>
              <w:rPr>
                <w:rFonts w:ascii="宋体" w:cs="宋体"/>
                <w:sz w:val="21"/>
                <w:szCs w:val="21"/>
              </w:rPr>
            </w:pPr>
            <w:r>
              <w:rPr>
                <w:rFonts w:ascii="宋体" w:hAnsi="宋体" w:cs="宋体"/>
                <w:sz w:val="21"/>
                <w:szCs w:val="21"/>
              </w:rPr>
              <w:t>4</w:t>
            </w:r>
          </w:p>
        </w:tc>
        <w:tc>
          <w:tcPr>
            <w:tcW w:w="1404" w:type="dxa"/>
            <w:noWrap/>
            <w:vAlign w:val="center"/>
          </w:tcPr>
          <w:p w14:paraId="165C0D71">
            <w:pPr>
              <w:jc w:val="center"/>
              <w:rPr>
                <w:rFonts w:ascii="宋体" w:cs="宋体"/>
                <w:sz w:val="21"/>
                <w:szCs w:val="21"/>
              </w:rPr>
            </w:pPr>
            <w:r>
              <w:rPr>
                <w:rFonts w:ascii="宋体" w:hAnsi="宋体" w:cs="宋体"/>
                <w:sz w:val="21"/>
                <w:szCs w:val="21"/>
              </w:rPr>
              <w:t>750/</w:t>
            </w:r>
            <w:r>
              <w:rPr>
                <w:rFonts w:hint="eastAsia" w:ascii="宋体" w:hAnsi="宋体" w:cs="宋体"/>
                <w:sz w:val="21"/>
                <w:szCs w:val="21"/>
              </w:rPr>
              <w:t>个</w:t>
            </w:r>
          </w:p>
        </w:tc>
        <w:tc>
          <w:tcPr>
            <w:tcW w:w="5053" w:type="dxa"/>
            <w:noWrap/>
            <w:vAlign w:val="center"/>
          </w:tcPr>
          <w:p w14:paraId="590B328D">
            <w:pPr>
              <w:jc w:val="left"/>
              <w:rPr>
                <w:rFonts w:ascii="宋体" w:cs="宋体"/>
                <w:sz w:val="21"/>
                <w:szCs w:val="21"/>
              </w:rPr>
            </w:pPr>
            <w:r>
              <w:rPr>
                <w:rFonts w:hint="eastAsia" w:ascii="宋体" w:hAnsi="宋体" w:cs="宋体"/>
                <w:sz w:val="21"/>
                <w:szCs w:val="21"/>
              </w:rPr>
              <w:t>其它门楼</w:t>
            </w:r>
          </w:p>
        </w:tc>
      </w:tr>
      <w:tr w14:paraId="1DBE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1D8220E6">
            <w:pPr>
              <w:jc w:val="center"/>
              <w:rPr>
                <w:rFonts w:ascii="宋体" w:cs="宋体"/>
                <w:sz w:val="21"/>
                <w:szCs w:val="21"/>
              </w:rPr>
            </w:pPr>
            <w:r>
              <w:rPr>
                <w:rFonts w:hint="eastAsia" w:ascii="宋体" w:hAnsi="宋体" w:cs="宋体"/>
                <w:sz w:val="21"/>
                <w:szCs w:val="21"/>
              </w:rPr>
              <w:t>围墙</w:t>
            </w:r>
          </w:p>
        </w:tc>
        <w:tc>
          <w:tcPr>
            <w:tcW w:w="1044" w:type="dxa"/>
            <w:noWrap/>
            <w:vAlign w:val="center"/>
          </w:tcPr>
          <w:p w14:paraId="7159AB3B">
            <w:pPr>
              <w:jc w:val="center"/>
              <w:rPr>
                <w:rFonts w:ascii="宋体" w:cs="宋体"/>
                <w:sz w:val="21"/>
                <w:szCs w:val="21"/>
              </w:rPr>
            </w:pPr>
            <w:r>
              <w:rPr>
                <w:rFonts w:ascii="宋体" w:hAnsi="宋体" w:cs="宋体"/>
                <w:sz w:val="21"/>
                <w:szCs w:val="21"/>
              </w:rPr>
              <w:t>1</w:t>
            </w:r>
          </w:p>
        </w:tc>
        <w:tc>
          <w:tcPr>
            <w:tcW w:w="1404" w:type="dxa"/>
            <w:noWrap/>
            <w:vAlign w:val="center"/>
          </w:tcPr>
          <w:p w14:paraId="49D1400B">
            <w:pPr>
              <w:jc w:val="center"/>
              <w:rPr>
                <w:rFonts w:ascii="宋体" w:cs="宋体"/>
                <w:sz w:val="21"/>
                <w:szCs w:val="21"/>
              </w:rPr>
            </w:pPr>
            <w:r>
              <w:rPr>
                <w:rFonts w:ascii="宋体" w:hAnsi="宋体" w:cs="宋体"/>
                <w:sz w:val="21"/>
                <w:szCs w:val="21"/>
              </w:rPr>
              <w:t>150</w:t>
            </w:r>
          </w:p>
        </w:tc>
        <w:tc>
          <w:tcPr>
            <w:tcW w:w="5053" w:type="dxa"/>
            <w:noWrap/>
            <w:vAlign w:val="center"/>
          </w:tcPr>
          <w:p w14:paraId="7BEECA83">
            <w:pPr>
              <w:jc w:val="left"/>
              <w:rPr>
                <w:rFonts w:ascii="宋体" w:cs="宋体"/>
                <w:sz w:val="21"/>
                <w:szCs w:val="21"/>
              </w:rPr>
            </w:pPr>
            <w:r>
              <w:rPr>
                <w:rFonts w:hint="eastAsia" w:ascii="宋体" w:hAnsi="宋体" w:cs="宋体"/>
                <w:sz w:val="21"/>
                <w:szCs w:val="21"/>
              </w:rPr>
              <w:t>全砖砌墙，整齐美观，内有粉刷，按延长米计算</w:t>
            </w:r>
          </w:p>
        </w:tc>
      </w:tr>
      <w:tr w14:paraId="32F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55D0F670">
            <w:pPr>
              <w:jc w:val="center"/>
              <w:rPr>
                <w:rFonts w:ascii="宋体" w:cs="宋体"/>
                <w:sz w:val="21"/>
                <w:szCs w:val="21"/>
              </w:rPr>
            </w:pPr>
          </w:p>
        </w:tc>
        <w:tc>
          <w:tcPr>
            <w:tcW w:w="1044" w:type="dxa"/>
            <w:noWrap/>
            <w:vAlign w:val="center"/>
          </w:tcPr>
          <w:p w14:paraId="35DCBE08">
            <w:pPr>
              <w:jc w:val="center"/>
              <w:rPr>
                <w:rFonts w:ascii="宋体" w:cs="宋体"/>
                <w:sz w:val="21"/>
                <w:szCs w:val="21"/>
              </w:rPr>
            </w:pPr>
            <w:r>
              <w:rPr>
                <w:rFonts w:ascii="宋体" w:hAnsi="宋体" w:cs="宋体"/>
                <w:sz w:val="21"/>
                <w:szCs w:val="21"/>
              </w:rPr>
              <w:t>2</w:t>
            </w:r>
          </w:p>
        </w:tc>
        <w:tc>
          <w:tcPr>
            <w:tcW w:w="1404" w:type="dxa"/>
            <w:noWrap/>
            <w:vAlign w:val="center"/>
          </w:tcPr>
          <w:p w14:paraId="1A4B90E0">
            <w:pPr>
              <w:jc w:val="center"/>
              <w:rPr>
                <w:rFonts w:ascii="宋体" w:cs="宋体"/>
                <w:sz w:val="21"/>
                <w:szCs w:val="21"/>
              </w:rPr>
            </w:pPr>
            <w:r>
              <w:rPr>
                <w:rFonts w:ascii="宋体" w:hAnsi="宋体" w:cs="宋体"/>
                <w:sz w:val="21"/>
                <w:szCs w:val="21"/>
              </w:rPr>
              <w:t>120</w:t>
            </w:r>
          </w:p>
        </w:tc>
        <w:tc>
          <w:tcPr>
            <w:tcW w:w="5053" w:type="dxa"/>
            <w:noWrap/>
            <w:vAlign w:val="center"/>
          </w:tcPr>
          <w:p w14:paraId="2B62D63F">
            <w:pPr>
              <w:jc w:val="left"/>
              <w:rPr>
                <w:rFonts w:ascii="宋体" w:cs="宋体"/>
                <w:sz w:val="21"/>
                <w:szCs w:val="21"/>
              </w:rPr>
            </w:pPr>
            <w:r>
              <w:rPr>
                <w:rFonts w:hint="eastAsia" w:ascii="宋体" w:hAnsi="宋体" w:cs="宋体"/>
                <w:sz w:val="21"/>
                <w:szCs w:val="21"/>
              </w:rPr>
              <w:t>乱砖砌筑，整齐美观，按延长米计算</w:t>
            </w:r>
          </w:p>
        </w:tc>
      </w:tr>
      <w:tr w14:paraId="7B54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176A8826">
            <w:pPr>
              <w:jc w:val="center"/>
              <w:rPr>
                <w:rFonts w:ascii="宋体" w:cs="宋体"/>
                <w:sz w:val="21"/>
                <w:szCs w:val="21"/>
              </w:rPr>
            </w:pPr>
          </w:p>
        </w:tc>
        <w:tc>
          <w:tcPr>
            <w:tcW w:w="1044" w:type="dxa"/>
            <w:noWrap/>
            <w:vAlign w:val="center"/>
          </w:tcPr>
          <w:p w14:paraId="64C4D4F1">
            <w:pPr>
              <w:jc w:val="center"/>
              <w:rPr>
                <w:rFonts w:ascii="宋体" w:cs="宋体"/>
                <w:sz w:val="21"/>
                <w:szCs w:val="21"/>
              </w:rPr>
            </w:pPr>
            <w:r>
              <w:rPr>
                <w:rFonts w:ascii="宋体" w:hAnsi="宋体" w:cs="宋体"/>
                <w:sz w:val="21"/>
                <w:szCs w:val="21"/>
              </w:rPr>
              <w:t>3</w:t>
            </w:r>
          </w:p>
        </w:tc>
        <w:tc>
          <w:tcPr>
            <w:tcW w:w="1404" w:type="dxa"/>
            <w:noWrap/>
            <w:vAlign w:val="center"/>
          </w:tcPr>
          <w:p w14:paraId="5943528A">
            <w:pPr>
              <w:jc w:val="center"/>
              <w:rPr>
                <w:rFonts w:ascii="宋体" w:cs="宋体"/>
                <w:sz w:val="21"/>
                <w:szCs w:val="21"/>
              </w:rPr>
            </w:pPr>
            <w:r>
              <w:rPr>
                <w:rFonts w:ascii="宋体" w:hAnsi="宋体" w:cs="宋体"/>
                <w:sz w:val="21"/>
                <w:szCs w:val="21"/>
              </w:rPr>
              <w:t>60</w:t>
            </w:r>
          </w:p>
        </w:tc>
        <w:tc>
          <w:tcPr>
            <w:tcW w:w="5053" w:type="dxa"/>
            <w:noWrap/>
            <w:vAlign w:val="center"/>
          </w:tcPr>
          <w:p w14:paraId="2F812B1B">
            <w:pPr>
              <w:jc w:val="left"/>
              <w:rPr>
                <w:rFonts w:ascii="宋体" w:cs="宋体"/>
                <w:sz w:val="21"/>
                <w:szCs w:val="21"/>
              </w:rPr>
            </w:pPr>
            <w:r>
              <w:rPr>
                <w:rFonts w:hint="eastAsia" w:ascii="宋体" w:hAnsi="宋体" w:cs="宋体"/>
                <w:sz w:val="21"/>
                <w:szCs w:val="21"/>
              </w:rPr>
              <w:t>土坯砌筑，按延长米计算</w:t>
            </w:r>
          </w:p>
        </w:tc>
      </w:tr>
      <w:tr w14:paraId="2B9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19F6F8E0">
            <w:pPr>
              <w:jc w:val="center"/>
              <w:rPr>
                <w:rFonts w:ascii="宋体" w:cs="宋体"/>
                <w:sz w:val="21"/>
                <w:szCs w:val="21"/>
              </w:rPr>
            </w:pPr>
            <w:r>
              <w:rPr>
                <w:rFonts w:hint="eastAsia" w:ascii="宋体" w:hAnsi="宋体" w:cs="宋体"/>
                <w:sz w:val="21"/>
                <w:szCs w:val="21"/>
              </w:rPr>
              <w:t>室外楼梯</w:t>
            </w:r>
          </w:p>
        </w:tc>
        <w:tc>
          <w:tcPr>
            <w:tcW w:w="1044" w:type="dxa"/>
            <w:noWrap/>
            <w:vAlign w:val="center"/>
          </w:tcPr>
          <w:p w14:paraId="656412DA">
            <w:pPr>
              <w:jc w:val="center"/>
              <w:rPr>
                <w:rFonts w:ascii="宋体" w:cs="宋体"/>
                <w:sz w:val="21"/>
                <w:szCs w:val="21"/>
              </w:rPr>
            </w:pPr>
            <w:r>
              <w:rPr>
                <w:rFonts w:ascii="宋体" w:hAnsi="宋体" w:cs="宋体"/>
                <w:sz w:val="21"/>
                <w:szCs w:val="21"/>
              </w:rPr>
              <w:t>1</w:t>
            </w:r>
          </w:p>
        </w:tc>
        <w:tc>
          <w:tcPr>
            <w:tcW w:w="1404" w:type="dxa"/>
            <w:noWrap/>
            <w:vAlign w:val="center"/>
          </w:tcPr>
          <w:p w14:paraId="282AE621">
            <w:pPr>
              <w:jc w:val="center"/>
              <w:rPr>
                <w:rFonts w:ascii="宋体" w:cs="宋体"/>
                <w:sz w:val="21"/>
                <w:szCs w:val="21"/>
              </w:rPr>
            </w:pPr>
            <w:r>
              <w:rPr>
                <w:rFonts w:ascii="宋体" w:hAnsi="宋体" w:cs="宋体"/>
                <w:sz w:val="21"/>
                <w:szCs w:val="21"/>
              </w:rPr>
              <w:t>450</w:t>
            </w:r>
          </w:p>
        </w:tc>
        <w:tc>
          <w:tcPr>
            <w:tcW w:w="5053" w:type="dxa"/>
            <w:noWrap/>
            <w:vAlign w:val="center"/>
          </w:tcPr>
          <w:p w14:paraId="74FA4B00">
            <w:pPr>
              <w:jc w:val="left"/>
              <w:rPr>
                <w:rFonts w:ascii="宋体" w:cs="宋体"/>
                <w:sz w:val="21"/>
                <w:szCs w:val="21"/>
              </w:rPr>
            </w:pPr>
            <w:r>
              <w:rPr>
                <w:rFonts w:hint="eastAsia" w:ascii="宋体" w:hAnsi="宋体" w:cs="宋体"/>
                <w:sz w:val="21"/>
                <w:szCs w:val="21"/>
              </w:rPr>
              <w:t>混凝土楼梯，按平方米计算</w:t>
            </w:r>
          </w:p>
        </w:tc>
      </w:tr>
      <w:tr w14:paraId="715B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100149A8">
            <w:pPr>
              <w:jc w:val="center"/>
              <w:rPr>
                <w:rFonts w:ascii="宋体" w:cs="宋体"/>
                <w:sz w:val="21"/>
                <w:szCs w:val="21"/>
              </w:rPr>
            </w:pPr>
          </w:p>
        </w:tc>
        <w:tc>
          <w:tcPr>
            <w:tcW w:w="1044" w:type="dxa"/>
            <w:noWrap/>
            <w:vAlign w:val="center"/>
          </w:tcPr>
          <w:p w14:paraId="726B4291">
            <w:pPr>
              <w:jc w:val="center"/>
              <w:rPr>
                <w:rFonts w:ascii="宋体" w:cs="宋体"/>
                <w:sz w:val="21"/>
                <w:szCs w:val="21"/>
              </w:rPr>
            </w:pPr>
            <w:r>
              <w:rPr>
                <w:rFonts w:ascii="宋体" w:hAnsi="宋体" w:cs="宋体"/>
                <w:sz w:val="21"/>
                <w:szCs w:val="21"/>
              </w:rPr>
              <w:t>2</w:t>
            </w:r>
          </w:p>
        </w:tc>
        <w:tc>
          <w:tcPr>
            <w:tcW w:w="1404" w:type="dxa"/>
            <w:noWrap/>
            <w:vAlign w:val="center"/>
          </w:tcPr>
          <w:p w14:paraId="6644470A">
            <w:pPr>
              <w:jc w:val="center"/>
              <w:rPr>
                <w:rFonts w:ascii="宋体" w:cs="宋体"/>
                <w:sz w:val="21"/>
                <w:szCs w:val="21"/>
              </w:rPr>
            </w:pPr>
            <w:r>
              <w:rPr>
                <w:rFonts w:ascii="宋体" w:hAnsi="宋体" w:cs="宋体"/>
                <w:sz w:val="21"/>
                <w:szCs w:val="21"/>
              </w:rPr>
              <w:t>225</w:t>
            </w:r>
          </w:p>
        </w:tc>
        <w:tc>
          <w:tcPr>
            <w:tcW w:w="5053" w:type="dxa"/>
            <w:noWrap/>
            <w:vAlign w:val="center"/>
          </w:tcPr>
          <w:p w14:paraId="2E2EF450">
            <w:pPr>
              <w:jc w:val="left"/>
              <w:rPr>
                <w:rFonts w:ascii="宋体" w:cs="宋体"/>
                <w:sz w:val="21"/>
                <w:szCs w:val="21"/>
              </w:rPr>
            </w:pPr>
            <w:r>
              <w:rPr>
                <w:rFonts w:hint="eastAsia" w:ascii="宋体" w:hAnsi="宋体" w:cs="宋体"/>
                <w:sz w:val="21"/>
                <w:szCs w:val="21"/>
              </w:rPr>
              <w:t>砖坯楼梯，按平方米计算</w:t>
            </w:r>
          </w:p>
        </w:tc>
      </w:tr>
      <w:tr w14:paraId="240F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14:paraId="020F1DB8">
            <w:pPr>
              <w:jc w:val="center"/>
              <w:rPr>
                <w:rFonts w:ascii="宋体" w:cs="宋体"/>
                <w:sz w:val="21"/>
                <w:szCs w:val="21"/>
              </w:rPr>
            </w:pPr>
            <w:r>
              <w:rPr>
                <w:rFonts w:hint="eastAsia" w:ascii="宋体" w:hAnsi="宋体" w:cs="宋体"/>
                <w:sz w:val="21"/>
                <w:szCs w:val="21"/>
              </w:rPr>
              <w:t>院落</w:t>
            </w:r>
          </w:p>
        </w:tc>
        <w:tc>
          <w:tcPr>
            <w:tcW w:w="1044" w:type="dxa"/>
            <w:noWrap/>
            <w:vAlign w:val="center"/>
          </w:tcPr>
          <w:p w14:paraId="139D0415">
            <w:pPr>
              <w:jc w:val="center"/>
              <w:rPr>
                <w:rFonts w:ascii="宋体" w:cs="宋体"/>
                <w:sz w:val="21"/>
                <w:szCs w:val="21"/>
              </w:rPr>
            </w:pPr>
            <w:r>
              <w:rPr>
                <w:rFonts w:ascii="宋体" w:hAnsi="宋体" w:cs="宋体"/>
                <w:sz w:val="21"/>
                <w:szCs w:val="21"/>
              </w:rPr>
              <w:t>1</w:t>
            </w:r>
          </w:p>
        </w:tc>
        <w:tc>
          <w:tcPr>
            <w:tcW w:w="1404" w:type="dxa"/>
            <w:noWrap/>
            <w:vAlign w:val="center"/>
          </w:tcPr>
          <w:p w14:paraId="2C16D353">
            <w:pPr>
              <w:jc w:val="center"/>
              <w:rPr>
                <w:rFonts w:ascii="宋体" w:cs="宋体"/>
                <w:sz w:val="21"/>
                <w:szCs w:val="21"/>
              </w:rPr>
            </w:pPr>
            <w:r>
              <w:rPr>
                <w:rFonts w:ascii="宋体" w:hAnsi="宋体" w:cs="宋体"/>
                <w:sz w:val="21"/>
                <w:szCs w:val="21"/>
              </w:rPr>
              <w:t>75</w:t>
            </w:r>
          </w:p>
        </w:tc>
        <w:tc>
          <w:tcPr>
            <w:tcW w:w="5053" w:type="dxa"/>
            <w:noWrap/>
            <w:vAlign w:val="center"/>
          </w:tcPr>
          <w:p w14:paraId="4B4F907C">
            <w:pPr>
              <w:jc w:val="left"/>
              <w:rPr>
                <w:rFonts w:ascii="宋体" w:cs="宋体"/>
                <w:sz w:val="21"/>
                <w:szCs w:val="21"/>
              </w:rPr>
            </w:pPr>
            <w:r>
              <w:rPr>
                <w:rFonts w:hint="eastAsia" w:ascii="宋体" w:hAnsi="宋体" w:cs="宋体"/>
                <w:sz w:val="21"/>
                <w:szCs w:val="21"/>
              </w:rPr>
              <w:t>水磨石砖，按面积计算</w:t>
            </w:r>
          </w:p>
        </w:tc>
      </w:tr>
      <w:tr w14:paraId="7E15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54CD837C">
            <w:pPr>
              <w:jc w:val="center"/>
              <w:rPr>
                <w:rFonts w:ascii="宋体" w:cs="宋体"/>
                <w:sz w:val="21"/>
                <w:szCs w:val="21"/>
              </w:rPr>
            </w:pPr>
          </w:p>
        </w:tc>
        <w:tc>
          <w:tcPr>
            <w:tcW w:w="1044" w:type="dxa"/>
            <w:noWrap/>
            <w:vAlign w:val="center"/>
          </w:tcPr>
          <w:p w14:paraId="7BC89F20">
            <w:pPr>
              <w:jc w:val="center"/>
              <w:rPr>
                <w:rFonts w:ascii="宋体" w:cs="宋体"/>
                <w:sz w:val="21"/>
                <w:szCs w:val="21"/>
              </w:rPr>
            </w:pPr>
            <w:r>
              <w:rPr>
                <w:rFonts w:ascii="宋体" w:hAnsi="宋体" w:cs="宋体"/>
                <w:sz w:val="21"/>
                <w:szCs w:val="21"/>
              </w:rPr>
              <w:t>2</w:t>
            </w:r>
          </w:p>
        </w:tc>
        <w:tc>
          <w:tcPr>
            <w:tcW w:w="1404" w:type="dxa"/>
            <w:noWrap/>
            <w:vAlign w:val="center"/>
          </w:tcPr>
          <w:p w14:paraId="449C9891">
            <w:pPr>
              <w:jc w:val="center"/>
              <w:rPr>
                <w:rFonts w:ascii="宋体" w:cs="宋体"/>
                <w:sz w:val="21"/>
                <w:szCs w:val="21"/>
              </w:rPr>
            </w:pPr>
            <w:r>
              <w:rPr>
                <w:rFonts w:ascii="宋体" w:hAnsi="宋体" w:cs="宋体"/>
                <w:sz w:val="21"/>
                <w:szCs w:val="21"/>
              </w:rPr>
              <w:t>45</w:t>
            </w:r>
          </w:p>
        </w:tc>
        <w:tc>
          <w:tcPr>
            <w:tcW w:w="5053" w:type="dxa"/>
            <w:noWrap/>
            <w:vAlign w:val="center"/>
          </w:tcPr>
          <w:p w14:paraId="787DE34B">
            <w:pPr>
              <w:jc w:val="left"/>
              <w:rPr>
                <w:rFonts w:ascii="宋体" w:cs="宋体"/>
                <w:sz w:val="21"/>
                <w:szCs w:val="21"/>
              </w:rPr>
            </w:pPr>
            <w:r>
              <w:rPr>
                <w:rFonts w:hint="eastAsia" w:ascii="宋体" w:hAnsi="宋体" w:cs="宋体"/>
                <w:sz w:val="21"/>
                <w:szCs w:val="21"/>
              </w:rPr>
              <w:t>缸砖，砼地面，按面积计算</w:t>
            </w:r>
          </w:p>
        </w:tc>
      </w:tr>
      <w:tr w14:paraId="2013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14:paraId="3E5D266A">
            <w:pPr>
              <w:jc w:val="center"/>
              <w:rPr>
                <w:rFonts w:ascii="宋体" w:cs="宋体"/>
                <w:sz w:val="21"/>
                <w:szCs w:val="21"/>
              </w:rPr>
            </w:pPr>
          </w:p>
        </w:tc>
        <w:tc>
          <w:tcPr>
            <w:tcW w:w="1044" w:type="dxa"/>
            <w:noWrap/>
            <w:vAlign w:val="center"/>
          </w:tcPr>
          <w:p w14:paraId="0EE5A8DB">
            <w:pPr>
              <w:jc w:val="center"/>
              <w:rPr>
                <w:rFonts w:ascii="宋体" w:cs="宋体"/>
                <w:sz w:val="21"/>
                <w:szCs w:val="21"/>
              </w:rPr>
            </w:pPr>
            <w:r>
              <w:rPr>
                <w:rFonts w:ascii="宋体" w:hAnsi="宋体" w:cs="宋体"/>
                <w:sz w:val="21"/>
                <w:szCs w:val="21"/>
              </w:rPr>
              <w:t>3</w:t>
            </w:r>
          </w:p>
        </w:tc>
        <w:tc>
          <w:tcPr>
            <w:tcW w:w="1404" w:type="dxa"/>
            <w:noWrap/>
            <w:vAlign w:val="center"/>
          </w:tcPr>
          <w:p w14:paraId="4E337C93">
            <w:pPr>
              <w:jc w:val="center"/>
              <w:rPr>
                <w:rFonts w:ascii="宋体" w:cs="宋体"/>
                <w:sz w:val="21"/>
                <w:szCs w:val="21"/>
              </w:rPr>
            </w:pPr>
            <w:r>
              <w:rPr>
                <w:rFonts w:ascii="宋体" w:hAnsi="宋体" w:cs="宋体"/>
                <w:sz w:val="21"/>
                <w:szCs w:val="21"/>
              </w:rPr>
              <w:t>22.5</w:t>
            </w:r>
          </w:p>
        </w:tc>
        <w:tc>
          <w:tcPr>
            <w:tcW w:w="5053" w:type="dxa"/>
            <w:noWrap/>
            <w:vAlign w:val="center"/>
          </w:tcPr>
          <w:p w14:paraId="0123B74F">
            <w:pPr>
              <w:jc w:val="left"/>
              <w:rPr>
                <w:rFonts w:ascii="宋体" w:cs="宋体"/>
                <w:sz w:val="21"/>
                <w:szCs w:val="21"/>
              </w:rPr>
            </w:pPr>
            <w:r>
              <w:rPr>
                <w:rFonts w:hint="eastAsia" w:ascii="宋体" w:hAnsi="宋体" w:cs="宋体"/>
                <w:sz w:val="21"/>
                <w:szCs w:val="21"/>
              </w:rPr>
              <w:t>一般砖地面，按面积计算</w:t>
            </w:r>
          </w:p>
        </w:tc>
      </w:tr>
      <w:tr w14:paraId="0A97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021" w:type="dxa"/>
            <w:noWrap/>
            <w:vAlign w:val="center"/>
          </w:tcPr>
          <w:p w14:paraId="27340211">
            <w:pPr>
              <w:jc w:val="center"/>
              <w:rPr>
                <w:rFonts w:ascii="宋体" w:cs="宋体"/>
                <w:sz w:val="21"/>
                <w:szCs w:val="21"/>
              </w:rPr>
            </w:pPr>
            <w:r>
              <w:rPr>
                <w:rFonts w:hint="eastAsia" w:ascii="宋体" w:hAnsi="宋体" w:cs="宋体"/>
                <w:sz w:val="21"/>
                <w:szCs w:val="21"/>
              </w:rPr>
              <w:t>简易房</w:t>
            </w:r>
          </w:p>
        </w:tc>
        <w:tc>
          <w:tcPr>
            <w:tcW w:w="1044" w:type="dxa"/>
            <w:noWrap/>
            <w:vAlign w:val="center"/>
          </w:tcPr>
          <w:p w14:paraId="6B8A1294">
            <w:pPr>
              <w:jc w:val="center"/>
              <w:rPr>
                <w:rFonts w:ascii="宋体" w:cs="宋体"/>
                <w:sz w:val="21"/>
                <w:szCs w:val="21"/>
              </w:rPr>
            </w:pPr>
          </w:p>
        </w:tc>
        <w:tc>
          <w:tcPr>
            <w:tcW w:w="1404" w:type="dxa"/>
            <w:noWrap/>
            <w:vAlign w:val="center"/>
          </w:tcPr>
          <w:p w14:paraId="02E8A8DE">
            <w:pPr>
              <w:jc w:val="center"/>
              <w:rPr>
                <w:rFonts w:ascii="宋体" w:cs="宋体"/>
                <w:sz w:val="21"/>
                <w:szCs w:val="21"/>
              </w:rPr>
            </w:pPr>
            <w:r>
              <w:rPr>
                <w:rFonts w:ascii="宋体" w:hAnsi="宋体" w:cs="宋体"/>
                <w:sz w:val="21"/>
                <w:szCs w:val="21"/>
              </w:rPr>
              <w:t>225/</w:t>
            </w:r>
            <w:r>
              <w:rPr>
                <w:rFonts w:hint="eastAsia" w:ascii="宋体" w:hAnsi="宋体" w:cs="宋体"/>
                <w:sz w:val="21"/>
                <w:szCs w:val="21"/>
              </w:rPr>
              <w:t>㎡</w:t>
            </w:r>
          </w:p>
        </w:tc>
        <w:tc>
          <w:tcPr>
            <w:tcW w:w="5053" w:type="dxa"/>
            <w:noWrap/>
            <w:vAlign w:val="center"/>
          </w:tcPr>
          <w:p w14:paraId="35BA3DF7">
            <w:pPr>
              <w:jc w:val="left"/>
              <w:rPr>
                <w:rFonts w:ascii="宋体" w:cs="宋体"/>
                <w:sz w:val="21"/>
                <w:szCs w:val="21"/>
              </w:rPr>
            </w:pPr>
            <w:r>
              <w:rPr>
                <w:rFonts w:hint="eastAsia" w:ascii="宋体" w:hAnsi="宋体" w:cs="宋体"/>
                <w:sz w:val="21"/>
                <w:szCs w:val="21"/>
              </w:rPr>
              <w:t>结构较为简单，砖墙体，内墙壁抹灰粉刷，用石棉瓦。</w:t>
            </w:r>
          </w:p>
        </w:tc>
      </w:tr>
    </w:tbl>
    <w:p w14:paraId="1F510C4C">
      <w:pPr>
        <w:spacing w:line="540" w:lineRule="exact"/>
        <w:rPr>
          <w:b/>
          <w:bCs/>
          <w:sz w:val="36"/>
          <w:szCs w:val="36"/>
        </w:rPr>
      </w:pPr>
    </w:p>
    <w:p w14:paraId="2341F7B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6A22">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B329CC">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14:paraId="76B329CC">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5512B"/>
    <w:multiLevelType w:val="singleLevel"/>
    <w:tmpl w:val="0AB5512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62697D92"/>
    <w:rsid w:val="0009136D"/>
    <w:rsid w:val="000F64A0"/>
    <w:rsid w:val="001F7DEE"/>
    <w:rsid w:val="00227885"/>
    <w:rsid w:val="00243ACE"/>
    <w:rsid w:val="00394E4E"/>
    <w:rsid w:val="00491C40"/>
    <w:rsid w:val="00581B23"/>
    <w:rsid w:val="005D0C36"/>
    <w:rsid w:val="00614F92"/>
    <w:rsid w:val="007747FC"/>
    <w:rsid w:val="008426DD"/>
    <w:rsid w:val="00850C2A"/>
    <w:rsid w:val="009765A1"/>
    <w:rsid w:val="009F7923"/>
    <w:rsid w:val="00A07980"/>
    <w:rsid w:val="00BB5299"/>
    <w:rsid w:val="00C1569B"/>
    <w:rsid w:val="00D568A1"/>
    <w:rsid w:val="00D96915"/>
    <w:rsid w:val="00E03FDC"/>
    <w:rsid w:val="00F77819"/>
    <w:rsid w:val="00FC236C"/>
    <w:rsid w:val="07690DCB"/>
    <w:rsid w:val="3C205C73"/>
    <w:rsid w:val="624D449E"/>
    <w:rsid w:val="62697D92"/>
    <w:rsid w:val="660F4D92"/>
    <w:rsid w:val="6E3B25AB"/>
    <w:rsid w:val="7AD936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ascii="Times New Roman" w:hAnsi="Times New Roman" w:cs="Times New Roman"/>
      <w:sz w:val="18"/>
      <w:szCs w:val="18"/>
    </w:rPr>
  </w:style>
  <w:style w:type="character" w:customStyle="1" w:styleId="10">
    <w:name w:val="Header Char"/>
    <w:basedOn w:val="6"/>
    <w:link w:val="3"/>
    <w:semiHidden/>
    <w:qFormat/>
    <w:locked/>
    <w:uiPriority w:val="99"/>
    <w:rPr>
      <w:rFonts w:ascii="Times New Roman" w:hAnsi="Times New Roman" w:cs="Times New Roman"/>
      <w:sz w:val="18"/>
      <w:szCs w:val="18"/>
    </w:rPr>
  </w:style>
  <w:style w:type="paragraph" w:customStyle="1" w:styleId="11">
    <w:name w:val="Char Char Char Char Char Char Char"/>
    <w:basedOn w:val="1"/>
    <w:semiHidden/>
    <w:qFormat/>
    <w:uiPriority w:val="99"/>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6051</Words>
  <Characters>6346</Characters>
  <Lines>0</Lines>
  <Paragraphs>0</Paragraphs>
  <TotalTime>8</TotalTime>
  <ScaleCrop>false</ScaleCrop>
  <LinksUpToDate>false</LinksUpToDate>
  <CharactersWithSpaces>6358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2023-11-23T06:35:00Z</dcterms:created>
  <dc:creator>Administrator</dc:creator>
  <cp:lastModifiedBy>陈利平</cp:lastModifiedBy>
  <dcterms:modified xsi:type="dcterms:W3CDTF">2025-02-27T01:36:17Z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67938DEC33A24961ACBD027177679F67_13</vt:lpwstr>
  </property>
  <property fmtid="{D5CDD505-2E9C-101B-9397-08002B2CF9AE}" pid="4" name="KSOTemplateDocerSaveRecord">
    <vt:lpwstr>eyJoZGlkIjoiODIzNzBhYWMwZjI0OTllM2M3ZDk5ODljMTkxN2Y0MzciLCJ1c2VySWQiOiIxMTIwMTM5Nzc1In0=</vt:lpwstr>
  </property>
</Properties>
</file>