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95D12F">
      <w:pPr>
        <w:ind w:firstLine="0" w:firstLineChars="0"/>
      </w:pPr>
    </w:p>
    <w:p w14:paraId="50B31EF9">
      <w:pPr>
        <w:pStyle w:val="17"/>
        <w:ind w:left="640" w:firstLine="643"/>
        <w:rPr>
          <w:rFonts w:eastAsia="仿宋_GB2312"/>
          <w:highlight w:val="yellow"/>
        </w:rPr>
      </w:pPr>
    </w:p>
    <w:p w14:paraId="4C5DBD47">
      <w:pPr>
        <w:spacing w:line="720" w:lineRule="auto"/>
        <w:ind w:firstLine="0" w:firstLineChars="0"/>
        <w:jc w:val="center"/>
        <w:rPr>
          <w:rFonts w:ascii="黑体" w:hAnsi="黑体" w:eastAsia="黑体" w:cs="黑体"/>
          <w:sz w:val="44"/>
          <w:szCs w:val="44"/>
        </w:rPr>
      </w:pPr>
    </w:p>
    <w:p w14:paraId="126F2D0F">
      <w:pPr>
        <w:spacing w:line="720" w:lineRule="auto"/>
        <w:ind w:firstLine="0" w:firstLineChars="0"/>
        <w:jc w:val="center"/>
        <w:rPr>
          <w:rFonts w:ascii="黑体" w:hAnsi="黑体" w:eastAsia="黑体" w:cs="黑体"/>
          <w:sz w:val="44"/>
          <w:szCs w:val="44"/>
        </w:rPr>
      </w:pPr>
      <w:r>
        <w:rPr>
          <w:rFonts w:hint="eastAsia" w:ascii="黑体" w:hAnsi="黑体" w:eastAsia="黑体" w:cs="黑体"/>
          <w:sz w:val="44"/>
          <w:szCs w:val="44"/>
        </w:rPr>
        <w:t>阳城经济技术开发区</w:t>
      </w:r>
    </w:p>
    <w:p w14:paraId="4359FFC2">
      <w:pPr>
        <w:spacing w:line="720" w:lineRule="auto"/>
        <w:ind w:firstLine="0" w:firstLineChars="0"/>
        <w:jc w:val="center"/>
        <w:rPr>
          <w:rFonts w:ascii="黑体" w:hAnsi="黑体" w:eastAsia="黑体" w:cs="黑体"/>
          <w:sz w:val="44"/>
          <w:szCs w:val="44"/>
        </w:rPr>
      </w:pPr>
      <w:r>
        <w:rPr>
          <w:rFonts w:hint="eastAsia" w:ascii="黑体" w:hAnsi="黑体" w:eastAsia="黑体" w:cs="黑体"/>
          <w:spacing w:val="-20"/>
          <w:sz w:val="44"/>
          <w:szCs w:val="44"/>
        </w:rPr>
        <w:t>经济社会发展第十四个五年规划纲要</w:t>
      </w:r>
    </w:p>
    <w:p w14:paraId="0474B997">
      <w:pPr>
        <w:ind w:firstLine="0" w:firstLineChars="0"/>
        <w:jc w:val="center"/>
        <w:rPr>
          <w:rFonts w:ascii="方正小标宋简体" w:eastAsia="方正小标宋简体"/>
          <w:sz w:val="36"/>
          <w:szCs w:val="36"/>
        </w:rPr>
      </w:pPr>
    </w:p>
    <w:p w14:paraId="7551A3BF">
      <w:pPr>
        <w:ind w:firstLine="0" w:firstLineChars="0"/>
        <w:jc w:val="center"/>
        <w:rPr>
          <w:rFonts w:ascii="方正小标宋简体" w:eastAsia="方正小标宋简体"/>
          <w:sz w:val="36"/>
          <w:szCs w:val="36"/>
        </w:rPr>
      </w:pPr>
    </w:p>
    <w:p w14:paraId="7AF36DEB">
      <w:pPr>
        <w:ind w:firstLine="0" w:firstLineChars="0"/>
        <w:jc w:val="center"/>
        <w:rPr>
          <w:rFonts w:ascii="方正小标宋简体" w:eastAsia="方正小标宋简体"/>
          <w:sz w:val="36"/>
          <w:szCs w:val="36"/>
        </w:rPr>
      </w:pPr>
    </w:p>
    <w:p w14:paraId="452183B0">
      <w:pPr>
        <w:ind w:firstLine="0" w:firstLineChars="0"/>
        <w:jc w:val="center"/>
        <w:rPr>
          <w:rFonts w:ascii="方正小标宋简体" w:eastAsia="方正小标宋简体"/>
          <w:sz w:val="36"/>
          <w:szCs w:val="36"/>
        </w:rPr>
      </w:pPr>
    </w:p>
    <w:p w14:paraId="71A0EC3A">
      <w:pPr>
        <w:ind w:firstLine="0" w:firstLineChars="0"/>
        <w:jc w:val="center"/>
        <w:rPr>
          <w:rFonts w:ascii="方正小标宋简体" w:eastAsia="方正小标宋简体"/>
          <w:sz w:val="36"/>
          <w:szCs w:val="36"/>
        </w:rPr>
      </w:pPr>
    </w:p>
    <w:p w14:paraId="35D13A45">
      <w:pPr>
        <w:ind w:firstLine="0" w:firstLineChars="0"/>
        <w:jc w:val="center"/>
        <w:rPr>
          <w:rFonts w:ascii="方正小标宋简体" w:eastAsia="方正小标宋简体"/>
          <w:sz w:val="36"/>
          <w:szCs w:val="36"/>
        </w:rPr>
      </w:pPr>
    </w:p>
    <w:p w14:paraId="7B14E5AA">
      <w:pPr>
        <w:ind w:firstLine="0" w:firstLineChars="0"/>
        <w:jc w:val="center"/>
        <w:rPr>
          <w:rFonts w:ascii="方正小标宋简体" w:eastAsia="方正小标宋简体"/>
          <w:sz w:val="36"/>
          <w:szCs w:val="36"/>
        </w:rPr>
      </w:pPr>
    </w:p>
    <w:p w14:paraId="756B2007">
      <w:pPr>
        <w:ind w:firstLine="643"/>
        <w:jc w:val="center"/>
        <w:rPr>
          <w:rFonts w:asciiTheme="minorEastAsia" w:hAnsiTheme="minorEastAsia" w:eastAsiaTheme="minorEastAsia"/>
          <w:b/>
        </w:rPr>
      </w:pPr>
      <w:r>
        <w:rPr>
          <w:rFonts w:hint="eastAsia" w:asciiTheme="minorEastAsia" w:hAnsiTheme="minorEastAsia" w:eastAsiaTheme="minorEastAsia"/>
          <w:b/>
        </w:rPr>
        <w:t>二○二一年</w:t>
      </w:r>
      <w:r>
        <w:rPr>
          <w:rFonts w:hint="eastAsia" w:asciiTheme="minorEastAsia" w:hAnsiTheme="minorEastAsia" w:eastAsiaTheme="minorEastAsia"/>
          <w:b/>
          <w:lang w:val="en-US" w:eastAsia="zh-CN"/>
        </w:rPr>
        <w:t>十二</w:t>
      </w:r>
      <w:r>
        <w:rPr>
          <w:rFonts w:hint="eastAsia" w:asciiTheme="minorEastAsia" w:hAnsiTheme="minorEastAsia" w:eastAsiaTheme="minorEastAsia"/>
          <w:b/>
        </w:rPr>
        <w:t>月</w:t>
      </w:r>
    </w:p>
    <w:p w14:paraId="0C95EED9">
      <w:pPr>
        <w:ind w:firstLine="643"/>
        <w:rPr>
          <w:rFonts w:asciiTheme="minorEastAsia" w:hAnsiTheme="minorEastAsia" w:eastAsiaTheme="minorEastAsia"/>
          <w:b/>
        </w:rPr>
      </w:pPr>
      <w:r>
        <w:rPr>
          <w:rFonts w:hint="eastAsia" w:asciiTheme="minorEastAsia" w:hAnsiTheme="minorEastAsia" w:eastAsiaTheme="minorEastAsia"/>
          <w:b/>
        </w:rPr>
        <w:br w:type="page"/>
      </w:r>
    </w:p>
    <w:sdt>
      <w:sdtPr>
        <w:rPr>
          <w:rFonts w:ascii="宋体" w:hAnsi="宋体" w:eastAsia="宋体"/>
          <w:sz w:val="21"/>
        </w:rPr>
        <w:id w:val="147467267"/>
        <w15:color w:val="DBDBDB"/>
        <w:docPartObj>
          <w:docPartGallery w:val="Table of Contents"/>
          <w:docPartUnique/>
        </w:docPartObj>
      </w:sdtPr>
      <w:sdtEndPr>
        <w:rPr>
          <w:rFonts w:ascii="宋体" w:hAnsi="宋体" w:eastAsia="宋体"/>
          <w:b/>
          <w:sz w:val="21"/>
        </w:rPr>
      </w:sdtEndPr>
      <w:sdtContent>
        <w:p w14:paraId="3156D4AB">
          <w:pPr>
            <w:spacing w:before="0" w:beforeLines="0" w:after="0" w:afterLines="0" w:line="240" w:lineRule="auto"/>
            <w:ind w:left="0" w:leftChars="0" w:right="0" w:rightChars="0" w:firstLine="0" w:firstLineChars="0"/>
            <w:jc w:val="center"/>
          </w:pPr>
          <w:r>
            <w:rPr>
              <w:rFonts w:ascii="宋体" w:hAnsi="宋体" w:eastAsia="宋体"/>
              <w:sz w:val="21"/>
            </w:rPr>
            <w:t>目录</w:t>
          </w:r>
        </w:p>
        <w:p w14:paraId="1BB41AA8">
          <w:pPr>
            <w:pStyle w:val="13"/>
            <w:tabs>
              <w:tab w:val="right" w:leader="dot" w:pos="8306"/>
            </w:tabs>
          </w:pPr>
          <w:r>
            <w:rPr>
              <w:rFonts w:ascii="Calibri" w:hAnsi="Calibri" w:eastAsia="宋体" w:cs="Calibri"/>
              <w:kern w:val="0"/>
            </w:rPr>
            <w:fldChar w:fldCharType="begin"/>
          </w:r>
          <w:r>
            <w:instrText xml:space="preserve">TOC \o "1-2" \h \u </w:instrText>
          </w:r>
          <w:r>
            <w:rPr>
              <w:rFonts w:ascii="Calibri" w:hAnsi="Calibri" w:eastAsia="宋体" w:cs="Calibri"/>
              <w:kern w:val="0"/>
            </w:rPr>
            <w:fldChar w:fldCharType="separate"/>
          </w:r>
          <w:r>
            <w:rPr>
              <w:rFonts w:ascii="Calibri" w:hAnsi="Calibri" w:eastAsia="宋体" w:cs="Calibri"/>
              <w:kern w:val="0"/>
            </w:rPr>
            <w:fldChar w:fldCharType="begin"/>
          </w:r>
          <w:r>
            <w:rPr>
              <w:rFonts w:ascii="Calibri" w:hAnsi="Calibri" w:eastAsia="宋体" w:cs="Calibri"/>
              <w:kern w:val="0"/>
            </w:rPr>
            <w:instrText xml:space="preserve"> HYPERLINK \l _Toc22348 </w:instrText>
          </w:r>
          <w:r>
            <w:rPr>
              <w:rFonts w:ascii="Calibri" w:hAnsi="Calibri" w:eastAsia="宋体" w:cs="Calibri"/>
              <w:kern w:val="0"/>
            </w:rPr>
            <w:fldChar w:fldCharType="separate"/>
          </w:r>
          <w:r>
            <w:rPr>
              <w:rFonts w:hint="eastAsia"/>
            </w:rPr>
            <w:t>第一章  发展基础和发展环境</w:t>
          </w:r>
          <w:r>
            <w:tab/>
          </w:r>
          <w:r>
            <w:fldChar w:fldCharType="begin"/>
          </w:r>
          <w:r>
            <w:instrText xml:space="preserve"> PAGEREF _Toc22348 </w:instrText>
          </w:r>
          <w:r>
            <w:fldChar w:fldCharType="separate"/>
          </w:r>
          <w:r>
            <w:t>1</w:t>
          </w:r>
          <w:r>
            <w:fldChar w:fldCharType="end"/>
          </w:r>
          <w:r>
            <w:rPr>
              <w:rFonts w:ascii="Calibri" w:hAnsi="Calibri" w:eastAsia="宋体" w:cs="Calibri"/>
              <w:kern w:val="0"/>
            </w:rPr>
            <w:fldChar w:fldCharType="end"/>
          </w:r>
        </w:p>
        <w:p w14:paraId="332EC246">
          <w:pPr>
            <w:pStyle w:val="15"/>
            <w:tabs>
              <w:tab w:val="right" w:leader="dot" w:pos="8306"/>
            </w:tabs>
          </w:pPr>
          <w:r>
            <w:fldChar w:fldCharType="begin"/>
          </w:r>
          <w:r>
            <w:instrText xml:space="preserve"> HYPERLINK \l _Toc32754 </w:instrText>
          </w:r>
          <w:r>
            <w:fldChar w:fldCharType="separate"/>
          </w:r>
          <w:r>
            <w:rPr>
              <w:rFonts w:hint="eastAsia" w:ascii="黑体" w:hAnsi="黑体" w:eastAsia="黑体"/>
            </w:rPr>
            <w:t>第一节  发展现状</w:t>
          </w:r>
          <w:r>
            <w:tab/>
          </w:r>
          <w:r>
            <w:fldChar w:fldCharType="begin"/>
          </w:r>
          <w:r>
            <w:instrText xml:space="preserve"> PAGEREF _Toc32754 </w:instrText>
          </w:r>
          <w:r>
            <w:fldChar w:fldCharType="separate"/>
          </w:r>
          <w:r>
            <w:t>1</w:t>
          </w:r>
          <w:r>
            <w:fldChar w:fldCharType="end"/>
          </w:r>
          <w:r>
            <w:fldChar w:fldCharType="end"/>
          </w:r>
        </w:p>
        <w:p w14:paraId="52B63C05">
          <w:pPr>
            <w:pStyle w:val="15"/>
            <w:tabs>
              <w:tab w:val="right" w:leader="dot" w:pos="8306"/>
            </w:tabs>
          </w:pPr>
          <w:r>
            <w:fldChar w:fldCharType="begin"/>
          </w:r>
          <w:r>
            <w:instrText xml:space="preserve"> HYPERLINK \l _Toc11217 </w:instrText>
          </w:r>
          <w:r>
            <w:fldChar w:fldCharType="separate"/>
          </w:r>
          <w:r>
            <w:rPr>
              <w:rFonts w:hint="eastAsia" w:ascii="黑体" w:hAnsi="黑体" w:eastAsia="黑体"/>
            </w:rPr>
            <w:t>第二节  发展环境</w:t>
          </w:r>
          <w:r>
            <w:tab/>
          </w:r>
          <w:r>
            <w:fldChar w:fldCharType="begin"/>
          </w:r>
          <w:r>
            <w:instrText xml:space="preserve"> PAGEREF _Toc11217 </w:instrText>
          </w:r>
          <w:r>
            <w:fldChar w:fldCharType="separate"/>
          </w:r>
          <w:r>
            <w:t>5</w:t>
          </w:r>
          <w:r>
            <w:fldChar w:fldCharType="end"/>
          </w:r>
          <w:r>
            <w:fldChar w:fldCharType="end"/>
          </w:r>
        </w:p>
        <w:p w14:paraId="5319A241">
          <w:pPr>
            <w:pStyle w:val="15"/>
            <w:tabs>
              <w:tab w:val="right" w:leader="dot" w:pos="8306"/>
            </w:tabs>
          </w:pPr>
          <w:r>
            <w:fldChar w:fldCharType="begin"/>
          </w:r>
          <w:r>
            <w:instrText xml:space="preserve"> HYPERLINK \l _Toc10355 </w:instrText>
          </w:r>
          <w:r>
            <w:fldChar w:fldCharType="separate"/>
          </w:r>
          <w:r>
            <w:rPr>
              <w:rFonts w:hint="eastAsia" w:ascii="黑体" w:hAnsi="黑体" w:eastAsia="黑体"/>
            </w:rPr>
            <w:t>第三节  面临问题</w:t>
          </w:r>
          <w:r>
            <w:tab/>
          </w:r>
          <w:r>
            <w:fldChar w:fldCharType="begin"/>
          </w:r>
          <w:r>
            <w:instrText xml:space="preserve"> PAGEREF _Toc10355 </w:instrText>
          </w:r>
          <w:r>
            <w:fldChar w:fldCharType="separate"/>
          </w:r>
          <w:r>
            <w:t>6</w:t>
          </w:r>
          <w:r>
            <w:fldChar w:fldCharType="end"/>
          </w:r>
          <w:r>
            <w:fldChar w:fldCharType="end"/>
          </w:r>
        </w:p>
        <w:p w14:paraId="64D1761C">
          <w:pPr>
            <w:pStyle w:val="13"/>
            <w:tabs>
              <w:tab w:val="right" w:leader="dot" w:pos="8306"/>
            </w:tabs>
          </w:pPr>
          <w:r>
            <w:fldChar w:fldCharType="begin"/>
          </w:r>
          <w:r>
            <w:instrText xml:space="preserve"> HYPERLINK \l _Toc7362 </w:instrText>
          </w:r>
          <w:r>
            <w:fldChar w:fldCharType="separate"/>
          </w:r>
          <w:r>
            <w:rPr>
              <w:rFonts w:hint="eastAsia"/>
              <w:szCs w:val="36"/>
            </w:rPr>
            <w:t>第二章 总体思路与发展目标</w:t>
          </w:r>
          <w:r>
            <w:tab/>
          </w:r>
          <w:r>
            <w:fldChar w:fldCharType="begin"/>
          </w:r>
          <w:r>
            <w:instrText xml:space="preserve"> PAGEREF _Toc7362 </w:instrText>
          </w:r>
          <w:r>
            <w:fldChar w:fldCharType="separate"/>
          </w:r>
          <w:r>
            <w:t>9</w:t>
          </w:r>
          <w:r>
            <w:fldChar w:fldCharType="end"/>
          </w:r>
          <w:r>
            <w:fldChar w:fldCharType="end"/>
          </w:r>
        </w:p>
        <w:p w14:paraId="6F9DC909">
          <w:pPr>
            <w:pStyle w:val="15"/>
            <w:tabs>
              <w:tab w:val="right" w:leader="dot" w:pos="8306"/>
            </w:tabs>
          </w:pPr>
          <w:r>
            <w:fldChar w:fldCharType="begin"/>
          </w:r>
          <w:r>
            <w:instrText xml:space="preserve"> HYPERLINK \l _Toc97 </w:instrText>
          </w:r>
          <w:r>
            <w:fldChar w:fldCharType="separate"/>
          </w:r>
          <w:r>
            <w:rPr>
              <w:rFonts w:hint="eastAsia" w:ascii="黑体" w:hAnsi="黑体" w:eastAsia="黑体"/>
            </w:rPr>
            <w:t>第一节  指导思想</w:t>
          </w:r>
          <w:r>
            <w:tab/>
          </w:r>
          <w:r>
            <w:fldChar w:fldCharType="begin"/>
          </w:r>
          <w:r>
            <w:instrText xml:space="preserve"> PAGEREF _Toc97 </w:instrText>
          </w:r>
          <w:r>
            <w:fldChar w:fldCharType="separate"/>
          </w:r>
          <w:r>
            <w:t>9</w:t>
          </w:r>
          <w:r>
            <w:fldChar w:fldCharType="end"/>
          </w:r>
          <w:r>
            <w:fldChar w:fldCharType="end"/>
          </w:r>
        </w:p>
        <w:p w14:paraId="0161CB29">
          <w:pPr>
            <w:pStyle w:val="15"/>
            <w:tabs>
              <w:tab w:val="right" w:leader="dot" w:pos="8306"/>
            </w:tabs>
          </w:pPr>
          <w:r>
            <w:fldChar w:fldCharType="begin"/>
          </w:r>
          <w:r>
            <w:instrText xml:space="preserve"> HYPERLINK \l _Toc22091 </w:instrText>
          </w:r>
          <w:r>
            <w:fldChar w:fldCharType="separate"/>
          </w:r>
          <w:r>
            <w:rPr>
              <w:rFonts w:hint="eastAsia" w:ascii="黑体" w:hAnsi="黑体" w:eastAsia="黑体"/>
            </w:rPr>
            <w:t>第二节  基本原则</w:t>
          </w:r>
          <w:r>
            <w:tab/>
          </w:r>
          <w:r>
            <w:fldChar w:fldCharType="begin"/>
          </w:r>
          <w:r>
            <w:instrText xml:space="preserve"> PAGEREF _Toc22091 </w:instrText>
          </w:r>
          <w:r>
            <w:fldChar w:fldCharType="separate"/>
          </w:r>
          <w:r>
            <w:t>9</w:t>
          </w:r>
          <w:r>
            <w:fldChar w:fldCharType="end"/>
          </w:r>
          <w:r>
            <w:fldChar w:fldCharType="end"/>
          </w:r>
        </w:p>
        <w:p w14:paraId="7AA9F0FD">
          <w:pPr>
            <w:pStyle w:val="15"/>
            <w:tabs>
              <w:tab w:val="right" w:leader="dot" w:pos="8306"/>
            </w:tabs>
          </w:pPr>
          <w:r>
            <w:fldChar w:fldCharType="begin"/>
          </w:r>
          <w:r>
            <w:instrText xml:space="preserve"> HYPERLINK \l _Toc19178 </w:instrText>
          </w:r>
          <w:r>
            <w:fldChar w:fldCharType="separate"/>
          </w:r>
          <w:r>
            <w:rPr>
              <w:rFonts w:hint="eastAsia" w:ascii="黑体" w:hAnsi="黑体" w:eastAsia="黑体"/>
            </w:rPr>
            <w:t>第三节  战略定位</w:t>
          </w:r>
          <w:r>
            <w:tab/>
          </w:r>
          <w:r>
            <w:fldChar w:fldCharType="begin"/>
          </w:r>
          <w:r>
            <w:instrText xml:space="preserve"> PAGEREF _Toc19178 </w:instrText>
          </w:r>
          <w:r>
            <w:fldChar w:fldCharType="separate"/>
          </w:r>
          <w:r>
            <w:t>10</w:t>
          </w:r>
          <w:r>
            <w:fldChar w:fldCharType="end"/>
          </w:r>
          <w:r>
            <w:fldChar w:fldCharType="end"/>
          </w:r>
        </w:p>
        <w:p w14:paraId="24EEAE6C">
          <w:pPr>
            <w:pStyle w:val="15"/>
            <w:tabs>
              <w:tab w:val="right" w:leader="dot" w:pos="8306"/>
            </w:tabs>
          </w:pPr>
          <w:r>
            <w:fldChar w:fldCharType="begin"/>
          </w:r>
          <w:r>
            <w:instrText xml:space="preserve"> HYPERLINK \l _Toc24552 </w:instrText>
          </w:r>
          <w:r>
            <w:fldChar w:fldCharType="separate"/>
          </w:r>
          <w:r>
            <w:rPr>
              <w:rFonts w:hint="eastAsia" w:ascii="黑体" w:hAnsi="黑体" w:eastAsia="黑体"/>
            </w:rPr>
            <w:t>第四节  发展目标</w:t>
          </w:r>
          <w:r>
            <w:tab/>
          </w:r>
          <w:r>
            <w:fldChar w:fldCharType="begin"/>
          </w:r>
          <w:r>
            <w:instrText xml:space="preserve"> PAGEREF _Toc24552 </w:instrText>
          </w:r>
          <w:r>
            <w:fldChar w:fldCharType="separate"/>
          </w:r>
          <w:r>
            <w:t>13</w:t>
          </w:r>
          <w:r>
            <w:fldChar w:fldCharType="end"/>
          </w:r>
          <w:r>
            <w:fldChar w:fldCharType="end"/>
          </w:r>
        </w:p>
        <w:p w14:paraId="6E23784A">
          <w:pPr>
            <w:pStyle w:val="15"/>
            <w:tabs>
              <w:tab w:val="right" w:leader="dot" w:pos="8306"/>
            </w:tabs>
          </w:pPr>
          <w:r>
            <w:fldChar w:fldCharType="begin"/>
          </w:r>
          <w:r>
            <w:instrText xml:space="preserve"> HYPERLINK \l _Toc1679 </w:instrText>
          </w:r>
          <w:r>
            <w:fldChar w:fldCharType="separate"/>
          </w:r>
          <w:r>
            <w:rPr>
              <w:rFonts w:hint="eastAsia" w:ascii="黑体" w:hAnsi="黑体" w:eastAsia="黑体"/>
            </w:rPr>
            <w:t>第五节  空间布局</w:t>
          </w:r>
          <w:r>
            <w:tab/>
          </w:r>
          <w:r>
            <w:fldChar w:fldCharType="begin"/>
          </w:r>
          <w:r>
            <w:instrText xml:space="preserve"> PAGEREF _Toc1679 </w:instrText>
          </w:r>
          <w:r>
            <w:fldChar w:fldCharType="separate"/>
          </w:r>
          <w:r>
            <w:t>15</w:t>
          </w:r>
          <w:r>
            <w:fldChar w:fldCharType="end"/>
          </w:r>
          <w:r>
            <w:fldChar w:fldCharType="end"/>
          </w:r>
        </w:p>
        <w:p w14:paraId="5E4564F5">
          <w:pPr>
            <w:pStyle w:val="13"/>
            <w:tabs>
              <w:tab w:val="right" w:leader="dot" w:pos="8306"/>
            </w:tabs>
          </w:pPr>
          <w:r>
            <w:fldChar w:fldCharType="begin"/>
          </w:r>
          <w:r>
            <w:instrText xml:space="preserve"> HYPERLINK \l _Toc26402 </w:instrText>
          </w:r>
          <w:r>
            <w:fldChar w:fldCharType="separate"/>
          </w:r>
          <w:r>
            <w:rPr>
              <w:rFonts w:hint="eastAsia"/>
            </w:rPr>
            <w:t>第三章  打造一流创新生态</w:t>
          </w:r>
          <w:r>
            <w:tab/>
          </w:r>
          <w:r>
            <w:fldChar w:fldCharType="begin"/>
          </w:r>
          <w:r>
            <w:instrText xml:space="preserve"> PAGEREF _Toc26402 </w:instrText>
          </w:r>
          <w:r>
            <w:fldChar w:fldCharType="separate"/>
          </w:r>
          <w:r>
            <w:t>20</w:t>
          </w:r>
          <w:r>
            <w:fldChar w:fldCharType="end"/>
          </w:r>
          <w:r>
            <w:fldChar w:fldCharType="end"/>
          </w:r>
        </w:p>
        <w:p w14:paraId="4BD7B3B6">
          <w:pPr>
            <w:pStyle w:val="15"/>
            <w:tabs>
              <w:tab w:val="right" w:leader="dot" w:pos="8306"/>
            </w:tabs>
          </w:pPr>
          <w:r>
            <w:fldChar w:fldCharType="begin"/>
          </w:r>
          <w:r>
            <w:instrText xml:space="preserve"> HYPERLINK \l _Toc30594 </w:instrText>
          </w:r>
          <w:r>
            <w:fldChar w:fldCharType="separate"/>
          </w:r>
          <w:r>
            <w:rPr>
              <w:rFonts w:hint="eastAsia" w:ascii="黑体" w:hAnsi="黑体" w:eastAsia="黑体"/>
            </w:rPr>
            <w:t>第一节  打造一流创新生态</w:t>
          </w:r>
          <w:r>
            <w:tab/>
          </w:r>
          <w:r>
            <w:fldChar w:fldCharType="begin"/>
          </w:r>
          <w:r>
            <w:instrText xml:space="preserve"> PAGEREF _Toc30594 </w:instrText>
          </w:r>
          <w:r>
            <w:fldChar w:fldCharType="separate"/>
          </w:r>
          <w:r>
            <w:t>20</w:t>
          </w:r>
          <w:r>
            <w:fldChar w:fldCharType="end"/>
          </w:r>
          <w:r>
            <w:fldChar w:fldCharType="end"/>
          </w:r>
        </w:p>
        <w:p w14:paraId="557E6F64">
          <w:pPr>
            <w:pStyle w:val="15"/>
            <w:tabs>
              <w:tab w:val="right" w:leader="dot" w:pos="8306"/>
            </w:tabs>
          </w:pPr>
          <w:r>
            <w:fldChar w:fldCharType="begin"/>
          </w:r>
          <w:r>
            <w:instrText xml:space="preserve"> HYPERLINK \l _Toc24842 </w:instrText>
          </w:r>
          <w:r>
            <w:fldChar w:fldCharType="separate"/>
          </w:r>
          <w:r>
            <w:rPr>
              <w:rFonts w:hint="eastAsia" w:ascii="黑体" w:hAnsi="黑体" w:eastAsia="黑体"/>
            </w:rPr>
            <w:t>第二节  提升数字化发展水平</w:t>
          </w:r>
          <w:r>
            <w:tab/>
          </w:r>
          <w:r>
            <w:fldChar w:fldCharType="begin"/>
          </w:r>
          <w:r>
            <w:instrText xml:space="preserve"> PAGEREF _Toc24842 </w:instrText>
          </w:r>
          <w:r>
            <w:fldChar w:fldCharType="separate"/>
          </w:r>
          <w:r>
            <w:t>25</w:t>
          </w:r>
          <w:r>
            <w:fldChar w:fldCharType="end"/>
          </w:r>
          <w:r>
            <w:fldChar w:fldCharType="end"/>
          </w:r>
        </w:p>
        <w:p w14:paraId="287ECB50">
          <w:pPr>
            <w:pStyle w:val="15"/>
            <w:tabs>
              <w:tab w:val="right" w:leader="dot" w:pos="8306"/>
            </w:tabs>
          </w:pPr>
          <w:r>
            <w:fldChar w:fldCharType="begin"/>
          </w:r>
          <w:r>
            <w:instrText xml:space="preserve"> HYPERLINK \l _Toc422 </w:instrText>
          </w:r>
          <w:r>
            <w:fldChar w:fldCharType="separate"/>
          </w:r>
          <w:r>
            <w:rPr>
              <w:rFonts w:hint="eastAsia" w:ascii="黑体" w:hAnsi="黑体" w:eastAsia="黑体"/>
            </w:rPr>
            <w:t>第三节  实施强企名牌工程</w:t>
          </w:r>
          <w:r>
            <w:tab/>
          </w:r>
          <w:r>
            <w:fldChar w:fldCharType="begin"/>
          </w:r>
          <w:r>
            <w:instrText xml:space="preserve"> PAGEREF _Toc422 </w:instrText>
          </w:r>
          <w:r>
            <w:fldChar w:fldCharType="separate"/>
          </w:r>
          <w:r>
            <w:t>27</w:t>
          </w:r>
          <w:r>
            <w:fldChar w:fldCharType="end"/>
          </w:r>
          <w:r>
            <w:fldChar w:fldCharType="end"/>
          </w:r>
        </w:p>
        <w:p w14:paraId="4B7B957E">
          <w:pPr>
            <w:pStyle w:val="13"/>
            <w:tabs>
              <w:tab w:val="right" w:leader="dot" w:pos="8306"/>
            </w:tabs>
          </w:pPr>
          <w:r>
            <w:fldChar w:fldCharType="begin"/>
          </w:r>
          <w:r>
            <w:instrText xml:space="preserve"> HYPERLINK \l _Toc16551 </w:instrText>
          </w:r>
          <w:r>
            <w:fldChar w:fldCharType="separate"/>
          </w:r>
          <w:r>
            <w:rPr>
              <w:rFonts w:hint="eastAsia"/>
              <w:szCs w:val="36"/>
            </w:rPr>
            <w:t>第四章  构筑现代产业体系</w:t>
          </w:r>
          <w:r>
            <w:tab/>
          </w:r>
          <w:r>
            <w:fldChar w:fldCharType="begin"/>
          </w:r>
          <w:r>
            <w:instrText xml:space="preserve"> PAGEREF _Toc16551 </w:instrText>
          </w:r>
          <w:r>
            <w:fldChar w:fldCharType="separate"/>
          </w:r>
          <w:r>
            <w:t>29</w:t>
          </w:r>
          <w:r>
            <w:fldChar w:fldCharType="end"/>
          </w:r>
          <w:r>
            <w:fldChar w:fldCharType="end"/>
          </w:r>
        </w:p>
        <w:p w14:paraId="05B90A23">
          <w:pPr>
            <w:pStyle w:val="15"/>
            <w:tabs>
              <w:tab w:val="right" w:leader="dot" w:pos="8306"/>
            </w:tabs>
          </w:pPr>
          <w:r>
            <w:fldChar w:fldCharType="begin"/>
          </w:r>
          <w:r>
            <w:instrText xml:space="preserve"> HYPERLINK \l _Toc14292 </w:instrText>
          </w:r>
          <w:r>
            <w:fldChar w:fldCharType="separate"/>
          </w:r>
          <w:r>
            <w:rPr>
              <w:rFonts w:hint="eastAsia" w:ascii="黑体" w:hAnsi="黑体" w:eastAsia="黑体"/>
              <w:kern w:val="0"/>
            </w:rPr>
            <w:t>第一节  提质升级现代陶瓷新材料产业</w:t>
          </w:r>
          <w:r>
            <w:tab/>
          </w:r>
          <w:r>
            <w:fldChar w:fldCharType="begin"/>
          </w:r>
          <w:r>
            <w:instrText xml:space="preserve"> PAGEREF _Toc14292 </w:instrText>
          </w:r>
          <w:r>
            <w:fldChar w:fldCharType="separate"/>
          </w:r>
          <w:r>
            <w:t>29</w:t>
          </w:r>
          <w:r>
            <w:fldChar w:fldCharType="end"/>
          </w:r>
          <w:r>
            <w:fldChar w:fldCharType="end"/>
          </w:r>
        </w:p>
        <w:p w14:paraId="68EF5E83">
          <w:pPr>
            <w:pStyle w:val="15"/>
            <w:tabs>
              <w:tab w:val="right" w:leader="dot" w:pos="8306"/>
            </w:tabs>
          </w:pPr>
          <w:r>
            <w:fldChar w:fldCharType="begin"/>
          </w:r>
          <w:r>
            <w:instrText xml:space="preserve"> HYPERLINK \l _Toc12722 </w:instrText>
          </w:r>
          <w:r>
            <w:fldChar w:fldCharType="separate"/>
          </w:r>
          <w:r>
            <w:rPr>
              <w:rFonts w:hint="eastAsia" w:ascii="黑体" w:hAnsi="黑体" w:eastAsia="黑体"/>
            </w:rPr>
            <w:t>第二节  发展壮大精细化工</w:t>
          </w:r>
          <w:r>
            <w:rPr>
              <w:rFonts w:ascii="黑体" w:hAnsi="黑体" w:eastAsia="黑体"/>
            </w:rPr>
            <w:t>产业</w:t>
          </w:r>
          <w:r>
            <w:tab/>
          </w:r>
          <w:r>
            <w:fldChar w:fldCharType="begin"/>
          </w:r>
          <w:r>
            <w:instrText xml:space="preserve"> PAGEREF _Toc12722 </w:instrText>
          </w:r>
          <w:r>
            <w:fldChar w:fldCharType="separate"/>
          </w:r>
          <w:r>
            <w:t>34</w:t>
          </w:r>
          <w:r>
            <w:fldChar w:fldCharType="end"/>
          </w:r>
          <w:r>
            <w:fldChar w:fldCharType="end"/>
          </w:r>
        </w:p>
        <w:p w14:paraId="14CF790F">
          <w:pPr>
            <w:pStyle w:val="15"/>
            <w:tabs>
              <w:tab w:val="right" w:leader="dot" w:pos="8306"/>
            </w:tabs>
          </w:pPr>
          <w:r>
            <w:fldChar w:fldCharType="begin"/>
          </w:r>
          <w:r>
            <w:instrText xml:space="preserve"> HYPERLINK \l _Toc29208 </w:instrText>
          </w:r>
          <w:r>
            <w:fldChar w:fldCharType="separate"/>
          </w:r>
          <w:r>
            <w:rPr>
              <w:rFonts w:hint="eastAsia" w:ascii="黑体" w:hAnsi="黑体" w:eastAsia="黑体"/>
            </w:rPr>
            <w:t xml:space="preserve">第三节  </w:t>
          </w:r>
          <w:r>
            <w:rPr>
              <w:rFonts w:hint="eastAsia" w:ascii="黑体" w:hAnsi="黑体" w:eastAsia="黑体"/>
              <w:lang w:val="en-US" w:eastAsia="zh-CN"/>
            </w:rPr>
            <w:t>加快</w:t>
          </w:r>
          <w:r>
            <w:rPr>
              <w:rFonts w:hint="eastAsia" w:ascii="黑体" w:hAnsi="黑体" w:eastAsia="黑体"/>
            </w:rPr>
            <w:t>发展</w:t>
          </w:r>
          <w:r>
            <w:rPr>
              <w:rFonts w:ascii="黑体" w:hAnsi="黑体" w:eastAsia="黑体"/>
            </w:rPr>
            <w:t>新能源产业</w:t>
          </w:r>
          <w:r>
            <w:tab/>
          </w:r>
          <w:r>
            <w:fldChar w:fldCharType="begin"/>
          </w:r>
          <w:r>
            <w:instrText xml:space="preserve"> PAGEREF _Toc29208 </w:instrText>
          </w:r>
          <w:r>
            <w:fldChar w:fldCharType="separate"/>
          </w:r>
          <w:r>
            <w:t>35</w:t>
          </w:r>
          <w:r>
            <w:fldChar w:fldCharType="end"/>
          </w:r>
          <w:r>
            <w:fldChar w:fldCharType="end"/>
          </w:r>
        </w:p>
        <w:p w14:paraId="2B068737">
          <w:pPr>
            <w:pStyle w:val="15"/>
            <w:tabs>
              <w:tab w:val="right" w:leader="dot" w:pos="8306"/>
            </w:tabs>
          </w:pPr>
          <w:r>
            <w:fldChar w:fldCharType="begin"/>
          </w:r>
          <w:r>
            <w:instrText xml:space="preserve"> HYPERLINK \l _Toc597 </w:instrText>
          </w:r>
          <w:r>
            <w:fldChar w:fldCharType="separate"/>
          </w:r>
          <w:r>
            <w:rPr>
              <w:rFonts w:hint="eastAsia" w:ascii="黑体" w:hAnsi="黑体" w:eastAsia="黑体"/>
            </w:rPr>
            <w:t xml:space="preserve">第四节  </w:t>
          </w:r>
          <w:r>
            <w:rPr>
              <w:rFonts w:hint="eastAsia" w:ascii="黑体" w:hAnsi="黑体" w:eastAsia="黑体"/>
              <w:lang w:val="en-US" w:eastAsia="zh-CN"/>
            </w:rPr>
            <w:t>大力</w:t>
          </w:r>
          <w:r>
            <w:rPr>
              <w:rFonts w:hint="eastAsia" w:ascii="黑体" w:hAnsi="黑体" w:eastAsia="黑体"/>
            </w:rPr>
            <w:t>培育装备制造产业</w:t>
          </w:r>
          <w:r>
            <w:tab/>
          </w:r>
          <w:r>
            <w:fldChar w:fldCharType="begin"/>
          </w:r>
          <w:r>
            <w:instrText xml:space="preserve"> PAGEREF _Toc597 </w:instrText>
          </w:r>
          <w:r>
            <w:fldChar w:fldCharType="separate"/>
          </w:r>
          <w:r>
            <w:t>37</w:t>
          </w:r>
          <w:r>
            <w:fldChar w:fldCharType="end"/>
          </w:r>
          <w:r>
            <w:fldChar w:fldCharType="end"/>
          </w:r>
        </w:p>
        <w:p w14:paraId="7ED23B50">
          <w:pPr>
            <w:pStyle w:val="15"/>
            <w:tabs>
              <w:tab w:val="right" w:leader="dot" w:pos="8306"/>
            </w:tabs>
          </w:pPr>
          <w:r>
            <w:fldChar w:fldCharType="begin"/>
          </w:r>
          <w:r>
            <w:instrText xml:space="preserve"> HYPERLINK \l _Toc2816 </w:instrText>
          </w:r>
          <w:r>
            <w:fldChar w:fldCharType="separate"/>
          </w:r>
          <w:r>
            <w:rPr>
              <w:rFonts w:hint="eastAsia" w:ascii="黑体" w:hAnsi="黑体" w:eastAsia="黑体"/>
            </w:rPr>
            <w:t>第五节  围绕制造业发展现代</w:t>
          </w:r>
          <w:r>
            <w:rPr>
              <w:rFonts w:ascii="黑体" w:hAnsi="黑体" w:eastAsia="黑体"/>
            </w:rPr>
            <w:t>物流业</w:t>
          </w:r>
          <w:r>
            <w:tab/>
          </w:r>
          <w:r>
            <w:fldChar w:fldCharType="begin"/>
          </w:r>
          <w:r>
            <w:instrText xml:space="preserve"> PAGEREF _Toc2816 </w:instrText>
          </w:r>
          <w:r>
            <w:fldChar w:fldCharType="separate"/>
          </w:r>
          <w:r>
            <w:t>39</w:t>
          </w:r>
          <w:r>
            <w:fldChar w:fldCharType="end"/>
          </w:r>
          <w:r>
            <w:fldChar w:fldCharType="end"/>
          </w:r>
        </w:p>
        <w:p w14:paraId="14A0E35A">
          <w:pPr>
            <w:pStyle w:val="15"/>
            <w:tabs>
              <w:tab w:val="right" w:leader="dot" w:pos="8306"/>
            </w:tabs>
          </w:pPr>
          <w:r>
            <w:fldChar w:fldCharType="begin"/>
          </w:r>
          <w:r>
            <w:instrText xml:space="preserve"> HYPERLINK \l _Toc31691 </w:instrText>
          </w:r>
          <w:r>
            <w:fldChar w:fldCharType="separate"/>
          </w:r>
          <w:r>
            <w:rPr>
              <w:rFonts w:hint="eastAsia" w:ascii="黑体" w:hAnsi="黑体" w:eastAsia="黑体"/>
            </w:rPr>
            <w:t>第六节  用好资源禀赋发展</w:t>
          </w:r>
          <w:r>
            <w:rPr>
              <w:rFonts w:ascii="黑体" w:hAnsi="黑体" w:eastAsia="黑体"/>
            </w:rPr>
            <w:t>大健康产业</w:t>
          </w:r>
          <w:r>
            <w:tab/>
          </w:r>
          <w:r>
            <w:fldChar w:fldCharType="begin"/>
          </w:r>
          <w:r>
            <w:instrText xml:space="preserve"> PAGEREF _Toc31691 </w:instrText>
          </w:r>
          <w:r>
            <w:fldChar w:fldCharType="separate"/>
          </w:r>
          <w:r>
            <w:t>41</w:t>
          </w:r>
          <w:r>
            <w:fldChar w:fldCharType="end"/>
          </w:r>
          <w:r>
            <w:fldChar w:fldCharType="end"/>
          </w:r>
        </w:p>
        <w:p w14:paraId="1A02AB4C">
          <w:pPr>
            <w:pStyle w:val="15"/>
            <w:tabs>
              <w:tab w:val="right" w:leader="dot" w:pos="8306"/>
            </w:tabs>
          </w:pPr>
          <w:r>
            <w:fldChar w:fldCharType="begin"/>
          </w:r>
          <w:r>
            <w:instrText xml:space="preserve"> HYPERLINK \l _Toc9267 </w:instrText>
          </w:r>
          <w:r>
            <w:fldChar w:fldCharType="separate"/>
          </w:r>
          <w:r>
            <w:rPr>
              <w:rFonts w:hint="eastAsia" w:ascii="黑体" w:hAnsi="黑体" w:eastAsia="黑体"/>
            </w:rPr>
            <w:t>第七节  加快“六大平台”建设</w:t>
          </w:r>
          <w:r>
            <w:tab/>
          </w:r>
          <w:r>
            <w:fldChar w:fldCharType="begin"/>
          </w:r>
          <w:r>
            <w:instrText xml:space="preserve"> PAGEREF _Toc9267 </w:instrText>
          </w:r>
          <w:r>
            <w:fldChar w:fldCharType="separate"/>
          </w:r>
          <w:r>
            <w:t>44</w:t>
          </w:r>
          <w:r>
            <w:fldChar w:fldCharType="end"/>
          </w:r>
          <w:r>
            <w:fldChar w:fldCharType="end"/>
          </w:r>
        </w:p>
        <w:p w14:paraId="4BC93F1D">
          <w:pPr>
            <w:pStyle w:val="13"/>
            <w:tabs>
              <w:tab w:val="right" w:leader="dot" w:pos="8306"/>
            </w:tabs>
          </w:pPr>
          <w:r>
            <w:fldChar w:fldCharType="begin"/>
          </w:r>
          <w:r>
            <w:instrText xml:space="preserve"> HYPERLINK \l _Toc10513 </w:instrText>
          </w:r>
          <w:r>
            <w:fldChar w:fldCharType="separate"/>
          </w:r>
          <w:r>
            <w:rPr>
              <w:rFonts w:hint="eastAsia"/>
              <w:szCs w:val="36"/>
            </w:rPr>
            <w:t>第五章  高水平招商引资，开拓合作共赢新局面</w:t>
          </w:r>
          <w:r>
            <w:tab/>
          </w:r>
          <w:r>
            <w:fldChar w:fldCharType="begin"/>
          </w:r>
          <w:r>
            <w:instrText xml:space="preserve"> PAGEREF _Toc10513 </w:instrText>
          </w:r>
          <w:r>
            <w:fldChar w:fldCharType="separate"/>
          </w:r>
          <w:r>
            <w:t>52</w:t>
          </w:r>
          <w:r>
            <w:fldChar w:fldCharType="end"/>
          </w:r>
          <w:r>
            <w:fldChar w:fldCharType="end"/>
          </w:r>
        </w:p>
        <w:p w14:paraId="336F4324">
          <w:pPr>
            <w:pStyle w:val="15"/>
            <w:tabs>
              <w:tab w:val="right" w:leader="dot" w:pos="8306"/>
            </w:tabs>
          </w:pPr>
          <w:r>
            <w:fldChar w:fldCharType="begin"/>
          </w:r>
          <w:r>
            <w:instrText xml:space="preserve"> HYPERLINK \l _Toc5351 </w:instrText>
          </w:r>
          <w:r>
            <w:fldChar w:fldCharType="separate"/>
          </w:r>
          <w:r>
            <w:rPr>
              <w:rFonts w:hint="eastAsia" w:ascii="黑体" w:hAnsi="黑体" w:eastAsia="黑体"/>
            </w:rPr>
            <w:t>第一节  高起点谋划推进招商引资</w:t>
          </w:r>
          <w:r>
            <w:tab/>
          </w:r>
          <w:r>
            <w:fldChar w:fldCharType="begin"/>
          </w:r>
          <w:r>
            <w:instrText xml:space="preserve"> PAGEREF _Toc5351 </w:instrText>
          </w:r>
          <w:r>
            <w:fldChar w:fldCharType="separate"/>
          </w:r>
          <w:r>
            <w:t>52</w:t>
          </w:r>
          <w:r>
            <w:fldChar w:fldCharType="end"/>
          </w:r>
          <w:r>
            <w:fldChar w:fldCharType="end"/>
          </w:r>
        </w:p>
        <w:p w14:paraId="3D76858F">
          <w:pPr>
            <w:pStyle w:val="15"/>
            <w:tabs>
              <w:tab w:val="right" w:leader="dot" w:pos="8306"/>
            </w:tabs>
          </w:pPr>
          <w:r>
            <w:fldChar w:fldCharType="begin"/>
          </w:r>
          <w:r>
            <w:instrText xml:space="preserve"> HYPERLINK \l _Toc17414 </w:instrText>
          </w:r>
          <w:r>
            <w:fldChar w:fldCharType="separate"/>
          </w:r>
          <w:r>
            <w:rPr>
              <w:rFonts w:hint="eastAsia" w:ascii="黑体" w:hAnsi="黑体" w:eastAsia="黑体"/>
            </w:rPr>
            <w:t xml:space="preserve">第二节  </w:t>
          </w:r>
          <w:r>
            <w:rPr>
              <w:rFonts w:hint="eastAsia" w:ascii="黑体" w:hAnsi="黑体" w:eastAsia="黑体"/>
              <w:bCs/>
            </w:rPr>
            <w:t>“五链耦合”壮大优势产业集群</w:t>
          </w:r>
          <w:r>
            <w:tab/>
          </w:r>
          <w:r>
            <w:fldChar w:fldCharType="begin"/>
          </w:r>
          <w:r>
            <w:instrText xml:space="preserve"> PAGEREF _Toc17414 </w:instrText>
          </w:r>
          <w:r>
            <w:fldChar w:fldCharType="separate"/>
          </w:r>
          <w:r>
            <w:t>54</w:t>
          </w:r>
          <w:r>
            <w:fldChar w:fldCharType="end"/>
          </w:r>
          <w:r>
            <w:fldChar w:fldCharType="end"/>
          </w:r>
        </w:p>
        <w:p w14:paraId="27EEFDF0">
          <w:pPr>
            <w:pStyle w:val="15"/>
            <w:tabs>
              <w:tab w:val="right" w:leader="dot" w:pos="8306"/>
            </w:tabs>
          </w:pPr>
          <w:r>
            <w:fldChar w:fldCharType="begin"/>
          </w:r>
          <w:r>
            <w:instrText xml:space="preserve"> HYPERLINK \l _Toc30965 </w:instrText>
          </w:r>
          <w:r>
            <w:fldChar w:fldCharType="separate"/>
          </w:r>
          <w:r>
            <w:rPr>
              <w:rFonts w:hint="eastAsia" w:ascii="黑体" w:hAnsi="黑体" w:eastAsia="黑体"/>
            </w:rPr>
            <w:t>第三节  全面优化招商方式</w:t>
          </w:r>
          <w:r>
            <w:tab/>
          </w:r>
          <w:r>
            <w:fldChar w:fldCharType="begin"/>
          </w:r>
          <w:r>
            <w:instrText xml:space="preserve"> PAGEREF _Toc30965 </w:instrText>
          </w:r>
          <w:r>
            <w:fldChar w:fldCharType="separate"/>
          </w:r>
          <w:r>
            <w:t>55</w:t>
          </w:r>
          <w:r>
            <w:fldChar w:fldCharType="end"/>
          </w:r>
          <w:r>
            <w:fldChar w:fldCharType="end"/>
          </w:r>
        </w:p>
        <w:p w14:paraId="1841DA3F">
          <w:pPr>
            <w:pStyle w:val="15"/>
            <w:tabs>
              <w:tab w:val="right" w:leader="dot" w:pos="8306"/>
            </w:tabs>
          </w:pPr>
          <w:r>
            <w:fldChar w:fldCharType="begin"/>
          </w:r>
          <w:r>
            <w:instrText xml:space="preserve"> HYPERLINK \l _Toc1200 </w:instrText>
          </w:r>
          <w:r>
            <w:fldChar w:fldCharType="separate"/>
          </w:r>
          <w:r>
            <w:rPr>
              <w:rFonts w:ascii="黑体" w:hAnsi="黑体" w:eastAsia="黑体"/>
            </w:rPr>
            <w:t>第</w:t>
          </w:r>
          <w:r>
            <w:rPr>
              <w:rFonts w:hint="eastAsia" w:ascii="黑体" w:hAnsi="黑体" w:eastAsia="黑体"/>
              <w:lang w:val="en-US" w:eastAsia="zh-CN"/>
            </w:rPr>
            <w:t>四</w:t>
          </w:r>
          <w:r>
            <w:rPr>
              <w:rFonts w:ascii="黑体" w:hAnsi="黑体" w:eastAsia="黑体"/>
            </w:rPr>
            <w:t xml:space="preserve">节  </w:t>
          </w:r>
          <w:r>
            <w:rPr>
              <w:rFonts w:hint="eastAsia" w:ascii="黑体" w:hAnsi="黑体" w:eastAsia="黑体"/>
            </w:rPr>
            <w:t>优化营商环境</w:t>
          </w:r>
          <w:r>
            <w:tab/>
          </w:r>
          <w:r>
            <w:fldChar w:fldCharType="begin"/>
          </w:r>
          <w:r>
            <w:instrText xml:space="preserve"> PAGEREF _Toc1200 </w:instrText>
          </w:r>
          <w:r>
            <w:fldChar w:fldCharType="separate"/>
          </w:r>
          <w:r>
            <w:t>58</w:t>
          </w:r>
          <w:r>
            <w:fldChar w:fldCharType="end"/>
          </w:r>
          <w:r>
            <w:fldChar w:fldCharType="end"/>
          </w:r>
        </w:p>
        <w:p w14:paraId="0E7BC075">
          <w:pPr>
            <w:pStyle w:val="15"/>
            <w:tabs>
              <w:tab w:val="right" w:leader="dot" w:pos="8306"/>
            </w:tabs>
          </w:pPr>
          <w:r>
            <w:fldChar w:fldCharType="begin"/>
          </w:r>
          <w:r>
            <w:instrText xml:space="preserve"> HYPERLINK \l _Toc19866 </w:instrText>
          </w:r>
          <w:r>
            <w:fldChar w:fldCharType="separate"/>
          </w:r>
          <w:r>
            <w:rPr>
              <w:rFonts w:hint="eastAsia" w:ascii="黑体" w:hAnsi="黑体" w:eastAsia="黑体"/>
            </w:rPr>
            <w:t>第</w:t>
          </w:r>
          <w:r>
            <w:rPr>
              <w:rFonts w:hint="eastAsia" w:ascii="黑体" w:hAnsi="黑体" w:eastAsia="黑体"/>
              <w:lang w:val="en-US" w:eastAsia="zh-CN"/>
            </w:rPr>
            <w:t>五</w:t>
          </w:r>
          <w:r>
            <w:rPr>
              <w:rFonts w:hint="eastAsia" w:ascii="黑体" w:hAnsi="黑体" w:eastAsia="黑体"/>
            </w:rPr>
            <w:t>节  全面提升对外开放水平</w:t>
          </w:r>
          <w:r>
            <w:tab/>
          </w:r>
          <w:r>
            <w:fldChar w:fldCharType="begin"/>
          </w:r>
          <w:r>
            <w:instrText xml:space="preserve"> PAGEREF _Toc19866 </w:instrText>
          </w:r>
          <w:r>
            <w:fldChar w:fldCharType="separate"/>
          </w:r>
          <w:r>
            <w:t>59</w:t>
          </w:r>
          <w:r>
            <w:fldChar w:fldCharType="end"/>
          </w:r>
          <w:r>
            <w:fldChar w:fldCharType="end"/>
          </w:r>
        </w:p>
        <w:p w14:paraId="135A6B91">
          <w:pPr>
            <w:pStyle w:val="13"/>
            <w:tabs>
              <w:tab w:val="right" w:leader="dot" w:pos="8306"/>
            </w:tabs>
          </w:pPr>
          <w:r>
            <w:fldChar w:fldCharType="begin"/>
          </w:r>
          <w:r>
            <w:instrText xml:space="preserve"> HYPERLINK \l _Toc11133 </w:instrText>
          </w:r>
          <w:r>
            <w:fldChar w:fldCharType="separate"/>
          </w:r>
          <w:r>
            <w:rPr>
              <w:rFonts w:hint="eastAsia"/>
              <w:szCs w:val="36"/>
            </w:rPr>
            <w:t>第六章  突出产城融合，推进区域协调发展</w:t>
          </w:r>
          <w:r>
            <w:tab/>
          </w:r>
          <w:r>
            <w:fldChar w:fldCharType="begin"/>
          </w:r>
          <w:r>
            <w:instrText xml:space="preserve"> PAGEREF _Toc11133 </w:instrText>
          </w:r>
          <w:r>
            <w:fldChar w:fldCharType="separate"/>
          </w:r>
          <w:r>
            <w:t>62</w:t>
          </w:r>
          <w:r>
            <w:fldChar w:fldCharType="end"/>
          </w:r>
          <w:r>
            <w:fldChar w:fldCharType="end"/>
          </w:r>
        </w:p>
        <w:p w14:paraId="2577E3A4">
          <w:pPr>
            <w:pStyle w:val="15"/>
            <w:tabs>
              <w:tab w:val="right" w:leader="dot" w:pos="8306"/>
            </w:tabs>
          </w:pPr>
          <w:r>
            <w:fldChar w:fldCharType="begin"/>
          </w:r>
          <w:r>
            <w:instrText xml:space="preserve"> HYPERLINK \l _Toc9914 </w:instrText>
          </w:r>
          <w:r>
            <w:fldChar w:fldCharType="separate"/>
          </w:r>
          <w:r>
            <w:rPr>
              <w:rFonts w:ascii="黑体" w:hAnsi="黑体" w:eastAsia="黑体"/>
            </w:rPr>
            <w:t>第一节  优化</w:t>
          </w:r>
          <w:r>
            <w:rPr>
              <w:rFonts w:hint="eastAsia" w:ascii="黑体" w:hAnsi="黑体" w:eastAsia="黑体"/>
            </w:rPr>
            <w:t>开发区</w:t>
          </w:r>
          <w:r>
            <w:rPr>
              <w:rFonts w:ascii="黑体" w:hAnsi="黑体" w:eastAsia="黑体"/>
            </w:rPr>
            <w:t>功能布局</w:t>
          </w:r>
          <w:r>
            <w:tab/>
          </w:r>
          <w:r>
            <w:fldChar w:fldCharType="begin"/>
          </w:r>
          <w:r>
            <w:instrText xml:space="preserve"> PAGEREF _Toc9914 </w:instrText>
          </w:r>
          <w:r>
            <w:fldChar w:fldCharType="separate"/>
          </w:r>
          <w:r>
            <w:t>62</w:t>
          </w:r>
          <w:r>
            <w:fldChar w:fldCharType="end"/>
          </w:r>
          <w:r>
            <w:fldChar w:fldCharType="end"/>
          </w:r>
        </w:p>
        <w:p w14:paraId="5D739AAC">
          <w:pPr>
            <w:pStyle w:val="15"/>
            <w:tabs>
              <w:tab w:val="right" w:leader="dot" w:pos="8306"/>
            </w:tabs>
          </w:pPr>
          <w:r>
            <w:fldChar w:fldCharType="begin"/>
          </w:r>
          <w:r>
            <w:instrText xml:space="preserve"> HYPERLINK \l _Toc17681 </w:instrText>
          </w:r>
          <w:r>
            <w:fldChar w:fldCharType="separate"/>
          </w:r>
          <w:r>
            <w:rPr>
              <w:rFonts w:ascii="黑体" w:hAnsi="黑体" w:eastAsia="黑体"/>
            </w:rPr>
            <w:t>第二节  提升开发区品质</w:t>
          </w:r>
          <w:r>
            <w:tab/>
          </w:r>
          <w:r>
            <w:fldChar w:fldCharType="begin"/>
          </w:r>
          <w:r>
            <w:instrText xml:space="preserve"> PAGEREF _Toc17681 </w:instrText>
          </w:r>
          <w:r>
            <w:fldChar w:fldCharType="separate"/>
          </w:r>
          <w:r>
            <w:t>64</w:t>
          </w:r>
          <w:r>
            <w:fldChar w:fldCharType="end"/>
          </w:r>
          <w:r>
            <w:fldChar w:fldCharType="end"/>
          </w:r>
        </w:p>
        <w:p w14:paraId="7280E660">
          <w:pPr>
            <w:pStyle w:val="15"/>
            <w:tabs>
              <w:tab w:val="right" w:leader="dot" w:pos="8306"/>
            </w:tabs>
          </w:pPr>
          <w:r>
            <w:fldChar w:fldCharType="begin"/>
          </w:r>
          <w:r>
            <w:instrText xml:space="preserve"> HYPERLINK \l _Toc29847 </w:instrText>
          </w:r>
          <w:r>
            <w:fldChar w:fldCharType="separate"/>
          </w:r>
          <w:r>
            <w:rPr>
              <w:rFonts w:ascii="黑体" w:hAnsi="黑体" w:eastAsia="黑体"/>
            </w:rPr>
            <w:t>第</w:t>
          </w:r>
          <w:r>
            <w:rPr>
              <w:rFonts w:hint="eastAsia" w:ascii="黑体" w:hAnsi="黑体" w:eastAsia="黑体"/>
              <w:lang w:val="en-US" w:eastAsia="zh-CN"/>
            </w:rPr>
            <w:t>三</w:t>
          </w:r>
          <w:r>
            <w:rPr>
              <w:rFonts w:ascii="黑体" w:hAnsi="黑体" w:eastAsia="黑体"/>
            </w:rPr>
            <w:t>节  提高公共安全保障能力</w:t>
          </w:r>
          <w:r>
            <w:tab/>
          </w:r>
          <w:r>
            <w:fldChar w:fldCharType="begin"/>
          </w:r>
          <w:r>
            <w:instrText xml:space="preserve"> PAGEREF _Toc29847 </w:instrText>
          </w:r>
          <w:r>
            <w:fldChar w:fldCharType="separate"/>
          </w:r>
          <w:r>
            <w:t>66</w:t>
          </w:r>
          <w:r>
            <w:fldChar w:fldCharType="end"/>
          </w:r>
          <w:r>
            <w:fldChar w:fldCharType="end"/>
          </w:r>
        </w:p>
        <w:p w14:paraId="28EC328C">
          <w:pPr>
            <w:pStyle w:val="13"/>
            <w:tabs>
              <w:tab w:val="right" w:leader="dot" w:pos="8306"/>
            </w:tabs>
          </w:pPr>
          <w:r>
            <w:fldChar w:fldCharType="begin"/>
          </w:r>
          <w:r>
            <w:instrText xml:space="preserve"> HYPERLINK \l _Toc28306 </w:instrText>
          </w:r>
          <w:r>
            <w:fldChar w:fldCharType="separate"/>
          </w:r>
          <w:r>
            <w:rPr>
              <w:rFonts w:hint="eastAsia"/>
              <w:szCs w:val="36"/>
            </w:rPr>
            <w:t>第七章  推动绿色发展，促进碳中和碳达峰</w:t>
          </w:r>
          <w:r>
            <w:tab/>
          </w:r>
          <w:r>
            <w:fldChar w:fldCharType="begin"/>
          </w:r>
          <w:r>
            <w:instrText xml:space="preserve"> PAGEREF _Toc28306 </w:instrText>
          </w:r>
          <w:r>
            <w:fldChar w:fldCharType="separate"/>
          </w:r>
          <w:r>
            <w:t>68</w:t>
          </w:r>
          <w:r>
            <w:fldChar w:fldCharType="end"/>
          </w:r>
          <w:r>
            <w:fldChar w:fldCharType="end"/>
          </w:r>
        </w:p>
        <w:p w14:paraId="27966FFA">
          <w:pPr>
            <w:pStyle w:val="15"/>
            <w:tabs>
              <w:tab w:val="right" w:leader="dot" w:pos="8306"/>
            </w:tabs>
          </w:pPr>
          <w:r>
            <w:fldChar w:fldCharType="begin"/>
          </w:r>
          <w:r>
            <w:instrText xml:space="preserve"> HYPERLINK \l _Toc11885 </w:instrText>
          </w:r>
          <w:r>
            <w:fldChar w:fldCharType="separate"/>
          </w:r>
          <w:r>
            <w:rPr>
              <w:rFonts w:ascii="黑体" w:hAnsi="黑体" w:eastAsia="黑体"/>
            </w:rPr>
            <w:t xml:space="preserve">第一节  </w:t>
          </w:r>
          <w:r>
            <w:rPr>
              <w:rFonts w:hint="eastAsia" w:ascii="黑体" w:hAnsi="黑体" w:eastAsia="黑体"/>
              <w:lang w:val="en-US" w:eastAsia="zh-CN"/>
            </w:rPr>
            <w:t>实施</w:t>
          </w:r>
          <w:r>
            <w:rPr>
              <w:rFonts w:ascii="黑体" w:hAnsi="黑体" w:eastAsia="黑体"/>
            </w:rPr>
            <w:t>碳达峰</w:t>
          </w:r>
          <w:r>
            <w:rPr>
              <w:rFonts w:hint="eastAsia" w:ascii="黑体" w:hAnsi="黑体" w:eastAsia="黑体"/>
              <w:lang w:val="en-US" w:eastAsia="zh-CN"/>
            </w:rPr>
            <w:t>碳中和行动</w:t>
          </w:r>
          <w:r>
            <w:tab/>
          </w:r>
          <w:r>
            <w:fldChar w:fldCharType="begin"/>
          </w:r>
          <w:r>
            <w:instrText xml:space="preserve"> PAGEREF _Toc11885 </w:instrText>
          </w:r>
          <w:r>
            <w:fldChar w:fldCharType="separate"/>
          </w:r>
          <w:r>
            <w:t>68</w:t>
          </w:r>
          <w:r>
            <w:fldChar w:fldCharType="end"/>
          </w:r>
          <w:r>
            <w:fldChar w:fldCharType="end"/>
          </w:r>
        </w:p>
        <w:p w14:paraId="3A82BCEF">
          <w:pPr>
            <w:pStyle w:val="15"/>
            <w:tabs>
              <w:tab w:val="right" w:leader="dot" w:pos="8306"/>
            </w:tabs>
          </w:pPr>
          <w:r>
            <w:fldChar w:fldCharType="begin"/>
          </w:r>
          <w:r>
            <w:instrText xml:space="preserve"> HYPERLINK \l _Toc20257 </w:instrText>
          </w:r>
          <w:r>
            <w:fldChar w:fldCharType="separate"/>
          </w:r>
          <w:r>
            <w:rPr>
              <w:rFonts w:ascii="黑体" w:hAnsi="黑体" w:eastAsia="黑体"/>
            </w:rPr>
            <w:t>第二节  强化生态保护与建设</w:t>
          </w:r>
          <w:r>
            <w:tab/>
          </w:r>
          <w:r>
            <w:fldChar w:fldCharType="begin"/>
          </w:r>
          <w:r>
            <w:instrText xml:space="preserve"> PAGEREF _Toc20257 </w:instrText>
          </w:r>
          <w:r>
            <w:fldChar w:fldCharType="separate"/>
          </w:r>
          <w:r>
            <w:t>70</w:t>
          </w:r>
          <w:r>
            <w:fldChar w:fldCharType="end"/>
          </w:r>
          <w:r>
            <w:fldChar w:fldCharType="end"/>
          </w:r>
        </w:p>
        <w:p w14:paraId="3E50636B">
          <w:pPr>
            <w:pStyle w:val="15"/>
            <w:tabs>
              <w:tab w:val="right" w:leader="dot" w:pos="8306"/>
            </w:tabs>
          </w:pPr>
          <w:r>
            <w:fldChar w:fldCharType="begin"/>
          </w:r>
          <w:r>
            <w:instrText xml:space="preserve"> HYPERLINK \l _Toc20267 </w:instrText>
          </w:r>
          <w:r>
            <w:fldChar w:fldCharType="separate"/>
          </w:r>
          <w:r>
            <w:rPr>
              <w:rFonts w:ascii="黑体" w:hAnsi="黑体" w:eastAsia="黑体"/>
            </w:rPr>
            <w:t>第</w:t>
          </w:r>
          <w:r>
            <w:rPr>
              <w:rFonts w:hint="eastAsia" w:ascii="黑体" w:hAnsi="黑体" w:eastAsia="黑体"/>
            </w:rPr>
            <w:t>三</w:t>
          </w:r>
          <w:r>
            <w:rPr>
              <w:rFonts w:ascii="黑体" w:hAnsi="黑体" w:eastAsia="黑体"/>
            </w:rPr>
            <w:t>节  强化污染防治</w:t>
          </w:r>
          <w:r>
            <w:tab/>
          </w:r>
          <w:r>
            <w:fldChar w:fldCharType="begin"/>
          </w:r>
          <w:r>
            <w:instrText xml:space="preserve"> PAGEREF _Toc20267 </w:instrText>
          </w:r>
          <w:r>
            <w:fldChar w:fldCharType="separate"/>
          </w:r>
          <w:r>
            <w:t>71</w:t>
          </w:r>
          <w:r>
            <w:fldChar w:fldCharType="end"/>
          </w:r>
          <w:r>
            <w:fldChar w:fldCharType="end"/>
          </w:r>
        </w:p>
        <w:p w14:paraId="6418ADB4">
          <w:pPr>
            <w:pStyle w:val="13"/>
            <w:tabs>
              <w:tab w:val="right" w:leader="dot" w:pos="8306"/>
            </w:tabs>
          </w:pPr>
          <w:r>
            <w:fldChar w:fldCharType="begin"/>
          </w:r>
          <w:r>
            <w:instrText xml:space="preserve"> HYPERLINK \l _Toc24528 </w:instrText>
          </w:r>
          <w:r>
            <w:fldChar w:fldCharType="separate"/>
          </w:r>
          <w:r>
            <w:rPr>
              <w:rFonts w:hint="eastAsia"/>
              <w:szCs w:val="36"/>
            </w:rPr>
            <w:t xml:space="preserve">第八章  </w:t>
          </w:r>
          <w:r>
            <w:rPr>
              <w:szCs w:val="36"/>
            </w:rPr>
            <w:t>保障措施</w:t>
          </w:r>
          <w:r>
            <w:tab/>
          </w:r>
          <w:r>
            <w:fldChar w:fldCharType="begin"/>
          </w:r>
          <w:r>
            <w:instrText xml:space="preserve"> PAGEREF _Toc24528 </w:instrText>
          </w:r>
          <w:r>
            <w:fldChar w:fldCharType="separate"/>
          </w:r>
          <w:r>
            <w:t>74</w:t>
          </w:r>
          <w:r>
            <w:fldChar w:fldCharType="end"/>
          </w:r>
          <w:r>
            <w:fldChar w:fldCharType="end"/>
          </w:r>
        </w:p>
        <w:p w14:paraId="343D438A">
          <w:pPr>
            <w:pStyle w:val="15"/>
            <w:tabs>
              <w:tab w:val="right" w:leader="dot" w:pos="8306"/>
            </w:tabs>
          </w:pPr>
          <w:r>
            <w:fldChar w:fldCharType="begin"/>
          </w:r>
          <w:r>
            <w:instrText xml:space="preserve"> HYPERLINK \l _Toc5637 </w:instrText>
          </w:r>
          <w:r>
            <w:fldChar w:fldCharType="separate"/>
          </w:r>
          <w:r>
            <w:rPr>
              <w:rFonts w:hint="eastAsia" w:ascii="黑体" w:hAnsi="黑体" w:eastAsia="黑体"/>
            </w:rPr>
            <w:t xml:space="preserve">第一节  </w:t>
          </w:r>
          <w:r>
            <w:rPr>
              <w:rFonts w:ascii="黑体" w:hAnsi="黑体" w:eastAsia="黑体"/>
            </w:rPr>
            <w:t>加强</w:t>
          </w:r>
          <w:r>
            <w:rPr>
              <w:rFonts w:hint="eastAsia" w:ascii="黑体" w:hAnsi="黑体" w:eastAsia="黑体"/>
            </w:rPr>
            <w:t>党的</w:t>
          </w:r>
          <w:r>
            <w:rPr>
              <w:rFonts w:ascii="黑体" w:hAnsi="黑体" w:eastAsia="黑体"/>
            </w:rPr>
            <w:t>领导</w:t>
          </w:r>
          <w:r>
            <w:tab/>
          </w:r>
          <w:r>
            <w:fldChar w:fldCharType="begin"/>
          </w:r>
          <w:r>
            <w:instrText xml:space="preserve"> PAGEREF _Toc5637 </w:instrText>
          </w:r>
          <w:r>
            <w:fldChar w:fldCharType="separate"/>
          </w:r>
          <w:r>
            <w:t>74</w:t>
          </w:r>
          <w:r>
            <w:fldChar w:fldCharType="end"/>
          </w:r>
          <w:r>
            <w:fldChar w:fldCharType="end"/>
          </w:r>
        </w:p>
        <w:p w14:paraId="65FA49A2">
          <w:pPr>
            <w:pStyle w:val="15"/>
            <w:tabs>
              <w:tab w:val="right" w:leader="dot" w:pos="8306"/>
            </w:tabs>
          </w:pPr>
          <w:r>
            <w:fldChar w:fldCharType="begin"/>
          </w:r>
          <w:r>
            <w:instrText xml:space="preserve"> HYPERLINK \l _Toc11176 </w:instrText>
          </w:r>
          <w:r>
            <w:fldChar w:fldCharType="separate"/>
          </w:r>
          <w:r>
            <w:rPr>
              <w:rFonts w:hint="eastAsia" w:ascii="黑体" w:hAnsi="黑体" w:eastAsia="黑体"/>
            </w:rPr>
            <w:t>第二节</w:t>
          </w:r>
          <w:r>
            <w:rPr>
              <w:rFonts w:ascii="黑体" w:hAnsi="黑体" w:eastAsia="黑体"/>
            </w:rPr>
            <w:t xml:space="preserve">  强化项目支撑</w:t>
          </w:r>
          <w:r>
            <w:tab/>
          </w:r>
          <w:r>
            <w:fldChar w:fldCharType="begin"/>
          </w:r>
          <w:r>
            <w:instrText xml:space="preserve"> PAGEREF _Toc11176 </w:instrText>
          </w:r>
          <w:r>
            <w:fldChar w:fldCharType="separate"/>
          </w:r>
          <w:r>
            <w:t>75</w:t>
          </w:r>
          <w:r>
            <w:fldChar w:fldCharType="end"/>
          </w:r>
          <w:r>
            <w:fldChar w:fldCharType="end"/>
          </w:r>
        </w:p>
        <w:p w14:paraId="5F69042B">
          <w:pPr>
            <w:pStyle w:val="15"/>
            <w:tabs>
              <w:tab w:val="right" w:leader="dot" w:pos="8306"/>
            </w:tabs>
          </w:pPr>
          <w:r>
            <w:fldChar w:fldCharType="begin"/>
          </w:r>
          <w:r>
            <w:instrText xml:space="preserve"> HYPERLINK \l _Toc12264 </w:instrText>
          </w:r>
          <w:r>
            <w:fldChar w:fldCharType="separate"/>
          </w:r>
          <w:r>
            <w:rPr>
              <w:rFonts w:hint="eastAsia" w:ascii="黑体" w:hAnsi="黑体" w:eastAsia="黑体"/>
            </w:rPr>
            <w:t>第三节</w:t>
          </w:r>
          <w:r>
            <w:rPr>
              <w:rFonts w:ascii="黑体" w:hAnsi="黑体" w:eastAsia="黑体"/>
            </w:rPr>
            <w:t xml:space="preserve">  强化要素保障</w:t>
          </w:r>
          <w:r>
            <w:tab/>
          </w:r>
          <w:r>
            <w:fldChar w:fldCharType="begin"/>
          </w:r>
          <w:r>
            <w:instrText xml:space="preserve"> PAGEREF _Toc12264 </w:instrText>
          </w:r>
          <w:r>
            <w:fldChar w:fldCharType="separate"/>
          </w:r>
          <w:r>
            <w:t>76</w:t>
          </w:r>
          <w:r>
            <w:fldChar w:fldCharType="end"/>
          </w:r>
          <w:r>
            <w:fldChar w:fldCharType="end"/>
          </w:r>
        </w:p>
        <w:p w14:paraId="47BC7D6D">
          <w:pPr>
            <w:pStyle w:val="15"/>
            <w:tabs>
              <w:tab w:val="right" w:leader="dot" w:pos="8306"/>
            </w:tabs>
          </w:pPr>
          <w:r>
            <w:fldChar w:fldCharType="begin"/>
          </w:r>
          <w:r>
            <w:instrText xml:space="preserve"> HYPERLINK \l _Toc18913 </w:instrText>
          </w:r>
          <w:r>
            <w:fldChar w:fldCharType="separate"/>
          </w:r>
          <w:r>
            <w:rPr>
              <w:rFonts w:hint="eastAsia" w:ascii="黑体" w:hAnsi="黑体" w:eastAsia="黑体"/>
            </w:rPr>
            <w:t>第四节</w:t>
          </w:r>
          <w:r>
            <w:rPr>
              <w:rFonts w:ascii="黑体" w:hAnsi="黑体" w:eastAsia="黑体"/>
            </w:rPr>
            <w:t xml:space="preserve">  </w:t>
          </w:r>
          <w:r>
            <w:rPr>
              <w:rFonts w:hint="eastAsia" w:ascii="黑体" w:hAnsi="黑体" w:eastAsia="黑体"/>
              <w:lang w:val="en-US" w:eastAsia="zh-CN"/>
            </w:rPr>
            <w:t>深化开发区改革</w:t>
          </w:r>
          <w:r>
            <w:tab/>
          </w:r>
          <w:r>
            <w:fldChar w:fldCharType="begin"/>
          </w:r>
          <w:r>
            <w:instrText xml:space="preserve"> PAGEREF _Toc18913 </w:instrText>
          </w:r>
          <w:r>
            <w:fldChar w:fldCharType="separate"/>
          </w:r>
          <w:r>
            <w:t>77</w:t>
          </w:r>
          <w:r>
            <w:fldChar w:fldCharType="end"/>
          </w:r>
          <w:r>
            <w:fldChar w:fldCharType="end"/>
          </w:r>
        </w:p>
        <w:p w14:paraId="3C62C906">
          <w:pPr>
            <w:pStyle w:val="15"/>
            <w:tabs>
              <w:tab w:val="right" w:leader="dot" w:pos="8306"/>
            </w:tabs>
          </w:pPr>
          <w:r>
            <w:fldChar w:fldCharType="begin"/>
          </w:r>
          <w:r>
            <w:instrText xml:space="preserve"> HYPERLINK \l _Toc25915 </w:instrText>
          </w:r>
          <w:r>
            <w:fldChar w:fldCharType="separate"/>
          </w:r>
          <w:r>
            <w:rPr>
              <w:rFonts w:hint="eastAsia" w:ascii="黑体" w:hAnsi="黑体" w:eastAsia="黑体"/>
            </w:rPr>
            <w:t>第五节</w:t>
          </w:r>
          <w:r>
            <w:rPr>
              <w:rFonts w:ascii="黑体" w:hAnsi="黑体" w:eastAsia="黑体"/>
            </w:rPr>
            <w:t xml:space="preserve">  加强规划管理</w:t>
          </w:r>
          <w:r>
            <w:tab/>
          </w:r>
          <w:r>
            <w:fldChar w:fldCharType="begin"/>
          </w:r>
          <w:r>
            <w:instrText xml:space="preserve"> PAGEREF _Toc25915 </w:instrText>
          </w:r>
          <w:r>
            <w:fldChar w:fldCharType="separate"/>
          </w:r>
          <w:r>
            <w:t>78</w:t>
          </w:r>
          <w:r>
            <w:fldChar w:fldCharType="end"/>
          </w:r>
          <w:r>
            <w:fldChar w:fldCharType="end"/>
          </w:r>
        </w:p>
        <w:p w14:paraId="7530C551">
          <w:pPr>
            <w:ind w:firstLine="643"/>
          </w:pPr>
          <w:r>
            <w:fldChar w:fldCharType="end"/>
          </w:r>
        </w:p>
      </w:sdtContent>
    </w:sdt>
    <w:p w14:paraId="35144EAA">
      <w:pPr>
        <w:pStyle w:val="3"/>
        <w:rPr>
          <w:rFonts w:hint="eastAsia"/>
          <w:sz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pPr>
    </w:p>
    <w:p w14:paraId="794E0E20">
      <w:pPr>
        <w:pStyle w:val="3"/>
        <w:rPr>
          <w:sz w:val="32"/>
        </w:rPr>
      </w:pPr>
      <w:bookmarkStart w:id="0" w:name="_Toc22348"/>
      <w:r>
        <w:rPr>
          <w:rFonts w:hint="eastAsia"/>
          <w:sz w:val="32"/>
        </w:rPr>
        <w:t>第一章  发展基础和发展环境</w:t>
      </w:r>
      <w:bookmarkEnd w:id="0"/>
    </w:p>
    <w:p w14:paraId="495DC6DC">
      <w:pPr>
        <w:ind w:firstLine="640"/>
      </w:pPr>
      <w:bookmarkStart w:id="1" w:name="_Toc5860"/>
      <w:r>
        <w:rPr>
          <w:rFonts w:hint="eastAsia"/>
        </w:rPr>
        <w:t>“十四五”时期是“两个一百年”奋斗目标的历史交汇期，是阳城经济技术开发区“转型出雏型”的关键期，是阳城开发区力争进入省内一流开发区方阵的重要5年。为把开发区打造成阳城转型发展的主战场、主引擎，在转型发展上率先</w:t>
      </w:r>
      <w:r>
        <w:rPr>
          <w:rFonts w:hint="eastAsia"/>
          <w:lang w:eastAsia="zh-CN"/>
        </w:rPr>
        <w:t>蹚</w:t>
      </w:r>
      <w:r>
        <w:rPr>
          <w:rFonts w:hint="eastAsia"/>
        </w:rPr>
        <w:t>出一条新路，特制定《阳城经济技术开发区国民经济和社会发展第</w:t>
      </w:r>
      <w:r>
        <w:rPr>
          <w:rFonts w:hint="eastAsia"/>
          <w:lang w:eastAsia="zh-CN"/>
        </w:rPr>
        <w:t>“</w:t>
      </w:r>
      <w:r>
        <w:rPr>
          <w:rFonts w:hint="eastAsia"/>
        </w:rPr>
        <w:t>十四五</w:t>
      </w:r>
      <w:r>
        <w:rPr>
          <w:rFonts w:hint="eastAsia"/>
          <w:lang w:eastAsia="zh-CN"/>
        </w:rPr>
        <w:t>”</w:t>
      </w:r>
      <w:r>
        <w:rPr>
          <w:rFonts w:hint="eastAsia"/>
        </w:rPr>
        <w:t>个规划纲要》，主要阐明开发区新时代发展战略、明确经济社会发展宏伟目标、主要任务和重大举措，是指引全区未来五年共同奋斗的宏伟蓝图行动纲领。</w:t>
      </w:r>
    </w:p>
    <w:p w14:paraId="7F128FAA">
      <w:pPr>
        <w:ind w:firstLine="640"/>
      </w:pPr>
    </w:p>
    <w:p w14:paraId="40F96A2E">
      <w:pPr>
        <w:pStyle w:val="4"/>
        <w:rPr>
          <w:rFonts w:ascii="黑体" w:hAnsi="黑体" w:eastAsia="黑体"/>
        </w:rPr>
      </w:pPr>
      <w:bookmarkStart w:id="2" w:name="_Toc32754"/>
      <w:r>
        <w:rPr>
          <w:rFonts w:hint="eastAsia" w:ascii="黑体" w:hAnsi="黑体" w:eastAsia="黑体"/>
        </w:rPr>
        <w:t>第一节  发展现状</w:t>
      </w:r>
      <w:bookmarkEnd w:id="1"/>
      <w:bookmarkEnd w:id="2"/>
    </w:p>
    <w:p w14:paraId="74DF7682">
      <w:pPr>
        <w:ind w:firstLine="640"/>
      </w:pPr>
      <w:r>
        <w:rPr>
          <w:rFonts w:hint="eastAsia"/>
        </w:rPr>
        <w:t>2019年8月正式挂牌成立以来，阳城</w:t>
      </w:r>
      <w:r>
        <w:rPr>
          <w:rFonts w:hint="eastAsia"/>
          <w:lang w:val="en-US" w:eastAsia="zh-CN"/>
        </w:rPr>
        <w:t>经济技术</w:t>
      </w:r>
      <w:r>
        <w:rPr>
          <w:rFonts w:hint="eastAsia"/>
        </w:rPr>
        <w:t>开发区坚持以习近平新时代中国特色社会主义思想和</w:t>
      </w:r>
      <w:r>
        <w:rPr>
          <w:rFonts w:hint="eastAsia"/>
          <w:lang w:val="en-US" w:eastAsia="zh-CN"/>
        </w:rPr>
        <w:t>省委</w:t>
      </w:r>
      <w:r>
        <w:rPr>
          <w:rFonts w:hint="eastAsia"/>
        </w:rPr>
        <w:t>市委</w:t>
      </w:r>
      <w:r>
        <w:rPr>
          <w:rFonts w:hint="eastAsia"/>
          <w:lang w:val="en-US" w:eastAsia="zh-CN"/>
        </w:rPr>
        <w:t>重大决策</w:t>
      </w:r>
      <w:r>
        <w:rPr>
          <w:rFonts w:hint="eastAsia"/>
        </w:rPr>
        <w:t>思路</w:t>
      </w:r>
      <w:r>
        <w:rPr>
          <w:rFonts w:hint="eastAsia"/>
          <w:lang w:val="en-US" w:eastAsia="zh-CN"/>
        </w:rPr>
        <w:t>委指导</w:t>
      </w:r>
      <w:r>
        <w:rPr>
          <w:rFonts w:hint="eastAsia"/>
        </w:rPr>
        <w:t>，按照省委</w:t>
      </w:r>
      <w:r>
        <w:rPr>
          <w:rFonts w:hint="eastAsia"/>
          <w:lang w:val="en-US" w:eastAsia="zh-CN"/>
        </w:rPr>
        <w:t>全方位推动高质量</w:t>
      </w:r>
      <w:r>
        <w:rPr>
          <w:rFonts w:hint="eastAsia"/>
        </w:rPr>
        <w:t>思路，聚焦转型发展，聚焦能源革命，聚焦改革创新，</w:t>
      </w:r>
      <w:r>
        <w:rPr>
          <w:rFonts w:hint="eastAsia"/>
          <w:lang w:val="en-US" w:eastAsia="zh-CN"/>
        </w:rPr>
        <w:t>实施“见新建绿”战略，持续</w:t>
      </w:r>
      <w:r>
        <w:rPr>
          <w:rFonts w:hint="eastAsia"/>
        </w:rPr>
        <w:t>优化营商环境，加大招商引资，</w:t>
      </w:r>
      <w:r>
        <w:rPr>
          <w:rFonts w:hint="eastAsia"/>
          <w:lang w:val="en-US" w:eastAsia="zh-CN"/>
        </w:rPr>
        <w:t>深入</w:t>
      </w:r>
      <w:r>
        <w:rPr>
          <w:rFonts w:hint="eastAsia"/>
        </w:rPr>
        <w:t>推动项目建设</w:t>
      </w:r>
      <w:r>
        <w:rPr>
          <w:rFonts w:hint="eastAsia"/>
          <w:lang w:eastAsia="zh-CN"/>
        </w:rPr>
        <w:t>，</w:t>
      </w:r>
      <w:r>
        <w:rPr>
          <w:rFonts w:hint="eastAsia"/>
          <w:lang w:val="en-US" w:eastAsia="zh-CN"/>
        </w:rPr>
        <w:t>取得了</w:t>
      </w:r>
      <w:r>
        <w:rPr>
          <w:rFonts w:hint="eastAsia"/>
        </w:rPr>
        <w:t>显著成效，开发区建设初具规模。</w:t>
      </w:r>
    </w:p>
    <w:p w14:paraId="0F136783">
      <w:pPr>
        <w:ind w:firstLine="643"/>
        <w:rPr>
          <w:rFonts w:ascii="楷体" w:hAnsi="楷体" w:eastAsia="楷体"/>
          <w:b/>
        </w:rPr>
      </w:pPr>
      <w:r>
        <w:rPr>
          <w:rFonts w:hint="eastAsia" w:ascii="楷体" w:hAnsi="楷体" w:eastAsia="楷体"/>
          <w:b/>
        </w:rPr>
        <w:t>一、考核指标完成保持全省上游</w:t>
      </w:r>
    </w:p>
    <w:p w14:paraId="04EFB41D">
      <w:pPr>
        <w:ind w:firstLine="640"/>
      </w:pPr>
      <w:r>
        <w:rPr>
          <w:rFonts w:hint="eastAsia"/>
          <w:color w:val="000000" w:themeColor="text1"/>
        </w:rPr>
        <w:t>2020年</w:t>
      </w:r>
      <w:r>
        <w:rPr>
          <w:rFonts w:cs="Times New Roman"/>
        </w:rPr>
        <w:t>规模以上工业企业共计完成工业产值343758万元，同比增长13.9%；工业增加值130544万元，（按可比价计算）同比增长13.5%；完成投资115041万元，同比增长318.9%。其中：工业投资项目25个，完成投资73235万元，占开发区投资的63.7%，同比增长395.9%；转型投资项目21个，完成投资66755万元，占工业投资比重为91.2%。新增高新技术企业1个，实现了高新技术企业零的突破；实际利用外资14.1万元，实现了利用外资零的突破；新增“四上”企业4个，“四上”企业数</w:t>
      </w:r>
      <w:r>
        <w:rPr>
          <w:rFonts w:hint="eastAsia" w:cs="Times New Roman"/>
        </w:rPr>
        <w:t>达2</w:t>
      </w:r>
      <w:r>
        <w:rPr>
          <w:rFonts w:cs="Times New Roman"/>
        </w:rPr>
        <w:t>2</w:t>
      </w:r>
      <w:r>
        <w:rPr>
          <w:rFonts w:hint="eastAsia" w:cs="Times New Roman"/>
        </w:rPr>
        <w:t>个，</w:t>
      </w:r>
      <w:r>
        <w:rPr>
          <w:rFonts w:cs="Times New Roman"/>
        </w:rPr>
        <w:t>增速达22.2%；产出强度为</w:t>
      </w:r>
      <w:r>
        <w:rPr>
          <w:rFonts w:hint="eastAsia"/>
        </w:rPr>
        <w:t>101</w:t>
      </w:r>
      <w:r>
        <w:t>万元/亩</w:t>
      </w:r>
      <w:r>
        <w:rPr>
          <w:rFonts w:hint="eastAsia"/>
        </w:rPr>
        <w:t>，在全省开发区考核中排名优秀</w:t>
      </w:r>
      <w:r>
        <w:t>。</w:t>
      </w:r>
    </w:p>
    <w:p w14:paraId="3AC1D608">
      <w:pPr>
        <w:ind w:firstLine="643"/>
        <w:rPr>
          <w:rFonts w:ascii="楷体" w:hAnsi="楷体" w:eastAsia="楷体"/>
          <w:b/>
        </w:rPr>
      </w:pPr>
      <w:r>
        <w:rPr>
          <w:rFonts w:hint="eastAsia" w:ascii="楷体" w:hAnsi="楷体" w:eastAsia="楷体"/>
          <w:b/>
        </w:rPr>
        <w:t>二、综合实力大幅提升</w:t>
      </w:r>
    </w:p>
    <w:p w14:paraId="4AC18265">
      <w:pPr>
        <w:ind w:firstLine="640"/>
      </w:pPr>
      <w:r>
        <w:rPr>
          <w:rFonts w:hint="eastAsia"/>
        </w:rPr>
        <w:t>在山西省、晋城市和阳城县政府的共同努力之下，2011年12月阳城县被全省列入“首批扩权强县改革试点县”；2012年11月国务院正式批复《中原经济区规划》</w:t>
      </w:r>
      <w:r>
        <w:rPr>
          <w:rFonts w:hint="eastAsia"/>
          <w:lang w:eastAsia="zh-CN"/>
        </w:rPr>
        <w:t>、</w:t>
      </w:r>
      <w:r>
        <w:rPr>
          <w:rFonts w:hint="eastAsia"/>
        </w:rPr>
        <w:t>阳城所在的晋城市被纳入规划范图；2017年1月国家发改委出台《中原城市群发展规划》晋城市作为核心发展区之ー；2017年6月晋城市政府出台《晋城市招商引资十条优惠政策》和《晋城市招才引智十条激励政策》。一系列政策出台，不断推动着阳城县经济开发区的迅速发展。其中，安阳现代陶瓷工业园2003年获省政府授予“先进民营经济园区”称号；2006年获省经信委授予“山西省示范工业园”称号；2018年获中国建筑卫生陶瓷协会授予“中国华北建筑陶瓷生产基地”称号；2018年获中国国际贸易促进委员会建筑材料行业分会授予“2018中国陶瓷优秀产区”称号。2019年获中国建筑卫生陶瓷协会授予“中国建筑琉璃之乡”称号。</w:t>
      </w:r>
    </w:p>
    <w:p w14:paraId="64E3C511">
      <w:pPr>
        <w:ind w:firstLine="643"/>
        <w:rPr>
          <w:rFonts w:ascii="楷体" w:hAnsi="楷体" w:eastAsia="楷体"/>
          <w:b/>
        </w:rPr>
      </w:pPr>
      <w:r>
        <w:rPr>
          <w:rFonts w:hint="eastAsia" w:ascii="楷体" w:hAnsi="楷体" w:eastAsia="楷体"/>
          <w:b/>
        </w:rPr>
        <w:t>三、全面深化“三化三制”</w:t>
      </w:r>
      <w:r>
        <w:rPr>
          <w:rFonts w:hint="eastAsia" w:ascii="楷体" w:hAnsi="楷体" w:eastAsia="楷体"/>
          <w:b/>
          <w:lang w:val="zh-CN"/>
        </w:rPr>
        <w:t>改革</w:t>
      </w:r>
    </w:p>
    <w:p w14:paraId="47CF573A">
      <w:pPr>
        <w:ind w:firstLine="640"/>
      </w:pPr>
      <w:r>
        <w:rPr>
          <w:rFonts w:hint="eastAsia"/>
        </w:rPr>
        <w:t>认真贯彻落实省政府《关于开发区管理和运营改革分离的指导意见》，探索推进开发区行政管理体制和市场化运营分离改革，管运分离全面启动，成立了五部一办，实行“党工委+管委会+公司”运营模式，进一步理顺管理关系，畅通运营体系。</w:t>
      </w:r>
    </w:p>
    <w:p w14:paraId="6322938F">
      <w:pPr>
        <w:ind w:firstLine="640"/>
        <w:rPr>
          <w:rFonts w:hint="eastAsia"/>
        </w:rPr>
      </w:pPr>
      <w:r>
        <w:rPr>
          <w:rFonts w:hint="eastAsia"/>
        </w:rPr>
        <w:t>大力推进“三化”。在专业化上，</w:t>
      </w:r>
      <w:r>
        <w:rPr>
          <w:rFonts w:cs="Times New Roman"/>
        </w:rPr>
        <w:t>与上海东方龙合作，进行专业化精准招商</w:t>
      </w:r>
      <w:r>
        <w:rPr>
          <w:rFonts w:hint="eastAsia" w:cs="Times New Roman"/>
        </w:rPr>
        <w:t>；</w:t>
      </w:r>
      <w:r>
        <w:rPr>
          <w:rFonts w:cs="Times New Roman"/>
        </w:rPr>
        <w:t>围绕陶瓷首位产业，与景德镇陶瓷大学、江西陶瓷工艺美术职业技术学院、中国建材咸阳陶瓷研究设计院等高校院所建立产学研关系，创办了省级劳动技能鉴定中心，启动了中试基地建设；与太原理工大学合作，培养专业技术人才。</w:t>
      </w:r>
      <w:r>
        <w:rPr>
          <w:rFonts w:hint="eastAsia"/>
        </w:rPr>
        <w:t>在市场化上，</w:t>
      </w:r>
      <w:r>
        <w:rPr>
          <w:rFonts w:cs="Times New Roman"/>
        </w:rPr>
        <w:t>成立了阳城经济技术开发区建设投资有限公司、山西同耀建设运营有限公司，实现了管运分离。与苏州鑫海吉运国际物流有限公司合作共建了阳城•苏州智慧产业园，与广东冠星陶瓷企业有限公司合作共建了阳城•广东陶瓷新材料产业园，</w:t>
      </w:r>
      <w:r>
        <w:rPr>
          <w:rFonts w:hint="eastAsia" w:cs="Times New Roman"/>
          <w:lang w:val="en-US" w:eastAsia="zh-CN"/>
        </w:rPr>
        <w:t>建立</w:t>
      </w:r>
      <w:r>
        <w:rPr>
          <w:rFonts w:cs="Times New Roman"/>
        </w:rPr>
        <w:t>了专业化、市场化的开发区管理运行机制。与山西金信清洁引导投资有限公司、山西财惠资本管理有限公司合作，设立了开发区同益产业发展基金，总规模3亿元</w:t>
      </w:r>
      <w:r>
        <w:rPr>
          <w:rFonts w:hint="eastAsia" w:cs="Times New Roman"/>
        </w:rPr>
        <w:t>。</w:t>
      </w:r>
      <w:r>
        <w:rPr>
          <w:rFonts w:hint="eastAsia"/>
        </w:rPr>
        <w:t>在国际化上，</w:t>
      </w:r>
      <w:r>
        <w:rPr>
          <w:rFonts w:cs="Times New Roman"/>
        </w:rPr>
        <w:t>坚持国际视野、阳城特色，持续举办国际陶瓷博览会、首届全国珐华产业高层学术研讨会，主动对接拓展国际市场，推动阳城陶瓷琉璃走出国门。</w:t>
      </w:r>
    </w:p>
    <w:p w14:paraId="22046846">
      <w:pPr>
        <w:ind w:firstLine="640"/>
        <w:rPr>
          <w:rFonts w:cs="Times New Roman"/>
        </w:rPr>
      </w:pPr>
      <w:r>
        <w:rPr>
          <w:rFonts w:hint="eastAsia"/>
        </w:rPr>
        <w:t>全面推进“三制”。</w:t>
      </w:r>
      <w:r>
        <w:t>开发区领导班子</w:t>
      </w:r>
      <w:r>
        <w:rPr>
          <w:rFonts w:hint="eastAsia"/>
        </w:rPr>
        <w:t>实行任期目标责任制，</w:t>
      </w:r>
      <w:r>
        <w:t>任期三年</w:t>
      </w:r>
      <w:r>
        <w:rPr>
          <w:rFonts w:hint="eastAsia"/>
        </w:rPr>
        <w:t>，</w:t>
      </w:r>
      <w:r>
        <w:rPr>
          <w:rFonts w:cs="Times New Roman"/>
        </w:rPr>
        <w:t>任期考核以任期目标为依据，以日常管理为基础，注重业绩导向、社会效益和党建工作实效</w:t>
      </w:r>
      <w:r>
        <w:rPr>
          <w:rFonts w:hint="eastAsia" w:cs="Times New Roman"/>
        </w:rPr>
        <w:t>。</w:t>
      </w:r>
      <w:r>
        <w:rPr>
          <w:rFonts w:hint="eastAsia"/>
        </w:rPr>
        <w:t>全员岗位实行聘用制，完成了</w:t>
      </w:r>
      <w:r>
        <w:t>中层干部和普通职员的聘任工作</w:t>
      </w:r>
      <w:r>
        <w:rPr>
          <w:rFonts w:cs="Times New Roman"/>
        </w:rPr>
        <w:t>全员岗位聘任制已落实到位</w:t>
      </w:r>
      <w:r>
        <w:rPr>
          <w:rFonts w:hint="eastAsia" w:cs="Times New Roman"/>
        </w:rPr>
        <w:t>，</w:t>
      </w:r>
      <w:r>
        <w:rPr>
          <w:rFonts w:cs="Times New Roman"/>
        </w:rPr>
        <w:t>形成了“能者上、庸者下、劣者汰”的选人用人导向</w:t>
      </w:r>
      <w:r>
        <w:rPr>
          <w:rFonts w:hint="eastAsia" w:cs="Times New Roman"/>
        </w:rPr>
        <w:t>。</w:t>
      </w:r>
      <w:r>
        <w:rPr>
          <w:rFonts w:hint="eastAsia"/>
        </w:rPr>
        <w:t>实行绩效工资制，</w:t>
      </w:r>
      <w:r>
        <w:rPr>
          <w:rFonts w:cs="Times New Roman"/>
        </w:rPr>
        <w:t>绩效考核向一线倾斜、向重要岗位倾斜，形成了“以结果论英雄”的鲜明导向，广大干部职工全力以赴抓招商、只争朝夕抓项目、聚焦改革抓创新，苦干实干巧干，开发区各项工作呈现良好发展势头。</w:t>
      </w:r>
    </w:p>
    <w:p w14:paraId="54305BC8">
      <w:pPr>
        <w:ind w:firstLine="643"/>
        <w:rPr>
          <w:rFonts w:ascii="楷体" w:hAnsi="楷体" w:eastAsia="楷体"/>
          <w:b/>
        </w:rPr>
      </w:pPr>
      <w:r>
        <w:rPr>
          <w:rFonts w:hint="eastAsia" w:ascii="楷体" w:hAnsi="楷体" w:eastAsia="楷体"/>
          <w:b/>
        </w:rPr>
        <w:t>四、产业基础逐步完善</w:t>
      </w:r>
    </w:p>
    <w:p w14:paraId="6AC037D7">
      <w:pPr>
        <w:ind w:firstLine="640"/>
        <w:rPr>
          <w:rFonts w:cs="Times New Roman"/>
        </w:rPr>
      </w:pPr>
      <w:r>
        <w:rPr>
          <w:rFonts w:cs="Times New Roman"/>
        </w:rPr>
        <w:t>阳城经济技术开发区按照“一区四园”的模式进行建设，依托县域内现有园区进行整合，新划入园区天一陶瓷、盛世陶瓷、金龙陶瓷、征</w:t>
      </w:r>
      <w:r>
        <w:rPr>
          <w:rFonts w:hint="eastAsia" w:cs="Times New Roman"/>
        </w:rPr>
        <w:t>弘</w:t>
      </w:r>
      <w:r>
        <w:rPr>
          <w:rFonts w:cs="Times New Roman"/>
        </w:rPr>
        <w:t>食品、阳泰龙焱、华泰</w:t>
      </w:r>
      <w:r>
        <w:rPr>
          <w:rFonts w:hint="eastAsia" w:cs="Times New Roman"/>
        </w:rPr>
        <w:t>杆塔、铁峰化工、鑫途化工等龙头企业</w:t>
      </w:r>
      <w:r>
        <w:rPr>
          <w:rFonts w:cs="Times New Roman"/>
        </w:rPr>
        <w:t>，</w:t>
      </w:r>
      <w:r>
        <w:rPr>
          <w:rFonts w:hint="eastAsia" w:cs="Times New Roman"/>
        </w:rPr>
        <w:t>又成功引进广东陶瓷产业园、苏州智慧产业园等重大项目，目前</w:t>
      </w:r>
      <w:r>
        <w:rPr>
          <w:rFonts w:cs="Times New Roman"/>
        </w:rPr>
        <w:t>四个园区已形成阳城工业产业发展主体，依托现有的资源和产业基础，开发区可以扩展延伸产业链，引入相关下游和循环产业项目实现资源的综合利用。利用便利的原材料优势，积极扩展新陶瓷、装备制造、新材料等新产品研发，由生产基地转变为集科研——生产于一体的综合性产业发展区，实现开发区“园区化承载、大项目支撑、板块式发展、集群化推进”的目标。</w:t>
      </w:r>
    </w:p>
    <w:p w14:paraId="7197DDBF">
      <w:pPr>
        <w:ind w:firstLine="643"/>
        <w:rPr>
          <w:rFonts w:ascii="楷体" w:hAnsi="楷体" w:eastAsia="楷体"/>
          <w:b/>
        </w:rPr>
      </w:pPr>
      <w:r>
        <w:rPr>
          <w:rFonts w:hint="eastAsia" w:ascii="楷体" w:hAnsi="楷体" w:eastAsia="楷体"/>
          <w:b/>
        </w:rPr>
        <w:t>五、营商环境日趋优化</w:t>
      </w:r>
    </w:p>
    <w:p w14:paraId="63BED91A">
      <w:pPr>
        <w:ind w:firstLine="640"/>
      </w:pPr>
      <w:r>
        <w:rPr>
          <w:rFonts w:hint="eastAsia"/>
        </w:rPr>
        <w:t>坚持“项目为王，企业至上”理念，</w:t>
      </w:r>
      <w:r>
        <w:rPr>
          <w:rFonts w:hint="eastAsia"/>
          <w:lang w:val="en-US" w:eastAsia="zh-CN"/>
        </w:rPr>
        <w:t>大力</w:t>
      </w:r>
      <w:r>
        <w:rPr>
          <w:rFonts w:hint="eastAsia"/>
        </w:rPr>
        <w:t>营造“六最”营商环境。“一枚印章管审批”运行良好，大力推进山西省“3545”专项改革，对工程</w:t>
      </w:r>
      <w:bookmarkStart w:id="189" w:name="_GoBack"/>
      <w:bookmarkEnd w:id="189"/>
      <w:r>
        <w:rPr>
          <w:rFonts w:hint="eastAsia"/>
        </w:rPr>
        <w:t>建设项目审批制度实施全流程、全覆盖。通过精简审批环节、合并审批事项、转变管理方式、调整审批时序，项目审批时间大大压缩。积极探索承诺制审批模式和全程领办代办机制。</w:t>
      </w:r>
    </w:p>
    <w:p w14:paraId="3BDFEA08">
      <w:pPr>
        <w:ind w:firstLine="640"/>
      </w:pPr>
    </w:p>
    <w:p w14:paraId="42AA8FDE">
      <w:pPr>
        <w:pStyle w:val="4"/>
        <w:rPr>
          <w:rFonts w:ascii="黑体" w:hAnsi="黑体" w:eastAsia="黑体"/>
        </w:rPr>
      </w:pPr>
      <w:bookmarkStart w:id="3" w:name="_Toc11217"/>
      <w:r>
        <w:rPr>
          <w:rFonts w:hint="eastAsia" w:ascii="黑体" w:hAnsi="黑体" w:eastAsia="黑体"/>
        </w:rPr>
        <w:t>第二节  发展环境</w:t>
      </w:r>
      <w:bookmarkEnd w:id="3"/>
    </w:p>
    <w:p w14:paraId="5C1B3092">
      <w:pPr>
        <w:ind w:firstLine="640"/>
      </w:pPr>
      <w:r>
        <w:t>当今世界正</w:t>
      </w:r>
      <w:r>
        <w:rPr>
          <w:rFonts w:hint="eastAsia"/>
          <w:lang w:eastAsia="zh-CN"/>
        </w:rPr>
        <w:t>经历</w:t>
      </w:r>
      <w:r>
        <w:t>百年未有之大变局，新一轮科技革命和产业变革深入发展，国际力量对比深刻调整，和平与发展仍然是时代主题，人类命运共同体理念深入人心。同时，国际环境日趋复杂，不稳定性不确定性明显增加，新冠肺炎疫情影响广泛深远，疫情冲击导致的各类衍生风险不容忽视，经济全球化遭遇逆流，世界进入动荡变革期。我国已转向高质量发展阶段，制度优势显著，治理效能提升，经济长期向好，物质基础雄厚，人力资源丰富，市场空间广阔，发展韧性强劲，社会大局稳定，继续发展具有多方面优势和条件。</w:t>
      </w:r>
    </w:p>
    <w:p w14:paraId="02F4393D">
      <w:pPr>
        <w:ind w:firstLine="640"/>
      </w:pPr>
      <w:r>
        <w:rPr>
          <w:rFonts w:hint="eastAsia"/>
        </w:rPr>
        <w:t>从阳城开发区区域内外看：“十四五”期间，我省转型综改处于至关重要的攻坚期，是山西在资源型经济转型取得积极成效基础上，全方位开启高质量转型发展新征程的关键时期，是绿色崛起处于至关重要的机遇期。综合判断，我省仍处于大有可为的重要战略机遇期，高质量转型发展前景广阔、任务艰巨。全省“一主三副六市域中心”和中原城市群的空间布局，国家中部高质量发展、黄河流域生态保护和高质量发展和晋陕豫黄河金三角区域</w:t>
      </w:r>
      <w:r>
        <w:t>带来战略叠加效应，中原</w:t>
      </w:r>
      <w:r>
        <w:rPr>
          <w:rFonts w:hint="eastAsia"/>
        </w:rPr>
        <w:t>城市群</w:t>
      </w:r>
      <w:r>
        <w:t>、晋东南城镇群、</w:t>
      </w:r>
      <w:r>
        <w:rPr>
          <w:rFonts w:hint="eastAsia"/>
        </w:rPr>
        <w:t>关中城市群</w:t>
      </w:r>
      <w:r>
        <w:t>交汇带来</w:t>
      </w:r>
      <w:r>
        <w:rPr>
          <w:rFonts w:hint="eastAsia"/>
        </w:rPr>
        <w:t>的</w:t>
      </w:r>
      <w:r>
        <w:t>区位叠加效应，</w:t>
      </w:r>
      <w:r>
        <w:rPr>
          <w:rFonts w:hint="eastAsia"/>
        </w:rPr>
        <w:t>都为阳城开发区提升品质和发展质量创造了重要机遇。</w:t>
      </w:r>
      <w:r>
        <w:t>但同时也要清醒认识到，</w:t>
      </w:r>
      <w:r>
        <w:rPr>
          <w:rFonts w:hint="eastAsia"/>
        </w:rPr>
        <w:t>阳城开发区</w:t>
      </w:r>
      <w:r>
        <w:t>发展不平衡、不充分、不领先问题特征明显。发展不充分，主要表现为工业化进程迟滞，经济总量不大，发展速度还不快；发展不平衡，主要表现在</w:t>
      </w:r>
      <w:r>
        <w:rPr>
          <w:rFonts w:hint="eastAsia"/>
          <w:lang w:eastAsia="zh-CN"/>
        </w:rPr>
        <w:t>战略性新兴产业</w:t>
      </w:r>
      <w:r>
        <w:rPr>
          <w:rFonts w:hint="eastAsia"/>
        </w:rPr>
        <w:t>发展不足，传统产业仍占较大比重；</w:t>
      </w:r>
      <w:r>
        <w:t>发展不领先，主要表现在产业层次偏低，产业链条短，配套能力弱；科技对经济的贡献度不高，创新生态建设滞后。</w:t>
      </w:r>
    </w:p>
    <w:p w14:paraId="4B9E81B3">
      <w:pPr>
        <w:ind w:firstLine="640"/>
      </w:pPr>
      <w:r>
        <w:t>总体而言，“十四五”时期，</w:t>
      </w:r>
      <w:r>
        <w:rPr>
          <w:rFonts w:hint="eastAsia"/>
        </w:rPr>
        <w:t>阳城开发区</w:t>
      </w:r>
      <w:r>
        <w:t>经济发展总体平稳的基本面没有变，动能转换的强劲态势没有变，长期向好的发展趋势没有变，</w:t>
      </w:r>
      <w:r>
        <w:rPr>
          <w:rFonts w:hint="eastAsia"/>
        </w:rPr>
        <w:t>阳城开发区要抢抓机遇，坚持转型升级蹚新路，将新发展理念贯穿到新旧动能转换、经济高质量发展过程当中，</w:t>
      </w:r>
      <w:r>
        <w:t>为全市、全省转型出雏型贡献“阳城</w:t>
      </w:r>
      <w:r>
        <w:rPr>
          <w:rFonts w:hint="eastAsia"/>
        </w:rPr>
        <w:t>开发区转型</w:t>
      </w:r>
      <w:r>
        <w:t>模式”，率先在全省转型大势中奋力蹚出一条</w:t>
      </w:r>
      <w:r>
        <w:rPr>
          <w:rFonts w:hint="eastAsia"/>
        </w:rPr>
        <w:t>县级开发区</w:t>
      </w:r>
      <w:r>
        <w:t>转型发展新路。</w:t>
      </w:r>
    </w:p>
    <w:p w14:paraId="77D5C826">
      <w:pPr>
        <w:pStyle w:val="4"/>
        <w:rPr>
          <w:rFonts w:ascii="黑体" w:hAnsi="黑体" w:eastAsia="黑体"/>
        </w:rPr>
      </w:pPr>
      <w:bookmarkStart w:id="4" w:name="_Toc10355"/>
      <w:r>
        <w:rPr>
          <w:rFonts w:hint="eastAsia" w:ascii="黑体" w:hAnsi="黑体" w:eastAsia="黑体"/>
        </w:rPr>
        <w:t>第三节  面临问题</w:t>
      </w:r>
      <w:bookmarkEnd w:id="4"/>
    </w:p>
    <w:p w14:paraId="4A3F3FCE">
      <w:pPr>
        <w:ind w:firstLine="643"/>
        <w:rPr>
          <w:rFonts w:ascii="楷体" w:hAnsi="楷体" w:eastAsia="楷体"/>
          <w:b/>
        </w:rPr>
      </w:pPr>
      <w:r>
        <w:rPr>
          <w:rFonts w:hint="eastAsia" w:ascii="楷体" w:hAnsi="楷体" w:eastAsia="楷体"/>
          <w:b/>
        </w:rPr>
        <w:t>一、产业基础薄弱</w:t>
      </w:r>
    </w:p>
    <w:p w14:paraId="59D3A1AD">
      <w:pPr>
        <w:ind w:firstLine="640"/>
      </w:pPr>
      <w:r>
        <w:rPr>
          <w:rFonts w:hint="eastAsia"/>
          <w:color w:val="auto"/>
        </w:rPr>
        <w:t>阳城开发区的前身是由安阳现代陶瓷工业园区、八甲口商贸物流园区、演礼产业园整合而成，</w:t>
      </w:r>
      <w:r>
        <w:rPr>
          <w:rFonts w:hint="eastAsia"/>
        </w:rPr>
        <w:t>现有产业较为低端，产业链两端的研发企业和服务性企业依然缺失。产业结构单一，企业之间的关联性不高，产业链上难以呼应，从而削弱了产业的集群效应，短期内较难发挥规模优势，区域竞争力处于较弱态势。土地的使用上也体现出粗放性，产出效益较低。高新技术产业多处于起步阶段，暂未形成聚集度高、配套完善、生态链完整的产业集群。</w:t>
      </w:r>
    </w:p>
    <w:p w14:paraId="106BEF30">
      <w:pPr>
        <w:ind w:firstLine="643"/>
        <w:rPr>
          <w:rFonts w:ascii="楷体" w:hAnsi="楷体" w:eastAsia="楷体"/>
          <w:b/>
        </w:rPr>
      </w:pPr>
      <w:r>
        <w:rPr>
          <w:rFonts w:hint="eastAsia" w:ascii="楷体" w:hAnsi="楷体" w:eastAsia="楷体"/>
          <w:b/>
        </w:rPr>
        <w:t>二、人才、平台等要素存在差距</w:t>
      </w:r>
    </w:p>
    <w:p w14:paraId="606BEF11">
      <w:pPr>
        <w:ind w:firstLine="640"/>
      </w:pPr>
      <w:r>
        <w:rPr>
          <w:rFonts w:hint="eastAsia"/>
        </w:rPr>
        <w:t>开发区人才体制机制尚不健全，人才作用发挥不明显。管委会工作人员中专业人才较少，贯彻上级人才政策的力度不足，人才引进数量少。对园区企业人才需求的调研少，不能及时掌握企业发展对人才的需求情况。开发区公共服务平台建设处于起步阶段，由于公共服务平台专业性强，资金需求大，导致缺乏整体规划设计，经费不足。缺乏专业化的平台运营团队，阻碍了平台的开放共享，导致公共服务平台服务能力较弱，不能满足产业发展需求。</w:t>
      </w:r>
    </w:p>
    <w:p w14:paraId="79CB7EE4">
      <w:pPr>
        <w:ind w:firstLine="643"/>
        <w:rPr>
          <w:rFonts w:ascii="楷体" w:hAnsi="楷体" w:eastAsia="楷体"/>
          <w:b/>
        </w:rPr>
      </w:pPr>
      <w:r>
        <w:rPr>
          <w:rFonts w:hint="eastAsia" w:ascii="楷体" w:hAnsi="楷体" w:eastAsia="楷体"/>
          <w:b/>
        </w:rPr>
        <w:t>三、园区向产城一体发展转变存在不足</w:t>
      </w:r>
    </w:p>
    <w:p w14:paraId="4A6332A1">
      <w:pPr>
        <w:ind w:firstLine="640"/>
      </w:pPr>
      <w:r>
        <w:rPr>
          <w:rFonts w:hint="eastAsia"/>
        </w:rPr>
        <w:t>工业类开发区的发展主要侧重在寻求产业的经济效益，在发展过程容易忽视产业与城市的关系，忽视工业园区与城市发展的互补性，城市规划建设及相关配套欠缺，将会造成产业发展与城市发展的不协调性。习近平总书记多次强调，谋划“十四五”时期发展要贯彻以人民为中心的发展思想，人民群众过上美好生活的新期待与日俱增，富民、教育、住房、医疗、养老等问题成为社会焦点。公共资源配置不够均衡，文教卫商配套设施不够完善，尚不能满足人民群众对分享发展成果的期盼。</w:t>
      </w:r>
    </w:p>
    <w:p w14:paraId="49AF6B1F">
      <w:pPr>
        <w:ind w:firstLine="640"/>
      </w:pPr>
      <w:r>
        <w:rPr>
          <w:rFonts w:hint="eastAsia"/>
        </w:rPr>
        <w:t>综合研判，“十四五”时期，阳城开发区经济社会发展面临的机遇大于挑战，仍处于大有可为的重要战略机遇期。我们必须增强机遇意识、忧患意识和使命意识，正确处理好发展和转型的关系，引领经济社会发展新常态。</w:t>
      </w:r>
    </w:p>
    <w:p w14:paraId="59E5951A">
      <w:pPr>
        <w:ind w:firstLine="640"/>
      </w:pPr>
    </w:p>
    <w:p w14:paraId="179E0A60">
      <w:pPr>
        <w:widowControl/>
        <w:ind w:firstLine="0" w:firstLineChars="0"/>
        <w:jc w:val="left"/>
      </w:pPr>
      <w:r>
        <w:br w:type="page"/>
      </w:r>
    </w:p>
    <w:p w14:paraId="759788F2">
      <w:pPr>
        <w:pStyle w:val="3"/>
        <w:rPr>
          <w:sz w:val="36"/>
          <w:szCs w:val="36"/>
        </w:rPr>
      </w:pPr>
      <w:bookmarkStart w:id="5" w:name="_Toc7362"/>
      <w:bookmarkStart w:id="6" w:name="_Toc5583"/>
      <w:r>
        <w:rPr>
          <w:rFonts w:hint="eastAsia"/>
          <w:sz w:val="36"/>
          <w:szCs w:val="36"/>
        </w:rPr>
        <w:t>第二章 总体思路与发展目标</w:t>
      </w:r>
      <w:bookmarkEnd w:id="5"/>
      <w:bookmarkEnd w:id="6"/>
    </w:p>
    <w:p w14:paraId="7EC649CF">
      <w:pPr>
        <w:pStyle w:val="4"/>
        <w:rPr>
          <w:rFonts w:ascii="黑体" w:hAnsi="黑体" w:eastAsia="黑体"/>
        </w:rPr>
      </w:pPr>
      <w:bookmarkStart w:id="7" w:name="_Toc9366"/>
      <w:bookmarkStart w:id="8" w:name="_Toc97"/>
      <w:r>
        <w:rPr>
          <w:rFonts w:hint="eastAsia" w:ascii="黑体" w:hAnsi="黑体" w:eastAsia="黑体"/>
        </w:rPr>
        <w:t>第一节  指导思想</w:t>
      </w:r>
      <w:bookmarkEnd w:id="7"/>
      <w:bookmarkEnd w:id="8"/>
    </w:p>
    <w:p w14:paraId="080AE4AA">
      <w:pPr>
        <w:spacing w:line="600" w:lineRule="exact"/>
        <w:ind w:firstLine="640"/>
        <w:rPr>
          <w:kern w:val="0"/>
        </w:rPr>
      </w:pPr>
      <w:r>
        <w:rPr>
          <w:rFonts w:hint="eastAsia"/>
          <w:kern w:val="0"/>
          <w:highlight w:val="none"/>
        </w:rPr>
        <w:t>高举中国特色</w:t>
      </w:r>
      <w:r>
        <w:rPr>
          <w:rFonts w:hint="eastAsia"/>
          <w:kern w:val="0"/>
          <w:highlight w:val="none"/>
          <w:lang w:val="en-US" w:eastAsia="zh-CN"/>
        </w:rPr>
        <w:t>社会</w:t>
      </w:r>
      <w:r>
        <w:rPr>
          <w:rFonts w:hint="eastAsia"/>
          <w:kern w:val="0"/>
          <w:highlight w:val="none"/>
        </w:rPr>
        <w:t>主义伟大旗帜，全面贯彻党的十九大和十九届三中、四中、五中全会精神，深入贯彻</w:t>
      </w:r>
      <w:r>
        <w:rPr>
          <w:rFonts w:hint="eastAsia"/>
          <w:kern w:val="0"/>
          <w:highlight w:val="none"/>
          <w:lang w:val="en-US" w:eastAsia="zh-CN"/>
        </w:rPr>
        <w:t>落实</w:t>
      </w:r>
      <w:r>
        <w:rPr>
          <w:rFonts w:hint="eastAsia"/>
          <w:kern w:val="0"/>
        </w:rPr>
        <w:t>习近平总书记视察山西重要讲话重要指示</w:t>
      </w:r>
      <w:r>
        <w:rPr>
          <w:rFonts w:hint="eastAsia"/>
          <w:kern w:val="0"/>
          <w:lang w:val="en-US" w:eastAsia="zh-CN"/>
        </w:rPr>
        <w:t>精神</w:t>
      </w:r>
      <w:r>
        <w:rPr>
          <w:rFonts w:hint="eastAsia"/>
          <w:kern w:val="0"/>
        </w:rPr>
        <w:t>和视察阳城“见新见绿”指示，增强“四个意识”、坚定“四个自信”、做到“两个维护”，加强党的全面领导，准确把握新发展阶段</w:t>
      </w:r>
      <w:r>
        <w:rPr>
          <w:rFonts w:hint="eastAsia"/>
          <w:kern w:val="0"/>
          <w:lang w:eastAsia="zh-CN"/>
        </w:rPr>
        <w:t>，</w:t>
      </w:r>
      <w:r>
        <w:rPr>
          <w:rFonts w:hint="eastAsia"/>
          <w:kern w:val="0"/>
        </w:rPr>
        <w:t>深入贯彻新发展理念</w:t>
      </w:r>
      <w:r>
        <w:rPr>
          <w:rFonts w:hint="eastAsia"/>
          <w:kern w:val="0"/>
          <w:lang w:eastAsia="zh-CN"/>
        </w:rPr>
        <w:t>，</w:t>
      </w:r>
      <w:r>
        <w:rPr>
          <w:rFonts w:hint="eastAsia"/>
          <w:kern w:val="0"/>
        </w:rPr>
        <w:t>积极融入新发展格局</w:t>
      </w:r>
      <w:r>
        <w:rPr>
          <w:rFonts w:hint="eastAsia"/>
          <w:color w:val="000000"/>
        </w:rPr>
        <w:t>，</w:t>
      </w:r>
      <w:r>
        <w:rPr>
          <w:rFonts w:hint="eastAsia"/>
          <w:kern w:val="0"/>
        </w:rPr>
        <w:t>坚持稳中求进工作总基调，牢牢把握省委全方位高质量发展总体思路和要求，围绕市委</w:t>
      </w:r>
      <w:r>
        <w:t>战略部署和县委“</w:t>
      </w:r>
      <w:r>
        <w:rPr>
          <w:rFonts w:hint="eastAsia"/>
        </w:rPr>
        <w:t>三四五</w:t>
      </w:r>
      <w:r>
        <w:t>”</w:t>
      </w:r>
      <w:r>
        <w:rPr>
          <w:rFonts w:hint="eastAsia"/>
        </w:rPr>
        <w:t>发展布局</w:t>
      </w:r>
      <w:r>
        <w:rPr>
          <w:rFonts w:hint="eastAsia"/>
          <w:kern w:val="0"/>
        </w:rPr>
        <w:t>，</w:t>
      </w:r>
      <w:r>
        <w:t>把“见新见绿”作为经济工作根本遵循</w:t>
      </w:r>
      <w:r>
        <w:rPr>
          <w:color w:val="000000" w:themeColor="text1"/>
        </w:rPr>
        <w:t>，</w:t>
      </w:r>
      <w:r>
        <w:rPr>
          <w:rFonts w:hint="eastAsia"/>
          <w:color w:val="000000" w:themeColor="text1"/>
        </w:rPr>
        <w:t>以调扩区战略为牵引，</w:t>
      </w:r>
      <w:r>
        <w:rPr>
          <w:rFonts w:hint="eastAsia" w:ascii="Times New Roman" w:hAnsi="Times New Roman"/>
          <w:color w:val="000000" w:themeColor="text1"/>
        </w:rPr>
        <w:t>重点实施“创新驱动、产城融合、开放发展、绿色发展”四大</w:t>
      </w:r>
      <w:r>
        <w:rPr>
          <w:rFonts w:hint="eastAsia" w:ascii="Times New Roman" w:hAnsi="Times New Roman"/>
        </w:rPr>
        <w:t>战略，</w:t>
      </w:r>
      <w:r>
        <w:rPr>
          <w:rFonts w:hint="eastAsia"/>
          <w:kern w:val="0"/>
        </w:rPr>
        <w:t>科学布局产业空间，在发展上“质”“量”并重，“速”“度”平衡，着力构建有阳城经济技术开发区特色的现代产业体系和创新体系，在开发区高质量发展</w:t>
      </w:r>
      <w:r>
        <w:rPr>
          <w:rFonts w:hint="eastAsia"/>
          <w:kern w:val="0"/>
          <w:lang w:val="en-US" w:eastAsia="zh-CN"/>
        </w:rPr>
        <w:t>上</w:t>
      </w:r>
      <w:r>
        <w:rPr>
          <w:rFonts w:hint="eastAsia"/>
          <w:kern w:val="0"/>
        </w:rPr>
        <w:t>蹚出一条新路，奋力谱写阳城经济技术开发区创新发展新篇章。</w:t>
      </w:r>
    </w:p>
    <w:p w14:paraId="5038A070">
      <w:pPr>
        <w:pStyle w:val="4"/>
        <w:rPr>
          <w:rFonts w:ascii="黑体" w:hAnsi="黑体" w:eastAsia="黑体"/>
        </w:rPr>
      </w:pPr>
      <w:bookmarkStart w:id="9" w:name="_Toc22091"/>
      <w:bookmarkStart w:id="10" w:name="_Toc5103"/>
      <w:r>
        <w:rPr>
          <w:rFonts w:hint="eastAsia" w:ascii="黑体" w:hAnsi="黑体" w:eastAsia="黑体"/>
        </w:rPr>
        <w:t>第二节  基本原则</w:t>
      </w:r>
      <w:bookmarkEnd w:id="9"/>
      <w:bookmarkEnd w:id="10"/>
    </w:p>
    <w:p w14:paraId="234BE9B9">
      <w:pPr>
        <w:ind w:firstLine="640"/>
      </w:pPr>
      <w:r>
        <w:rPr>
          <w:rFonts w:hint="eastAsia"/>
        </w:rPr>
        <w:t>坚持创新发展。积极推进理念创新、管理创新、制度创新、发展模式创新、运营模式创新，将创新贯穿于发展的各个环节，以改革创新激发新时期开发区发展的动力和活力。</w:t>
      </w:r>
    </w:p>
    <w:p w14:paraId="011CA462">
      <w:pPr>
        <w:ind w:firstLine="640"/>
      </w:pPr>
      <w:r>
        <w:rPr>
          <w:rFonts w:hint="eastAsia"/>
        </w:rPr>
        <w:t>坚持整合集聚。全力破除行政分割藩篱，整合开发区内外要素资源，发挥市场在资源配置中的决定性作用，以供给侧结构性改革为主线，加快行政、金融、人才、技术、信息、土地等要素市场改革，形成资源互通、共享集聚发展的新格局。</w:t>
      </w:r>
    </w:p>
    <w:p w14:paraId="056458AB">
      <w:pPr>
        <w:ind w:firstLine="640"/>
      </w:pPr>
      <w:r>
        <w:rPr>
          <w:rFonts w:hint="eastAsia"/>
        </w:rPr>
        <w:t>坚持产城融合。遵循协调发展、共享发展、绿色发展理念，从战略全局上处理好“产”与“城”的关系，以产业转型升级促进新型城镇化，实现工业化和城镇化相互支撑、协同发展。</w:t>
      </w:r>
    </w:p>
    <w:p w14:paraId="4403E0CE">
      <w:pPr>
        <w:ind w:firstLine="640"/>
      </w:pPr>
      <w:r>
        <w:rPr>
          <w:rFonts w:hint="eastAsia"/>
        </w:rPr>
        <w:t>坚持绿色低碳。坚定实施碳达峰碳中和战略，推动形成绿色发展方式和生活方式，大力发展高新技术型、环境友好型产业，走绿色优先、集约节约、高效便捷、特色彰显的</w:t>
      </w:r>
      <w:r>
        <w:rPr>
          <w:rFonts w:hint="eastAsia"/>
          <w:lang w:val="en-US" w:eastAsia="zh-CN"/>
        </w:rPr>
        <w:t>新型</w:t>
      </w:r>
      <w:r>
        <w:rPr>
          <w:rFonts w:hint="eastAsia"/>
        </w:rPr>
        <w:t>城镇化和工业化发展之路。</w:t>
      </w:r>
    </w:p>
    <w:p w14:paraId="63B129C1">
      <w:pPr>
        <w:ind w:firstLine="640"/>
      </w:pPr>
      <w:r>
        <w:rPr>
          <w:rFonts w:hint="eastAsia"/>
        </w:rPr>
        <w:t>坚持“多规合一”的原则。根据新形势下的新要求，实现与经济社会发展规划、国土空间规划、环境保护规划、产业发展规划协调一致。</w:t>
      </w:r>
    </w:p>
    <w:p w14:paraId="64FF7058">
      <w:pPr>
        <w:pStyle w:val="4"/>
        <w:rPr>
          <w:rFonts w:ascii="黑体" w:hAnsi="黑体" w:eastAsia="黑体"/>
        </w:rPr>
      </w:pPr>
      <w:bookmarkStart w:id="11" w:name="_Toc19178"/>
      <w:r>
        <w:rPr>
          <w:rFonts w:hint="eastAsia" w:ascii="黑体" w:hAnsi="黑体" w:eastAsia="黑体"/>
        </w:rPr>
        <w:t>第三节  战略定位</w:t>
      </w:r>
      <w:bookmarkEnd w:id="11"/>
    </w:p>
    <w:p w14:paraId="66055167">
      <w:pPr>
        <w:ind w:firstLine="640"/>
        <w:rPr>
          <w:b/>
          <w:bCs/>
        </w:rPr>
      </w:pPr>
      <w:r>
        <w:rPr>
          <w:rFonts w:hint="eastAsia"/>
        </w:rPr>
        <w:t>“十四五”期间，阳城开发区以创新驱动为引领，坚持走新型工业化道路，强化园区承载能力，提高园区集聚、集约和综合集成水平，提升发展质量和效益，推进优势产业做大、做强、做精、做特。积极推进产业深度整合，</w:t>
      </w:r>
      <w:r>
        <w:rPr>
          <w:rFonts w:hint="eastAsia"/>
          <w:b/>
          <w:bCs/>
        </w:rPr>
        <w:t>构建以现代陶瓷新材料和精细化工两大首位产业为核心，以装备制造、新能源等与首位产业融合度较高产业为支撑，以现代物流和大健康产业为补充的现代产业体系，建设以项目落地、产业金融、要素保障、招才引智、产业会展、园区运营“六平台”六大产业服务平台与场景的产业服务体系，全力把开发区打造成阳城转型发展的主战场、主引擎。</w:t>
      </w:r>
    </w:p>
    <w:p w14:paraId="11E9DFF0">
      <w:pPr>
        <w:ind w:firstLine="640"/>
        <w:rPr>
          <w:rFonts w:cs="Times New Roman"/>
        </w:rPr>
      </w:pPr>
      <w:r>
        <w:rPr>
          <w:rFonts w:hint="eastAsia"/>
        </w:rPr>
        <w:t>以创建一流省级开发区为总抓手，锚定“转型出雏型”战略目标，进一步提升阳城开发区竞争力，到“十四五”末稳居全省开发区第一方阵前列，将阳城开发区打造成为：</w:t>
      </w:r>
      <w:r>
        <w:rPr>
          <w:rFonts w:cs="Times New Roman"/>
          <w:b/>
          <w:bCs/>
        </w:rPr>
        <w:t>战略性新兴产业集聚区，转型升级发展</w:t>
      </w:r>
      <w:r>
        <w:rPr>
          <w:rFonts w:hint="eastAsia" w:cs="Times New Roman"/>
          <w:b/>
          <w:bCs/>
          <w:lang w:val="en-US" w:eastAsia="zh-CN"/>
        </w:rPr>
        <w:t>先行区</w:t>
      </w:r>
      <w:r>
        <w:rPr>
          <w:rFonts w:cs="Times New Roman"/>
          <w:b/>
          <w:bCs/>
        </w:rPr>
        <w:t>，华北陶瓷之都、新能源产业和大健康产业循环发展示范</w:t>
      </w:r>
      <w:r>
        <w:rPr>
          <w:rFonts w:hint="eastAsia" w:cs="Times New Roman"/>
          <w:b/>
          <w:bCs/>
          <w:lang w:val="en-US" w:eastAsia="zh-CN"/>
        </w:rPr>
        <w:t>区</w:t>
      </w:r>
      <w:r>
        <w:rPr>
          <w:rFonts w:cs="Times New Roman"/>
          <w:b/>
          <w:bCs/>
        </w:rPr>
        <w:t>。</w:t>
      </w:r>
    </w:p>
    <w:p w14:paraId="40631DF8">
      <w:pPr>
        <w:widowControl/>
        <w:ind w:firstLine="643"/>
        <w:rPr>
          <w:b/>
          <w:bCs/>
        </w:rPr>
      </w:pPr>
      <w:r>
        <w:rPr>
          <w:rFonts w:hint="eastAsia"/>
          <w:b/>
          <w:bCs/>
          <w:lang w:eastAsia="zh-CN"/>
        </w:rPr>
        <w:t>战略性新兴产业</w:t>
      </w:r>
      <w:r>
        <w:rPr>
          <w:rFonts w:hint="eastAsia"/>
          <w:b/>
          <w:bCs/>
        </w:rPr>
        <w:t>集聚区。</w:t>
      </w:r>
      <w:r>
        <w:rPr>
          <w:rFonts w:hint="eastAsia"/>
          <w:color w:val="000000"/>
        </w:rPr>
        <w:t>发挥产业基础和技术优势，在现代陶瓷新材料、</w:t>
      </w:r>
      <w:r>
        <w:t>生物医药大健康、新能源、</w:t>
      </w:r>
      <w:r>
        <w:rPr>
          <w:rFonts w:hint="eastAsia"/>
        </w:rPr>
        <w:t>装备制造</w:t>
      </w:r>
      <w:r>
        <w:rPr>
          <w:rFonts w:hint="eastAsia"/>
          <w:color w:val="000000"/>
        </w:rPr>
        <w:t>等领域寻找新的突破点，在新兴产业上占据主动，成为全省战略性新兴产业集聚区。</w:t>
      </w:r>
    </w:p>
    <w:p w14:paraId="3EB81CF3">
      <w:pPr>
        <w:widowControl/>
        <w:ind w:firstLine="643"/>
        <w:rPr>
          <w:b/>
          <w:bCs/>
        </w:rPr>
      </w:pPr>
      <w:r>
        <w:rPr>
          <w:rFonts w:hint="eastAsia"/>
          <w:b/>
          <w:bCs/>
        </w:rPr>
        <w:t>转型发展</w:t>
      </w:r>
      <w:r>
        <w:rPr>
          <w:rFonts w:hint="eastAsia"/>
          <w:b/>
          <w:bCs/>
          <w:lang w:val="en-US" w:eastAsia="zh-CN"/>
        </w:rPr>
        <w:t>先行区</w:t>
      </w:r>
      <w:r>
        <w:rPr>
          <w:rFonts w:hint="eastAsia"/>
          <w:b/>
          <w:bCs/>
        </w:rPr>
        <w:t>。</w:t>
      </w:r>
      <w:r>
        <w:rPr>
          <w:rFonts w:hint="eastAsia"/>
        </w:rPr>
        <w:t>矢志不渝地贯彻落实好“在转型发展上率先蹚出一条新路”的</w:t>
      </w:r>
      <w:r>
        <w:rPr>
          <w:rFonts w:hint="eastAsia"/>
          <w:lang w:val="en-US" w:eastAsia="zh-CN"/>
        </w:rPr>
        <w:t>基本路线</w:t>
      </w:r>
      <w:r>
        <w:rPr>
          <w:rFonts w:hint="eastAsia"/>
        </w:rPr>
        <w:t>，用足用活用好“国家资源型经济转型综合配套改革试验区”这块金字招牌，强化创新生态建设，在新基建上抢先布局先机，在新装备上全面升级，在新技术上求突破，在新材料上扬优势，在新产品上树名牌，在新业态上增动能，树立全省经济转型新标杆。</w:t>
      </w:r>
    </w:p>
    <w:p w14:paraId="38DF5835">
      <w:pPr>
        <w:widowControl/>
        <w:ind w:firstLine="643"/>
        <w:rPr>
          <w:b/>
          <w:bCs/>
        </w:rPr>
      </w:pPr>
      <w:r>
        <w:rPr>
          <w:rFonts w:hint="eastAsia"/>
          <w:b/>
          <w:bCs/>
        </w:rPr>
        <w:t>华北陶瓷之都。</w:t>
      </w:r>
      <w:r>
        <w:rPr>
          <w:rFonts w:hint="eastAsia"/>
        </w:rPr>
        <w:t>依托阳城陶土资源和产品开发基础和优势，开发陶瓷加工全产业链环节，加强延链补链，形成陶瓷新材料产业链完整的闭环发展模式，打造上、中、下链条式相互依存的陶瓷全产业链示范基地，建设华北陶瓷之都。</w:t>
      </w:r>
    </w:p>
    <w:p w14:paraId="62AD7EF5">
      <w:pPr>
        <w:widowControl/>
        <w:ind w:firstLine="643"/>
      </w:pPr>
      <w:r>
        <w:rPr>
          <w:rFonts w:hint="eastAsia" w:hAnsi="宋体" w:cs="宋体"/>
          <w:b/>
          <w:bCs/>
        </w:rPr>
        <w:t>新能源产业和大健康产业循环发展示范</w:t>
      </w:r>
      <w:r>
        <w:rPr>
          <w:rFonts w:hint="eastAsia" w:hAnsi="宋体" w:cs="宋体"/>
          <w:b/>
          <w:bCs/>
          <w:lang w:val="en-US" w:eastAsia="zh-CN"/>
        </w:rPr>
        <w:t>区</w:t>
      </w:r>
      <w:r>
        <w:rPr>
          <w:rFonts w:hint="eastAsia" w:hAnsi="宋体" w:cs="宋体"/>
          <w:b/>
          <w:bCs/>
        </w:rPr>
        <w:t>：</w:t>
      </w:r>
      <w:r>
        <w:rPr>
          <w:rFonts w:hint="eastAsia" w:hAnsi="宋体" w:cs="宋体"/>
        </w:rPr>
        <w:t>大力发展循环经济，聚焦煤层气转化和应用，延长二硫化碳产业链条，以建设</w:t>
      </w:r>
      <w:r>
        <w:rPr>
          <w:rFonts w:hint="eastAsia" w:hAnsi="宋体"/>
        </w:rPr>
        <w:t>医药原料药科研基地、医药原料药生产环保示范基地和国内大宗含硫化物医药原料药及中间体主要生产供应基地为牵引，新能源产业和大健康产业循环发展示范</w:t>
      </w:r>
      <w:r>
        <w:rPr>
          <w:rFonts w:hint="eastAsia" w:hAnsi="宋体"/>
          <w:lang w:val="en-US" w:eastAsia="zh-CN"/>
        </w:rPr>
        <w:t>区</w:t>
      </w:r>
      <w:r>
        <w:rPr>
          <w:rFonts w:hint="eastAsia" w:hAnsi="宋体"/>
        </w:rPr>
        <w:t>。</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B23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14:paraId="18062552">
            <w:pPr>
              <w:spacing w:line="560" w:lineRule="exact"/>
              <w:ind w:firstLine="0" w:firstLineChars="0"/>
              <w:jc w:val="center"/>
              <w:rPr>
                <w:rFonts w:ascii="Times New Roman" w:hAnsi="黑体" w:eastAsia="楷体"/>
              </w:rPr>
            </w:pPr>
            <w:r>
              <w:rPr>
                <w:rFonts w:hint="eastAsia" w:ascii="楷体" w:hAnsi="楷体" w:eastAsia="楷体" w:cs="楷体"/>
                <w:sz w:val="28"/>
                <w:szCs w:val="28"/>
              </w:rPr>
              <w:t>专栏1  阳城经济技术开发区高质量“十四五”重点工程</w:t>
            </w:r>
          </w:p>
        </w:tc>
      </w:tr>
      <w:tr w14:paraId="2E25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6B5404F">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ascii="楷体" w:hAnsi="楷体" w:eastAsia="楷体" w:cs="Calibri"/>
                <w:sz w:val="28"/>
                <w:szCs w:val="28"/>
              </w:rPr>
              <w:t>开发区</w:t>
            </w:r>
            <w:r>
              <w:rPr>
                <w:rFonts w:hint="eastAsia" w:ascii="楷体" w:hAnsi="楷体" w:eastAsia="楷体" w:cs="Calibri"/>
                <w:sz w:val="28"/>
                <w:szCs w:val="28"/>
              </w:rPr>
              <w:t>亩均产出效益提升工程：以全方位高质量发展为导向，以分档式政策奖励、差别化要素供给、标准化准入门槛、在开发低效土地、亩均贷助企融资助推</w:t>
            </w:r>
            <w:r>
              <w:rPr>
                <w:rFonts w:ascii="楷体" w:hAnsi="楷体" w:eastAsia="楷体" w:cs="Calibri"/>
                <w:sz w:val="28"/>
                <w:szCs w:val="28"/>
              </w:rPr>
              <w:t>开发区</w:t>
            </w:r>
            <w:r>
              <w:rPr>
                <w:rFonts w:hint="eastAsia" w:ascii="楷体" w:hAnsi="楷体" w:eastAsia="楷体" w:cs="Calibri"/>
                <w:sz w:val="28"/>
                <w:szCs w:val="28"/>
              </w:rPr>
              <w:t>亩均产出效益提升；</w:t>
            </w:r>
          </w:p>
          <w:p w14:paraId="5CC2CBCF">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hint="eastAsia" w:ascii="楷体" w:hAnsi="楷体" w:eastAsia="楷体" w:cs="Calibri"/>
                <w:sz w:val="28"/>
                <w:szCs w:val="28"/>
              </w:rPr>
              <w:t>开发区特色产业集群转型升级行动：提升产业集群自动化、数字化、智能化水平，提高企业精细化管理水平和快速市场适应能力；以建设协同发展产业生态，提升产业链的协同效力，推动开发区特色产业集群转型升级；</w:t>
            </w:r>
          </w:p>
          <w:p w14:paraId="65DED0D3">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hint="eastAsia" w:ascii="楷体" w:hAnsi="楷体" w:eastAsia="楷体" w:cs="Calibri"/>
                <w:sz w:val="28"/>
                <w:szCs w:val="28"/>
              </w:rPr>
              <w:t>开发区产业技术创新能力专项提升工程：招引建设重点产业共性技术研发平台，招引一批新型研发平台，以企业为主体，以市场需求为导向，开展联合攻关，提升产学研金服用协同创新能力；</w:t>
            </w:r>
          </w:p>
          <w:p w14:paraId="47EC2A06">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hint="eastAsia" w:ascii="楷体" w:hAnsi="楷体" w:eastAsia="楷体" w:cs="Calibri"/>
                <w:sz w:val="28"/>
                <w:szCs w:val="28"/>
              </w:rPr>
              <w:t>开发区特色区中园、园中园培育工程：着眼产业集聚，打造优质平台，通过园中园的谋划靶向招商，以商招商，把相同的产业项目集中，对项目建设和企业进行集中服务与管理，推进“产业积聚化，企业园区化”，降低企业投资和运营成本，充分实现资源共享，提高资源产出效率；</w:t>
            </w:r>
          </w:p>
          <w:p w14:paraId="0BD21C83">
            <w:pPr>
              <w:pBdr>
                <w:top w:val="single" w:color="auto" w:sz="4" w:space="1"/>
                <w:left w:val="single" w:color="auto" w:sz="4" w:space="4"/>
                <w:bottom w:val="single" w:color="auto" w:sz="4" w:space="1"/>
                <w:right w:val="single" w:color="auto" w:sz="4" w:space="4"/>
              </w:pBdr>
              <w:spacing w:line="500" w:lineRule="exact"/>
              <w:ind w:firstLine="560"/>
              <w:rPr>
                <w:rFonts w:ascii="Times New Roman" w:hAnsi="黑体" w:eastAsia="黑体"/>
              </w:rPr>
            </w:pPr>
            <w:r>
              <w:rPr>
                <w:rFonts w:hint="eastAsia" w:ascii="楷体" w:hAnsi="楷体" w:eastAsia="楷体" w:cs="Calibri"/>
                <w:sz w:val="28"/>
                <w:szCs w:val="28"/>
              </w:rPr>
              <w:t>“碳中和碳达峰”示范园区创建工程：以产业优化+清单管理为手段，通过建设储能与分布式光伏、提高可再生电力使用比例、加强节能管理、注销减排指标等方式，助力园区实现碳中和碳达峰目标。</w:t>
            </w:r>
          </w:p>
        </w:tc>
      </w:tr>
    </w:tbl>
    <w:p w14:paraId="29915FC4">
      <w:pPr>
        <w:pStyle w:val="17"/>
        <w:ind w:firstLine="643"/>
      </w:pPr>
    </w:p>
    <w:p w14:paraId="0A6F75F7">
      <w:pPr>
        <w:pStyle w:val="4"/>
        <w:rPr>
          <w:rFonts w:ascii="黑体" w:hAnsi="黑体" w:eastAsia="黑体"/>
        </w:rPr>
      </w:pPr>
      <w:bookmarkStart w:id="12" w:name="_Toc24552"/>
      <w:r>
        <w:rPr>
          <w:rFonts w:hint="eastAsia" w:ascii="黑体" w:hAnsi="黑体" w:eastAsia="黑体"/>
        </w:rPr>
        <w:t>第四节  发展目标</w:t>
      </w:r>
      <w:bookmarkEnd w:id="12"/>
    </w:p>
    <w:p w14:paraId="1C8D8264">
      <w:pPr>
        <w:ind w:firstLine="640"/>
      </w:pPr>
      <w:r>
        <w:rPr>
          <w:rFonts w:hint="eastAsia"/>
        </w:rPr>
        <w:t>按照高质量发展的要求，综合考虑未来发展趋势和条件，结合阳城开发区实际，力争到2025年成为产业特色突出、发展模式创新、示范作用明显的省内一流开发区。今后五年经济社会发展的主要目标是：</w:t>
      </w:r>
    </w:p>
    <w:p w14:paraId="39B467CC">
      <w:pPr>
        <w:ind w:firstLine="643"/>
      </w:pPr>
      <w:r>
        <w:rPr>
          <w:rFonts w:hint="eastAsia"/>
          <w:b/>
          <w:bCs/>
        </w:rPr>
        <w:t>综合经济实力明显增强。</w:t>
      </w:r>
      <w:r>
        <w:rPr>
          <w:rFonts w:hint="eastAsia"/>
        </w:rPr>
        <w:t>全区工业总产值达300亿元，规上工业增加值达</w:t>
      </w:r>
      <w:r>
        <w:t>41</w:t>
      </w:r>
      <w:r>
        <w:rPr>
          <w:rFonts w:hint="eastAsia"/>
        </w:rPr>
        <w:t>亿元以上，工业固定资产投资五年累计达</w:t>
      </w:r>
      <w:r>
        <w:t>1</w:t>
      </w:r>
      <w:r>
        <w:rPr>
          <w:rFonts w:hint="eastAsia"/>
        </w:rPr>
        <w:t>00亿元以上。新兴产业初具规模，产业发展向中高端水平迈进，发展空间格局得到优化，投资效率和企业效益明显上升，工业强基奠定坚实支撑，重点建设项目如期完成，民营经济实现快速发展。创新驱动和人才优先发展战略实施取得明显成效，安全生产持续稳定好转。</w:t>
      </w:r>
    </w:p>
    <w:p w14:paraId="7C9F15C3">
      <w:pPr>
        <w:ind w:firstLine="643"/>
      </w:pPr>
      <w:r>
        <w:rPr>
          <w:rFonts w:hint="eastAsia"/>
          <w:b/>
          <w:bCs/>
        </w:rPr>
        <w:t>特色产业集聚区基本形成</w:t>
      </w:r>
      <w:r>
        <w:rPr>
          <w:rFonts w:hint="eastAsia"/>
        </w:rPr>
        <w:t>。到2025年，培育年销售收入超10亿的在国内有影响力的龙头企业3家以上，培育超5亿元的骨干企业5家以上，年销售收入1亿元以上“小巨人”企业超10家；围绕</w:t>
      </w:r>
      <w:r>
        <w:t>新材料、新能源、新</w:t>
      </w:r>
      <w:r>
        <w:rPr>
          <w:rFonts w:hint="eastAsia"/>
        </w:rPr>
        <w:t>装备、大物流、</w:t>
      </w:r>
      <w:r>
        <w:t>大健康</w:t>
      </w:r>
      <w:r>
        <w:rPr>
          <w:rFonts w:hint="eastAsia"/>
        </w:rPr>
        <w:t>产业重点引进和强化重大技改项目，协调配套发展现代服务业。</w:t>
      </w:r>
    </w:p>
    <w:p w14:paraId="48B0CA80">
      <w:pPr>
        <w:ind w:firstLine="643"/>
      </w:pPr>
      <w:r>
        <w:rPr>
          <w:rFonts w:hint="eastAsia"/>
          <w:b/>
          <w:bCs/>
        </w:rPr>
        <w:t>城市功能更趋完善。</w:t>
      </w:r>
      <w:r>
        <w:rPr>
          <w:rFonts w:hint="eastAsia"/>
        </w:rPr>
        <w:t>高品位提升建成区，努力建设宜创宜业宜居的精品化、特色化的开发区。进一步完善配套外围重大基础设施，以及区域内水、电、气、热、公交等公共设施，综合承载力进一步增强，实现工业区、居住区、商业区有效融合，文化娱乐和社区服务功能完善，城市功能品位显著提升，产城融合局面基本形成。</w:t>
      </w:r>
    </w:p>
    <w:p w14:paraId="1F842248">
      <w:pPr>
        <w:ind w:firstLine="643"/>
      </w:pPr>
      <w:r>
        <w:rPr>
          <w:rFonts w:hint="eastAsia"/>
          <w:b/>
          <w:bCs/>
        </w:rPr>
        <w:t>人居环境更加优美。</w:t>
      </w:r>
      <w:r>
        <w:rPr>
          <w:rFonts w:hint="eastAsia"/>
        </w:rPr>
        <w:t>土地节约集约利用成效显著，万元生产总值能耗、主要污染物排放总量等节能减排指标完成控制目标。城市垃圾无害化处理率、工业污水集中处理率、工业固体废物处置利用率均达到全市平均水平。</w:t>
      </w:r>
    </w:p>
    <w:p w14:paraId="74DB691E">
      <w:pPr>
        <w:ind w:firstLine="0" w:firstLineChars="0"/>
        <w:jc w:val="center"/>
        <w:rPr>
          <w:rFonts w:ascii="宋体" w:hAnsi="宋体" w:eastAsia="宋体" w:cs="宋体"/>
          <w:b/>
          <w:bCs/>
        </w:rPr>
      </w:pPr>
      <w:r>
        <w:rPr>
          <w:rFonts w:hint="eastAsia" w:ascii="宋体" w:hAnsi="宋体" w:eastAsia="宋体" w:cs="宋体"/>
          <w:b/>
          <w:bCs/>
        </w:rPr>
        <w:t>“十四五”时期经济发展主要目标</w:t>
      </w:r>
    </w:p>
    <w:p w14:paraId="2FBDBF9E">
      <w:pPr>
        <w:pStyle w:val="12"/>
        <w:ind w:firstLine="360"/>
      </w:pPr>
    </w:p>
    <w:tbl>
      <w:tblPr>
        <w:tblStyle w:val="18"/>
        <w:tblW w:w="84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59"/>
        <w:gridCol w:w="2015"/>
        <w:gridCol w:w="1044"/>
        <w:gridCol w:w="6"/>
        <w:gridCol w:w="1195"/>
        <w:gridCol w:w="763"/>
        <w:gridCol w:w="936"/>
      </w:tblGrid>
      <w:tr w14:paraId="34203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6" w:hRule="atLeast"/>
          <w:jc w:val="center"/>
        </w:trPr>
        <w:tc>
          <w:tcPr>
            <w:tcW w:w="4474" w:type="dxa"/>
            <w:gridSpan w:val="2"/>
            <w:noWrap/>
            <w:vAlign w:val="center"/>
          </w:tcPr>
          <w:p w14:paraId="7AAE26C4">
            <w:pPr>
              <w:ind w:firstLine="0" w:firstLineChars="0"/>
              <w:rPr>
                <w:rFonts w:ascii="宋体"/>
                <w:sz w:val="24"/>
                <w:szCs w:val="24"/>
              </w:rPr>
            </w:pPr>
            <w:r>
              <w:rPr>
                <w:rFonts w:hint="eastAsia" w:ascii="宋体" w:hAnsi="宋体"/>
                <w:sz w:val="24"/>
                <w:szCs w:val="24"/>
              </w:rPr>
              <w:t>指标</w:t>
            </w:r>
          </w:p>
        </w:tc>
        <w:tc>
          <w:tcPr>
            <w:tcW w:w="1050" w:type="dxa"/>
            <w:gridSpan w:val="2"/>
            <w:noWrap/>
            <w:vAlign w:val="center"/>
          </w:tcPr>
          <w:p w14:paraId="68B9FD2C">
            <w:pPr>
              <w:ind w:firstLine="0" w:firstLineChars="0"/>
              <w:rPr>
                <w:rFonts w:ascii="宋体"/>
                <w:sz w:val="24"/>
                <w:szCs w:val="24"/>
              </w:rPr>
            </w:pPr>
            <w:r>
              <w:rPr>
                <w:rFonts w:ascii="宋体" w:hAnsi="宋体"/>
                <w:sz w:val="24"/>
                <w:szCs w:val="24"/>
              </w:rPr>
              <w:t>20</w:t>
            </w:r>
            <w:r>
              <w:rPr>
                <w:rFonts w:hint="eastAsia" w:ascii="宋体" w:hAnsi="宋体"/>
                <w:sz w:val="24"/>
                <w:szCs w:val="24"/>
              </w:rPr>
              <w:t>20年基数</w:t>
            </w:r>
          </w:p>
        </w:tc>
        <w:tc>
          <w:tcPr>
            <w:tcW w:w="1195" w:type="dxa"/>
            <w:noWrap/>
            <w:vAlign w:val="center"/>
          </w:tcPr>
          <w:p w14:paraId="39492D29">
            <w:pPr>
              <w:ind w:firstLine="0" w:firstLineChars="0"/>
              <w:rPr>
                <w:rFonts w:ascii="宋体"/>
                <w:sz w:val="24"/>
                <w:szCs w:val="24"/>
              </w:rPr>
            </w:pPr>
            <w:r>
              <w:rPr>
                <w:rFonts w:ascii="宋体" w:hAnsi="宋体"/>
                <w:sz w:val="24"/>
                <w:szCs w:val="24"/>
              </w:rPr>
              <w:t>202</w:t>
            </w:r>
            <w:r>
              <w:rPr>
                <w:rFonts w:hint="eastAsia" w:ascii="宋体" w:hAnsi="宋体"/>
                <w:sz w:val="24"/>
                <w:szCs w:val="24"/>
              </w:rPr>
              <w:t>5年目标</w:t>
            </w:r>
          </w:p>
        </w:tc>
        <w:tc>
          <w:tcPr>
            <w:tcW w:w="763" w:type="dxa"/>
            <w:noWrap/>
            <w:vAlign w:val="center"/>
          </w:tcPr>
          <w:p w14:paraId="6B7D1752">
            <w:pPr>
              <w:ind w:firstLine="0" w:firstLineChars="0"/>
              <w:rPr>
                <w:rFonts w:ascii="宋体"/>
                <w:sz w:val="24"/>
                <w:szCs w:val="24"/>
              </w:rPr>
            </w:pPr>
            <w:r>
              <w:rPr>
                <w:rFonts w:hint="eastAsia" w:ascii="宋体" w:hAnsi="宋体"/>
                <w:sz w:val="24"/>
                <w:szCs w:val="24"/>
              </w:rPr>
              <w:t>年均增长（</w:t>
            </w:r>
            <w:r>
              <w:rPr>
                <w:rFonts w:ascii="宋体" w:hAnsi="宋体"/>
                <w:sz w:val="24"/>
                <w:szCs w:val="24"/>
              </w:rPr>
              <w:t>%</w:t>
            </w:r>
            <w:r>
              <w:rPr>
                <w:rFonts w:hint="eastAsia" w:ascii="宋体" w:hAnsi="宋体"/>
                <w:sz w:val="24"/>
                <w:szCs w:val="24"/>
              </w:rPr>
              <w:t>）</w:t>
            </w:r>
          </w:p>
        </w:tc>
        <w:tc>
          <w:tcPr>
            <w:tcW w:w="936" w:type="dxa"/>
            <w:noWrap/>
            <w:vAlign w:val="center"/>
          </w:tcPr>
          <w:p w14:paraId="1CF48074">
            <w:pPr>
              <w:ind w:firstLine="0" w:firstLineChars="0"/>
              <w:rPr>
                <w:rFonts w:ascii="宋体"/>
                <w:sz w:val="24"/>
                <w:szCs w:val="24"/>
              </w:rPr>
            </w:pPr>
            <w:r>
              <w:rPr>
                <w:rFonts w:hint="eastAsia" w:ascii="宋体" w:hAnsi="宋体"/>
                <w:sz w:val="24"/>
                <w:szCs w:val="24"/>
              </w:rPr>
              <w:t>属性</w:t>
            </w:r>
          </w:p>
        </w:tc>
      </w:tr>
      <w:tr w14:paraId="29903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14:paraId="076F5BF6">
            <w:pPr>
              <w:ind w:firstLine="0" w:firstLineChars="0"/>
              <w:rPr>
                <w:rFonts w:ascii="宋体"/>
                <w:sz w:val="24"/>
                <w:szCs w:val="24"/>
              </w:rPr>
            </w:pPr>
            <w:r>
              <w:rPr>
                <w:rFonts w:hint="eastAsia" w:ascii="宋体" w:hAnsi="宋体"/>
                <w:sz w:val="24"/>
                <w:szCs w:val="24"/>
              </w:rPr>
              <w:t>一、经济发展</w:t>
            </w:r>
          </w:p>
        </w:tc>
        <w:tc>
          <w:tcPr>
            <w:tcW w:w="1050" w:type="dxa"/>
            <w:gridSpan w:val="2"/>
            <w:noWrap/>
            <w:vAlign w:val="center"/>
          </w:tcPr>
          <w:p w14:paraId="6F003C63">
            <w:pPr>
              <w:ind w:firstLine="0" w:firstLineChars="0"/>
              <w:rPr>
                <w:rFonts w:ascii="宋体"/>
                <w:sz w:val="24"/>
                <w:szCs w:val="24"/>
              </w:rPr>
            </w:pPr>
          </w:p>
        </w:tc>
        <w:tc>
          <w:tcPr>
            <w:tcW w:w="1195" w:type="dxa"/>
            <w:noWrap/>
            <w:vAlign w:val="center"/>
          </w:tcPr>
          <w:p w14:paraId="5A097E45">
            <w:pPr>
              <w:ind w:firstLine="0" w:firstLineChars="0"/>
              <w:rPr>
                <w:rFonts w:ascii="宋体"/>
                <w:sz w:val="24"/>
                <w:szCs w:val="24"/>
              </w:rPr>
            </w:pPr>
          </w:p>
        </w:tc>
        <w:tc>
          <w:tcPr>
            <w:tcW w:w="763" w:type="dxa"/>
            <w:noWrap/>
            <w:vAlign w:val="center"/>
          </w:tcPr>
          <w:p w14:paraId="5A993402">
            <w:pPr>
              <w:ind w:firstLine="0" w:firstLineChars="0"/>
              <w:rPr>
                <w:rFonts w:ascii="宋体"/>
                <w:sz w:val="24"/>
                <w:szCs w:val="24"/>
              </w:rPr>
            </w:pPr>
          </w:p>
        </w:tc>
        <w:tc>
          <w:tcPr>
            <w:tcW w:w="936" w:type="dxa"/>
            <w:noWrap/>
            <w:vAlign w:val="center"/>
          </w:tcPr>
          <w:p w14:paraId="5C1E9BFC">
            <w:pPr>
              <w:ind w:firstLine="0" w:firstLineChars="0"/>
              <w:rPr>
                <w:rFonts w:ascii="宋体"/>
                <w:sz w:val="24"/>
                <w:szCs w:val="24"/>
              </w:rPr>
            </w:pPr>
          </w:p>
        </w:tc>
      </w:tr>
      <w:tr w14:paraId="61DF7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14:paraId="2510425A">
            <w:pPr>
              <w:ind w:firstLine="0" w:firstLineChars="0"/>
              <w:rPr>
                <w:rFonts w:ascii="宋体"/>
                <w:sz w:val="24"/>
                <w:szCs w:val="24"/>
              </w:rPr>
            </w:pPr>
            <w:r>
              <w:rPr>
                <w:rFonts w:hint="eastAsia" w:ascii="宋体" w:hAnsi="宋体"/>
                <w:sz w:val="24"/>
                <w:szCs w:val="24"/>
              </w:rPr>
              <w:t>1、工业总产值（亿元）</w:t>
            </w:r>
          </w:p>
        </w:tc>
        <w:tc>
          <w:tcPr>
            <w:tcW w:w="1050" w:type="dxa"/>
            <w:gridSpan w:val="2"/>
            <w:noWrap/>
            <w:vAlign w:val="center"/>
          </w:tcPr>
          <w:p w14:paraId="5DB49BD9">
            <w:pPr>
              <w:ind w:firstLine="0" w:firstLineChars="0"/>
              <w:rPr>
                <w:rFonts w:ascii="宋体" w:hAnsi="宋体"/>
                <w:sz w:val="24"/>
                <w:szCs w:val="24"/>
              </w:rPr>
            </w:pPr>
            <w:r>
              <w:rPr>
                <w:rFonts w:hint="eastAsia" w:ascii="宋体" w:hAnsi="宋体"/>
                <w:sz w:val="24"/>
                <w:szCs w:val="24"/>
              </w:rPr>
              <w:t>34.38</w:t>
            </w:r>
          </w:p>
        </w:tc>
        <w:tc>
          <w:tcPr>
            <w:tcW w:w="1195" w:type="dxa"/>
            <w:noWrap/>
          </w:tcPr>
          <w:p w14:paraId="77B9AAC1">
            <w:pPr>
              <w:ind w:firstLine="0" w:firstLineChars="0"/>
              <w:rPr>
                <w:rFonts w:ascii="宋体" w:hAnsi="宋体"/>
                <w:sz w:val="21"/>
                <w:szCs w:val="21"/>
              </w:rPr>
            </w:pPr>
            <w:r>
              <w:rPr>
                <w:rFonts w:hint="eastAsia" w:ascii="宋体" w:hAnsi="宋体"/>
                <w:sz w:val="21"/>
                <w:szCs w:val="21"/>
              </w:rPr>
              <w:t>300</w:t>
            </w:r>
          </w:p>
        </w:tc>
        <w:tc>
          <w:tcPr>
            <w:tcW w:w="763" w:type="dxa"/>
            <w:noWrap/>
            <w:vAlign w:val="center"/>
          </w:tcPr>
          <w:p w14:paraId="1636E67A">
            <w:pPr>
              <w:ind w:firstLine="0" w:firstLineChars="0"/>
              <w:rPr>
                <w:rFonts w:ascii="宋体" w:hAnsi="宋体"/>
                <w:sz w:val="21"/>
                <w:szCs w:val="21"/>
              </w:rPr>
            </w:pPr>
            <w:r>
              <w:rPr>
                <w:rFonts w:hint="eastAsia" w:ascii="宋体" w:hAnsi="宋体"/>
                <w:sz w:val="21"/>
                <w:szCs w:val="21"/>
              </w:rPr>
              <w:t>54</w:t>
            </w:r>
          </w:p>
        </w:tc>
        <w:tc>
          <w:tcPr>
            <w:tcW w:w="936" w:type="dxa"/>
            <w:noWrap/>
            <w:vAlign w:val="center"/>
          </w:tcPr>
          <w:p w14:paraId="6854532A">
            <w:pPr>
              <w:ind w:firstLine="0" w:firstLineChars="0"/>
              <w:rPr>
                <w:rFonts w:ascii="宋体" w:hAnsi="宋体"/>
                <w:sz w:val="24"/>
                <w:szCs w:val="24"/>
              </w:rPr>
            </w:pPr>
            <w:r>
              <w:rPr>
                <w:rFonts w:hint="eastAsia" w:ascii="宋体" w:hAnsi="宋体"/>
                <w:sz w:val="24"/>
                <w:szCs w:val="24"/>
              </w:rPr>
              <w:t>预期性</w:t>
            </w:r>
          </w:p>
        </w:tc>
      </w:tr>
      <w:tr w14:paraId="32571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14:paraId="490BBC28">
            <w:pPr>
              <w:ind w:firstLine="0" w:firstLineChars="0"/>
              <w:rPr>
                <w:rFonts w:ascii="宋体"/>
                <w:sz w:val="24"/>
                <w:szCs w:val="24"/>
              </w:rPr>
            </w:pPr>
            <w:r>
              <w:rPr>
                <w:rFonts w:ascii="宋体" w:hAnsi="宋体"/>
                <w:sz w:val="24"/>
                <w:szCs w:val="24"/>
              </w:rPr>
              <w:t>2</w:t>
            </w:r>
            <w:r>
              <w:rPr>
                <w:rFonts w:hint="eastAsia" w:ascii="宋体" w:hAnsi="宋体"/>
                <w:sz w:val="24"/>
                <w:szCs w:val="24"/>
              </w:rPr>
              <w:t>、工业固定资产投资（亿元）</w:t>
            </w:r>
          </w:p>
        </w:tc>
        <w:tc>
          <w:tcPr>
            <w:tcW w:w="1050" w:type="dxa"/>
            <w:gridSpan w:val="2"/>
            <w:noWrap/>
            <w:vAlign w:val="center"/>
          </w:tcPr>
          <w:p w14:paraId="4CA424D4">
            <w:pPr>
              <w:ind w:firstLine="0" w:firstLineChars="0"/>
              <w:rPr>
                <w:rFonts w:ascii="宋体" w:hAnsi="宋体"/>
                <w:sz w:val="24"/>
                <w:szCs w:val="24"/>
              </w:rPr>
            </w:pPr>
            <w:r>
              <w:rPr>
                <w:rFonts w:hint="eastAsia" w:ascii="宋体" w:hAnsi="宋体"/>
                <w:sz w:val="24"/>
                <w:szCs w:val="24"/>
              </w:rPr>
              <w:t>7.32</w:t>
            </w:r>
          </w:p>
        </w:tc>
        <w:tc>
          <w:tcPr>
            <w:tcW w:w="1195" w:type="dxa"/>
            <w:noWrap/>
          </w:tcPr>
          <w:p w14:paraId="1A1A3216">
            <w:pPr>
              <w:ind w:firstLine="0" w:firstLineChars="0"/>
              <w:rPr>
                <w:rFonts w:ascii="宋体"/>
                <w:sz w:val="21"/>
                <w:szCs w:val="21"/>
              </w:rPr>
            </w:pPr>
            <w:r>
              <w:rPr>
                <w:rFonts w:ascii="宋体"/>
                <w:sz w:val="21"/>
                <w:szCs w:val="21"/>
              </w:rPr>
              <w:t>41</w:t>
            </w:r>
            <w:r>
              <w:rPr>
                <w:rFonts w:hint="eastAsia" w:ascii="宋体"/>
                <w:sz w:val="21"/>
                <w:szCs w:val="21"/>
              </w:rPr>
              <w:t>.</w:t>
            </w:r>
            <w:r>
              <w:rPr>
                <w:rFonts w:ascii="宋体"/>
                <w:sz w:val="21"/>
                <w:szCs w:val="21"/>
              </w:rPr>
              <w:t>4</w:t>
            </w:r>
            <w:r>
              <w:rPr>
                <w:rStyle w:val="23"/>
                <w:rFonts w:ascii="宋体"/>
                <w:sz w:val="21"/>
                <w:szCs w:val="21"/>
              </w:rPr>
              <w:footnoteReference w:id="0"/>
            </w:r>
          </w:p>
        </w:tc>
        <w:tc>
          <w:tcPr>
            <w:tcW w:w="763" w:type="dxa"/>
            <w:noWrap/>
            <w:vAlign w:val="center"/>
          </w:tcPr>
          <w:p w14:paraId="0312341B">
            <w:pPr>
              <w:ind w:firstLine="0" w:firstLineChars="0"/>
              <w:rPr>
                <w:rFonts w:ascii="宋体"/>
                <w:sz w:val="21"/>
                <w:szCs w:val="21"/>
              </w:rPr>
            </w:pPr>
            <w:r>
              <w:rPr>
                <w:rFonts w:hint="eastAsia" w:ascii="宋体"/>
                <w:sz w:val="21"/>
                <w:szCs w:val="21"/>
              </w:rPr>
              <w:t>4</w:t>
            </w:r>
            <w:r>
              <w:rPr>
                <w:rFonts w:ascii="宋体"/>
                <w:sz w:val="21"/>
                <w:szCs w:val="21"/>
              </w:rPr>
              <w:t>1</w:t>
            </w:r>
          </w:p>
        </w:tc>
        <w:tc>
          <w:tcPr>
            <w:tcW w:w="936" w:type="dxa"/>
            <w:noWrap/>
          </w:tcPr>
          <w:p w14:paraId="476B58AA">
            <w:pPr>
              <w:ind w:firstLine="0" w:firstLineChars="0"/>
              <w:rPr>
                <w:rFonts w:ascii="宋体"/>
                <w:sz w:val="24"/>
                <w:szCs w:val="24"/>
              </w:rPr>
            </w:pPr>
            <w:r>
              <w:rPr>
                <w:rFonts w:hint="eastAsia" w:ascii="宋体" w:hAnsi="宋体"/>
                <w:sz w:val="24"/>
                <w:szCs w:val="24"/>
              </w:rPr>
              <w:t>预期性</w:t>
            </w:r>
          </w:p>
        </w:tc>
      </w:tr>
      <w:tr w14:paraId="69055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14:paraId="59EB423E">
            <w:pPr>
              <w:ind w:firstLine="0" w:firstLineChars="0"/>
              <w:rPr>
                <w:rFonts w:ascii="宋体"/>
                <w:sz w:val="24"/>
                <w:szCs w:val="24"/>
              </w:rPr>
            </w:pPr>
            <w:r>
              <w:rPr>
                <w:rFonts w:ascii="宋体" w:hAnsi="宋体"/>
                <w:sz w:val="24"/>
                <w:szCs w:val="24"/>
              </w:rPr>
              <w:t>3</w:t>
            </w:r>
            <w:r>
              <w:rPr>
                <w:rFonts w:hint="eastAsia" w:ascii="宋体" w:hAnsi="宋体"/>
                <w:sz w:val="24"/>
                <w:szCs w:val="24"/>
              </w:rPr>
              <w:t>、规上工业增加值（亿元）</w:t>
            </w:r>
          </w:p>
        </w:tc>
        <w:tc>
          <w:tcPr>
            <w:tcW w:w="1050" w:type="dxa"/>
            <w:gridSpan w:val="2"/>
            <w:noWrap/>
            <w:vAlign w:val="center"/>
          </w:tcPr>
          <w:p w14:paraId="5C377080">
            <w:pPr>
              <w:ind w:firstLine="0" w:firstLineChars="0"/>
              <w:rPr>
                <w:rFonts w:ascii="宋体" w:hAnsi="宋体"/>
                <w:sz w:val="24"/>
                <w:szCs w:val="24"/>
              </w:rPr>
            </w:pPr>
            <w:r>
              <w:rPr>
                <w:rFonts w:hint="eastAsia" w:ascii="宋体" w:hAnsi="宋体"/>
                <w:sz w:val="24"/>
                <w:szCs w:val="24"/>
              </w:rPr>
              <w:t>13.05</w:t>
            </w:r>
          </w:p>
        </w:tc>
        <w:tc>
          <w:tcPr>
            <w:tcW w:w="1195" w:type="dxa"/>
            <w:noWrap/>
          </w:tcPr>
          <w:p w14:paraId="3C7919CF">
            <w:pPr>
              <w:ind w:firstLine="0" w:firstLineChars="0"/>
              <w:rPr>
                <w:rFonts w:ascii="宋体" w:hAnsi="宋体"/>
                <w:sz w:val="21"/>
                <w:szCs w:val="21"/>
              </w:rPr>
            </w:pPr>
            <w:r>
              <w:rPr>
                <w:rFonts w:ascii="宋体" w:hAnsi="宋体"/>
                <w:sz w:val="21"/>
                <w:szCs w:val="21"/>
              </w:rPr>
              <w:t>41</w:t>
            </w:r>
          </w:p>
        </w:tc>
        <w:tc>
          <w:tcPr>
            <w:tcW w:w="763" w:type="dxa"/>
            <w:noWrap/>
            <w:vAlign w:val="center"/>
          </w:tcPr>
          <w:p w14:paraId="0126169B">
            <w:pPr>
              <w:ind w:firstLine="0" w:firstLineChars="0"/>
              <w:rPr>
                <w:rFonts w:ascii="宋体" w:hAnsi="宋体"/>
                <w:sz w:val="21"/>
                <w:szCs w:val="21"/>
              </w:rPr>
            </w:pPr>
            <w:r>
              <w:rPr>
                <w:rFonts w:ascii="宋体" w:hAnsi="宋体"/>
                <w:sz w:val="21"/>
                <w:szCs w:val="21"/>
              </w:rPr>
              <w:t>25</w:t>
            </w:r>
            <w:r>
              <w:rPr>
                <w:rFonts w:hint="eastAsia" w:ascii="宋体" w:hAnsi="宋体"/>
                <w:sz w:val="21"/>
                <w:szCs w:val="21"/>
              </w:rPr>
              <w:t>.</w:t>
            </w:r>
            <w:r>
              <w:rPr>
                <w:rFonts w:ascii="宋体" w:hAnsi="宋体"/>
                <w:sz w:val="21"/>
                <w:szCs w:val="21"/>
              </w:rPr>
              <w:t>7</w:t>
            </w:r>
          </w:p>
        </w:tc>
        <w:tc>
          <w:tcPr>
            <w:tcW w:w="936" w:type="dxa"/>
            <w:noWrap/>
          </w:tcPr>
          <w:p w14:paraId="719F2113">
            <w:pPr>
              <w:ind w:firstLine="0" w:firstLineChars="0"/>
              <w:rPr>
                <w:rFonts w:ascii="宋体" w:hAnsi="宋体"/>
                <w:sz w:val="24"/>
                <w:szCs w:val="24"/>
              </w:rPr>
            </w:pPr>
            <w:r>
              <w:rPr>
                <w:rFonts w:hint="eastAsia" w:ascii="宋体" w:hAnsi="宋体"/>
                <w:sz w:val="24"/>
                <w:szCs w:val="24"/>
              </w:rPr>
              <w:t>预期性</w:t>
            </w:r>
          </w:p>
        </w:tc>
      </w:tr>
      <w:tr w14:paraId="6E6F3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14:paraId="5E89FE46">
            <w:pPr>
              <w:ind w:firstLine="0" w:firstLineChars="0"/>
              <w:rPr>
                <w:rFonts w:ascii="宋体"/>
                <w:sz w:val="24"/>
                <w:szCs w:val="24"/>
              </w:rPr>
            </w:pPr>
            <w:r>
              <w:rPr>
                <w:rFonts w:ascii="宋体" w:hAnsi="宋体"/>
                <w:sz w:val="24"/>
                <w:szCs w:val="24"/>
              </w:rPr>
              <w:t>4</w:t>
            </w:r>
            <w:r>
              <w:rPr>
                <w:rFonts w:hint="eastAsia" w:ascii="宋体" w:hAnsi="宋体"/>
                <w:sz w:val="24"/>
                <w:szCs w:val="24"/>
              </w:rPr>
              <w:t>、转型项目投资占固定资产投资比重（</w:t>
            </w:r>
            <w:r>
              <w:rPr>
                <w:rFonts w:ascii="宋体" w:hAnsi="宋体"/>
                <w:sz w:val="24"/>
                <w:szCs w:val="24"/>
              </w:rPr>
              <w:t>%</w:t>
            </w:r>
            <w:r>
              <w:rPr>
                <w:rFonts w:hint="eastAsia" w:ascii="宋体" w:hAnsi="宋体"/>
                <w:sz w:val="24"/>
                <w:szCs w:val="24"/>
              </w:rPr>
              <w:t>）</w:t>
            </w:r>
          </w:p>
        </w:tc>
        <w:tc>
          <w:tcPr>
            <w:tcW w:w="1050" w:type="dxa"/>
            <w:gridSpan w:val="2"/>
            <w:noWrap/>
            <w:vAlign w:val="center"/>
          </w:tcPr>
          <w:p w14:paraId="387DC6BB">
            <w:pPr>
              <w:ind w:firstLine="0" w:firstLineChars="0"/>
              <w:rPr>
                <w:rFonts w:ascii="宋体" w:hAnsi="宋体"/>
                <w:sz w:val="24"/>
                <w:szCs w:val="24"/>
              </w:rPr>
            </w:pPr>
            <w:r>
              <w:rPr>
                <w:rFonts w:hint="eastAsia" w:ascii="宋体" w:hAnsi="宋体"/>
                <w:sz w:val="24"/>
                <w:szCs w:val="24"/>
              </w:rPr>
              <w:t>91.2</w:t>
            </w:r>
          </w:p>
        </w:tc>
        <w:tc>
          <w:tcPr>
            <w:tcW w:w="1195" w:type="dxa"/>
            <w:noWrap/>
            <w:vAlign w:val="center"/>
          </w:tcPr>
          <w:p w14:paraId="01353640">
            <w:pPr>
              <w:ind w:firstLine="0" w:firstLineChars="0"/>
              <w:rPr>
                <w:rFonts w:ascii="宋体" w:hAnsi="宋体"/>
                <w:sz w:val="24"/>
                <w:szCs w:val="24"/>
              </w:rPr>
            </w:pPr>
            <w:r>
              <w:rPr>
                <w:rFonts w:ascii="宋体" w:hAnsi="宋体"/>
                <w:sz w:val="24"/>
                <w:szCs w:val="24"/>
              </w:rPr>
              <w:t>80</w:t>
            </w:r>
          </w:p>
        </w:tc>
        <w:tc>
          <w:tcPr>
            <w:tcW w:w="763" w:type="dxa"/>
            <w:noWrap/>
            <w:vAlign w:val="center"/>
          </w:tcPr>
          <w:p w14:paraId="12839DF2">
            <w:pPr>
              <w:ind w:firstLine="0" w:firstLineChars="0"/>
              <w:rPr>
                <w:rFonts w:ascii="宋体" w:hAnsi="宋体"/>
                <w:sz w:val="24"/>
                <w:szCs w:val="24"/>
              </w:rPr>
            </w:pPr>
          </w:p>
        </w:tc>
        <w:tc>
          <w:tcPr>
            <w:tcW w:w="936" w:type="dxa"/>
            <w:noWrap/>
          </w:tcPr>
          <w:p w14:paraId="1538DD05">
            <w:pPr>
              <w:ind w:firstLine="0" w:firstLineChars="0"/>
              <w:rPr>
                <w:rFonts w:ascii="宋体" w:hAnsi="宋体"/>
                <w:sz w:val="24"/>
                <w:szCs w:val="24"/>
              </w:rPr>
            </w:pPr>
            <w:r>
              <w:rPr>
                <w:rFonts w:hint="eastAsia" w:ascii="宋体" w:hAnsi="宋体"/>
                <w:sz w:val="24"/>
                <w:szCs w:val="24"/>
              </w:rPr>
              <w:t>预期性</w:t>
            </w:r>
          </w:p>
        </w:tc>
      </w:tr>
      <w:tr w14:paraId="7A352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14:paraId="4521A38B">
            <w:pPr>
              <w:ind w:firstLine="0" w:firstLineChars="0"/>
              <w:rPr>
                <w:rFonts w:ascii="宋体" w:hAnsi="宋体"/>
                <w:sz w:val="24"/>
                <w:szCs w:val="24"/>
              </w:rPr>
            </w:pPr>
            <w:r>
              <w:rPr>
                <w:rFonts w:ascii="宋体" w:hAnsi="宋体"/>
                <w:sz w:val="24"/>
                <w:szCs w:val="24"/>
              </w:rPr>
              <w:t>5、</w:t>
            </w:r>
            <w:r>
              <w:rPr>
                <w:rFonts w:hint="eastAsia" w:ascii="宋体" w:hAnsi="宋体"/>
                <w:sz w:val="24"/>
                <w:szCs w:val="24"/>
              </w:rPr>
              <w:t>实际利用外资额（亿美元）</w:t>
            </w:r>
          </w:p>
        </w:tc>
        <w:tc>
          <w:tcPr>
            <w:tcW w:w="1050" w:type="dxa"/>
            <w:gridSpan w:val="2"/>
            <w:noWrap/>
            <w:vAlign w:val="center"/>
          </w:tcPr>
          <w:p w14:paraId="0FFEC5B7">
            <w:pPr>
              <w:ind w:firstLine="0" w:firstLineChars="0"/>
              <w:rPr>
                <w:rFonts w:ascii="宋体" w:hAnsi="宋体"/>
                <w:sz w:val="24"/>
                <w:szCs w:val="24"/>
              </w:rPr>
            </w:pPr>
            <w:r>
              <w:rPr>
                <w:rFonts w:hint="eastAsia" w:ascii="宋体" w:hAnsi="宋体"/>
                <w:sz w:val="24"/>
                <w:szCs w:val="24"/>
              </w:rPr>
              <w:t>0.0</w:t>
            </w:r>
            <w:r>
              <w:rPr>
                <w:rFonts w:ascii="宋体" w:hAnsi="宋体"/>
                <w:sz w:val="24"/>
                <w:szCs w:val="24"/>
              </w:rPr>
              <w:t>022</w:t>
            </w:r>
          </w:p>
        </w:tc>
        <w:tc>
          <w:tcPr>
            <w:tcW w:w="1195" w:type="dxa"/>
            <w:noWrap/>
            <w:vAlign w:val="center"/>
          </w:tcPr>
          <w:p w14:paraId="7BA9FF3D">
            <w:pPr>
              <w:ind w:firstLine="0" w:firstLineChars="0"/>
              <w:rPr>
                <w:rFonts w:ascii="宋体" w:hAnsi="宋体"/>
                <w:sz w:val="24"/>
                <w:szCs w:val="24"/>
              </w:rPr>
            </w:pPr>
            <w:r>
              <w:rPr>
                <w:rFonts w:hint="eastAsia" w:ascii="宋体" w:hAnsi="宋体"/>
                <w:sz w:val="24"/>
                <w:szCs w:val="24"/>
              </w:rPr>
              <w:t>-</w:t>
            </w:r>
          </w:p>
        </w:tc>
        <w:tc>
          <w:tcPr>
            <w:tcW w:w="763" w:type="dxa"/>
            <w:noWrap/>
            <w:vAlign w:val="center"/>
          </w:tcPr>
          <w:p w14:paraId="78B7F4EC">
            <w:pPr>
              <w:ind w:firstLine="0" w:firstLineChars="0"/>
              <w:rPr>
                <w:rFonts w:ascii="宋体" w:hAnsi="宋体"/>
                <w:sz w:val="24"/>
                <w:szCs w:val="24"/>
              </w:rPr>
            </w:pPr>
            <w:r>
              <w:rPr>
                <w:rFonts w:hint="eastAsia" w:ascii="宋体" w:hAnsi="宋体"/>
                <w:sz w:val="24"/>
                <w:szCs w:val="24"/>
              </w:rPr>
              <w:t>-</w:t>
            </w:r>
          </w:p>
        </w:tc>
        <w:tc>
          <w:tcPr>
            <w:tcW w:w="936" w:type="dxa"/>
            <w:noWrap/>
          </w:tcPr>
          <w:p w14:paraId="031563E8">
            <w:pPr>
              <w:ind w:firstLine="0" w:firstLineChars="0"/>
              <w:rPr>
                <w:rFonts w:ascii="宋体" w:hAnsi="宋体"/>
                <w:sz w:val="24"/>
                <w:szCs w:val="24"/>
              </w:rPr>
            </w:pPr>
            <w:r>
              <w:rPr>
                <w:rFonts w:hint="eastAsia" w:ascii="宋体" w:hAnsi="宋体"/>
                <w:sz w:val="24"/>
                <w:szCs w:val="24"/>
              </w:rPr>
              <w:t>预期性</w:t>
            </w:r>
          </w:p>
        </w:tc>
      </w:tr>
      <w:tr w14:paraId="1012C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14:paraId="4785D82C">
            <w:pPr>
              <w:ind w:firstLine="0" w:firstLineChars="0"/>
              <w:rPr>
                <w:rFonts w:ascii="宋体" w:hAnsi="宋体"/>
                <w:sz w:val="24"/>
                <w:szCs w:val="24"/>
              </w:rPr>
            </w:pPr>
            <w:r>
              <w:rPr>
                <w:rFonts w:ascii="宋体" w:hAnsi="宋体"/>
                <w:sz w:val="24"/>
                <w:szCs w:val="24"/>
              </w:rPr>
              <w:t>6、</w:t>
            </w:r>
            <w:r>
              <w:rPr>
                <w:rFonts w:hint="eastAsia" w:ascii="宋体" w:hAnsi="宋体"/>
                <w:sz w:val="24"/>
                <w:szCs w:val="24"/>
              </w:rPr>
              <w:t>四上企业数量（个）</w:t>
            </w:r>
          </w:p>
        </w:tc>
        <w:tc>
          <w:tcPr>
            <w:tcW w:w="1050" w:type="dxa"/>
            <w:gridSpan w:val="2"/>
            <w:noWrap/>
            <w:vAlign w:val="center"/>
          </w:tcPr>
          <w:p w14:paraId="01A9F786">
            <w:pPr>
              <w:ind w:firstLine="0" w:firstLineChars="0"/>
              <w:rPr>
                <w:rFonts w:ascii="宋体" w:hAnsi="宋体"/>
                <w:sz w:val="24"/>
                <w:szCs w:val="24"/>
              </w:rPr>
            </w:pPr>
            <w:r>
              <w:rPr>
                <w:rFonts w:hint="eastAsia" w:ascii="宋体" w:hAnsi="宋体"/>
                <w:sz w:val="24"/>
                <w:szCs w:val="24"/>
              </w:rPr>
              <w:t>22</w:t>
            </w:r>
          </w:p>
        </w:tc>
        <w:tc>
          <w:tcPr>
            <w:tcW w:w="1195" w:type="dxa"/>
            <w:noWrap/>
            <w:vAlign w:val="center"/>
          </w:tcPr>
          <w:p w14:paraId="2362932C">
            <w:pPr>
              <w:ind w:firstLine="0" w:firstLineChars="0"/>
              <w:rPr>
                <w:rFonts w:ascii="宋体" w:hAnsi="宋体"/>
                <w:sz w:val="24"/>
                <w:szCs w:val="24"/>
              </w:rPr>
            </w:pPr>
            <w:r>
              <w:rPr>
                <w:rFonts w:hint="eastAsia" w:ascii="宋体" w:hAnsi="宋体"/>
                <w:sz w:val="24"/>
                <w:szCs w:val="24"/>
              </w:rPr>
              <w:t>50</w:t>
            </w:r>
          </w:p>
        </w:tc>
        <w:tc>
          <w:tcPr>
            <w:tcW w:w="763" w:type="dxa"/>
            <w:noWrap/>
            <w:vAlign w:val="center"/>
          </w:tcPr>
          <w:p w14:paraId="3F158013">
            <w:pPr>
              <w:ind w:firstLine="0" w:firstLineChars="0"/>
              <w:rPr>
                <w:rFonts w:ascii="宋体" w:hAnsi="宋体"/>
                <w:sz w:val="21"/>
                <w:szCs w:val="21"/>
              </w:rPr>
            </w:pPr>
            <w:r>
              <w:rPr>
                <w:rFonts w:hint="eastAsia" w:ascii="宋体" w:hAnsi="宋体"/>
                <w:sz w:val="21"/>
                <w:szCs w:val="21"/>
              </w:rPr>
              <w:t>17.8</w:t>
            </w:r>
          </w:p>
        </w:tc>
        <w:tc>
          <w:tcPr>
            <w:tcW w:w="936" w:type="dxa"/>
            <w:noWrap/>
          </w:tcPr>
          <w:p w14:paraId="2EBB3AB9">
            <w:pPr>
              <w:ind w:firstLine="0" w:firstLineChars="0"/>
              <w:rPr>
                <w:rFonts w:ascii="宋体" w:hAnsi="宋体"/>
                <w:sz w:val="24"/>
                <w:szCs w:val="24"/>
              </w:rPr>
            </w:pPr>
            <w:r>
              <w:rPr>
                <w:rFonts w:hint="eastAsia" w:ascii="宋体" w:hAnsi="宋体"/>
                <w:sz w:val="24"/>
                <w:szCs w:val="24"/>
              </w:rPr>
              <w:t>预期性</w:t>
            </w:r>
          </w:p>
        </w:tc>
      </w:tr>
      <w:tr w14:paraId="44C23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14:paraId="66781282">
            <w:pPr>
              <w:ind w:firstLine="0" w:firstLineChars="0"/>
              <w:rPr>
                <w:rFonts w:ascii="宋体" w:hAnsi="宋体"/>
                <w:sz w:val="24"/>
                <w:szCs w:val="24"/>
              </w:rPr>
            </w:pPr>
            <w:r>
              <w:rPr>
                <w:rFonts w:ascii="宋体" w:hAnsi="宋体"/>
                <w:sz w:val="24"/>
                <w:szCs w:val="24"/>
              </w:rPr>
              <w:t>7、</w:t>
            </w:r>
            <w:r>
              <w:rPr>
                <w:rFonts w:hint="eastAsia" w:ascii="宋体" w:hAnsi="宋体"/>
                <w:sz w:val="24"/>
                <w:szCs w:val="24"/>
              </w:rPr>
              <w:t>亩均产出强度（万元/亩）</w:t>
            </w:r>
          </w:p>
        </w:tc>
        <w:tc>
          <w:tcPr>
            <w:tcW w:w="1050" w:type="dxa"/>
            <w:gridSpan w:val="2"/>
            <w:noWrap/>
            <w:vAlign w:val="center"/>
          </w:tcPr>
          <w:p w14:paraId="7697E2DB">
            <w:pPr>
              <w:ind w:firstLine="0" w:firstLineChars="0"/>
              <w:rPr>
                <w:rFonts w:ascii="宋体" w:hAnsi="宋体"/>
                <w:sz w:val="24"/>
                <w:szCs w:val="24"/>
              </w:rPr>
            </w:pPr>
            <w:r>
              <w:rPr>
                <w:rFonts w:hint="eastAsia" w:ascii="宋体" w:hAnsi="宋体"/>
                <w:sz w:val="24"/>
                <w:szCs w:val="24"/>
              </w:rPr>
              <w:t>101.2</w:t>
            </w:r>
          </w:p>
        </w:tc>
        <w:tc>
          <w:tcPr>
            <w:tcW w:w="1195" w:type="dxa"/>
            <w:noWrap/>
            <w:vAlign w:val="center"/>
          </w:tcPr>
          <w:p w14:paraId="742D23A0">
            <w:pPr>
              <w:ind w:firstLine="0" w:firstLineChars="0"/>
              <w:rPr>
                <w:rFonts w:ascii="宋体" w:hAnsi="宋体"/>
                <w:sz w:val="24"/>
                <w:szCs w:val="24"/>
              </w:rPr>
            </w:pPr>
            <w:r>
              <w:rPr>
                <w:rFonts w:hint="eastAsia" w:ascii="宋体" w:hAnsi="宋体"/>
                <w:sz w:val="24"/>
                <w:szCs w:val="24"/>
              </w:rPr>
              <w:t>200</w:t>
            </w:r>
          </w:p>
        </w:tc>
        <w:tc>
          <w:tcPr>
            <w:tcW w:w="763" w:type="dxa"/>
            <w:noWrap/>
            <w:vAlign w:val="center"/>
          </w:tcPr>
          <w:p w14:paraId="154D3553">
            <w:pPr>
              <w:ind w:firstLine="0" w:firstLineChars="0"/>
              <w:rPr>
                <w:rFonts w:ascii="宋体" w:hAnsi="宋体"/>
                <w:sz w:val="21"/>
                <w:szCs w:val="21"/>
              </w:rPr>
            </w:pPr>
            <w:r>
              <w:rPr>
                <w:rFonts w:hint="eastAsia" w:ascii="宋体" w:hAnsi="宋体"/>
                <w:sz w:val="21"/>
                <w:szCs w:val="21"/>
              </w:rPr>
              <w:t>14.6</w:t>
            </w:r>
          </w:p>
        </w:tc>
        <w:tc>
          <w:tcPr>
            <w:tcW w:w="936" w:type="dxa"/>
            <w:noWrap/>
          </w:tcPr>
          <w:p w14:paraId="5C89872D">
            <w:pPr>
              <w:ind w:firstLine="0" w:firstLineChars="0"/>
              <w:rPr>
                <w:rFonts w:ascii="宋体" w:hAnsi="宋体"/>
                <w:sz w:val="24"/>
                <w:szCs w:val="24"/>
              </w:rPr>
            </w:pPr>
            <w:r>
              <w:rPr>
                <w:rFonts w:hint="eastAsia" w:ascii="宋体" w:hAnsi="宋体"/>
                <w:sz w:val="24"/>
                <w:szCs w:val="24"/>
              </w:rPr>
              <w:t>预期性</w:t>
            </w:r>
          </w:p>
        </w:tc>
      </w:tr>
      <w:tr w14:paraId="73441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14:paraId="4073DB04">
            <w:pPr>
              <w:ind w:firstLine="0" w:firstLineChars="0"/>
              <w:rPr>
                <w:rFonts w:ascii="宋体"/>
                <w:sz w:val="24"/>
                <w:szCs w:val="24"/>
              </w:rPr>
            </w:pPr>
            <w:r>
              <w:rPr>
                <w:rFonts w:ascii="宋体" w:hAnsi="宋体"/>
                <w:sz w:val="24"/>
                <w:szCs w:val="24"/>
              </w:rPr>
              <w:t>8</w:t>
            </w:r>
            <w:r>
              <w:rPr>
                <w:rFonts w:hint="eastAsia" w:ascii="宋体" w:hAnsi="宋体"/>
                <w:sz w:val="24"/>
                <w:szCs w:val="24"/>
              </w:rPr>
              <w:t>、高新技术企业数（个）</w:t>
            </w:r>
          </w:p>
        </w:tc>
        <w:tc>
          <w:tcPr>
            <w:tcW w:w="1050" w:type="dxa"/>
            <w:gridSpan w:val="2"/>
            <w:noWrap/>
            <w:vAlign w:val="center"/>
          </w:tcPr>
          <w:p w14:paraId="445B3A6F">
            <w:pPr>
              <w:ind w:firstLine="0" w:firstLineChars="0"/>
              <w:rPr>
                <w:rFonts w:ascii="宋体"/>
                <w:sz w:val="24"/>
                <w:szCs w:val="24"/>
              </w:rPr>
            </w:pPr>
            <w:r>
              <w:rPr>
                <w:rFonts w:hint="eastAsia" w:ascii="宋体" w:hAnsi="宋体"/>
                <w:sz w:val="24"/>
                <w:szCs w:val="24"/>
              </w:rPr>
              <w:t>2</w:t>
            </w:r>
          </w:p>
        </w:tc>
        <w:tc>
          <w:tcPr>
            <w:tcW w:w="1195" w:type="dxa"/>
            <w:noWrap/>
            <w:vAlign w:val="center"/>
          </w:tcPr>
          <w:p w14:paraId="3CBA3F5C">
            <w:pPr>
              <w:ind w:firstLine="0" w:firstLineChars="0"/>
              <w:rPr>
                <w:rFonts w:ascii="宋体"/>
                <w:sz w:val="24"/>
                <w:szCs w:val="24"/>
              </w:rPr>
            </w:pPr>
            <w:r>
              <w:rPr>
                <w:rFonts w:hint="eastAsia" w:ascii="宋体"/>
                <w:sz w:val="24"/>
                <w:szCs w:val="24"/>
              </w:rPr>
              <w:t>5</w:t>
            </w:r>
          </w:p>
        </w:tc>
        <w:tc>
          <w:tcPr>
            <w:tcW w:w="763" w:type="dxa"/>
            <w:noWrap/>
            <w:vAlign w:val="center"/>
          </w:tcPr>
          <w:p w14:paraId="34CAD9D0">
            <w:pPr>
              <w:ind w:firstLine="0" w:firstLineChars="0"/>
              <w:rPr>
                <w:rFonts w:ascii="宋体"/>
                <w:sz w:val="24"/>
                <w:szCs w:val="24"/>
              </w:rPr>
            </w:pPr>
          </w:p>
        </w:tc>
        <w:tc>
          <w:tcPr>
            <w:tcW w:w="936" w:type="dxa"/>
            <w:noWrap/>
          </w:tcPr>
          <w:p w14:paraId="1599CF1B">
            <w:pPr>
              <w:ind w:firstLine="0" w:firstLineChars="0"/>
              <w:rPr>
                <w:rFonts w:ascii="宋体"/>
                <w:sz w:val="24"/>
                <w:szCs w:val="24"/>
              </w:rPr>
            </w:pPr>
            <w:r>
              <w:rPr>
                <w:rFonts w:hint="eastAsia" w:ascii="宋体" w:hAnsi="宋体"/>
                <w:sz w:val="24"/>
                <w:szCs w:val="24"/>
              </w:rPr>
              <w:t>预期性</w:t>
            </w:r>
          </w:p>
        </w:tc>
      </w:tr>
      <w:tr w14:paraId="64918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14:paraId="7E8BC5DC">
            <w:pPr>
              <w:ind w:firstLine="0" w:firstLineChars="0"/>
              <w:rPr>
                <w:rFonts w:ascii="宋体"/>
                <w:sz w:val="24"/>
                <w:szCs w:val="24"/>
              </w:rPr>
            </w:pPr>
            <w:r>
              <w:rPr>
                <w:rFonts w:hint="eastAsia" w:ascii="宋体" w:hAnsi="宋体"/>
                <w:sz w:val="24"/>
                <w:szCs w:val="24"/>
              </w:rPr>
              <w:t>二、生态文明</w:t>
            </w:r>
          </w:p>
        </w:tc>
        <w:tc>
          <w:tcPr>
            <w:tcW w:w="1050" w:type="dxa"/>
            <w:gridSpan w:val="2"/>
            <w:noWrap/>
            <w:vAlign w:val="center"/>
          </w:tcPr>
          <w:p w14:paraId="3BB31B00">
            <w:pPr>
              <w:ind w:firstLine="0" w:firstLineChars="0"/>
              <w:rPr>
                <w:rFonts w:ascii="宋体"/>
                <w:sz w:val="24"/>
                <w:szCs w:val="24"/>
              </w:rPr>
            </w:pPr>
          </w:p>
        </w:tc>
        <w:tc>
          <w:tcPr>
            <w:tcW w:w="1195" w:type="dxa"/>
            <w:noWrap/>
            <w:vAlign w:val="center"/>
          </w:tcPr>
          <w:p w14:paraId="72E5501F">
            <w:pPr>
              <w:ind w:firstLine="0" w:firstLineChars="0"/>
              <w:rPr>
                <w:rFonts w:ascii="宋体"/>
                <w:sz w:val="24"/>
                <w:szCs w:val="24"/>
              </w:rPr>
            </w:pPr>
          </w:p>
        </w:tc>
        <w:tc>
          <w:tcPr>
            <w:tcW w:w="763" w:type="dxa"/>
            <w:noWrap/>
            <w:vAlign w:val="center"/>
          </w:tcPr>
          <w:p w14:paraId="764C0631">
            <w:pPr>
              <w:ind w:firstLine="0" w:firstLineChars="0"/>
              <w:rPr>
                <w:rFonts w:ascii="宋体"/>
                <w:sz w:val="24"/>
                <w:szCs w:val="24"/>
              </w:rPr>
            </w:pPr>
          </w:p>
        </w:tc>
        <w:tc>
          <w:tcPr>
            <w:tcW w:w="936" w:type="dxa"/>
            <w:noWrap/>
            <w:vAlign w:val="center"/>
          </w:tcPr>
          <w:p w14:paraId="0CF4E7B2">
            <w:pPr>
              <w:ind w:firstLine="0" w:firstLineChars="0"/>
              <w:rPr>
                <w:rFonts w:ascii="宋体"/>
                <w:sz w:val="24"/>
                <w:szCs w:val="24"/>
              </w:rPr>
            </w:pPr>
          </w:p>
        </w:tc>
      </w:tr>
      <w:tr w14:paraId="2512D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14:paraId="0B1F3B79">
            <w:pPr>
              <w:ind w:firstLine="0" w:firstLineChars="0"/>
              <w:rPr>
                <w:rFonts w:ascii="宋体"/>
                <w:sz w:val="24"/>
                <w:szCs w:val="24"/>
              </w:rPr>
            </w:pPr>
            <w:r>
              <w:rPr>
                <w:rFonts w:ascii="宋体" w:hAnsi="宋体"/>
                <w:sz w:val="24"/>
                <w:szCs w:val="24"/>
              </w:rPr>
              <w:t>9</w:t>
            </w:r>
            <w:r>
              <w:rPr>
                <w:rFonts w:hint="eastAsia" w:ascii="宋体" w:hAnsi="宋体"/>
                <w:sz w:val="24"/>
                <w:szCs w:val="24"/>
              </w:rPr>
              <w:t>、万元生产总值用水量（立方米）</w:t>
            </w:r>
          </w:p>
        </w:tc>
        <w:tc>
          <w:tcPr>
            <w:tcW w:w="1050" w:type="dxa"/>
            <w:gridSpan w:val="2"/>
            <w:noWrap/>
            <w:vAlign w:val="center"/>
          </w:tcPr>
          <w:p w14:paraId="5F1F3A9F">
            <w:pPr>
              <w:ind w:firstLine="0" w:firstLineChars="0"/>
              <w:rPr>
                <w:rFonts w:ascii="宋体" w:hAnsi="宋体"/>
                <w:sz w:val="24"/>
                <w:szCs w:val="24"/>
              </w:rPr>
            </w:pPr>
          </w:p>
        </w:tc>
        <w:tc>
          <w:tcPr>
            <w:tcW w:w="1195" w:type="dxa"/>
            <w:noWrap/>
            <w:vAlign w:val="center"/>
          </w:tcPr>
          <w:p w14:paraId="4DD60078">
            <w:pPr>
              <w:ind w:firstLine="0" w:firstLineChars="0"/>
              <w:rPr>
                <w:rFonts w:ascii="宋体" w:hAnsi="宋体"/>
                <w:sz w:val="24"/>
                <w:szCs w:val="24"/>
              </w:rPr>
            </w:pPr>
            <w:r>
              <w:rPr>
                <w:rFonts w:ascii="Times New Roman" w:hAnsi="Times New Roman" w:cs="Times New Roman"/>
                <w:color w:val="000000" w:themeColor="text1"/>
                <w:sz w:val="21"/>
                <w:szCs w:val="21"/>
              </w:rPr>
              <w:t>≤20</w:t>
            </w:r>
          </w:p>
        </w:tc>
        <w:tc>
          <w:tcPr>
            <w:tcW w:w="763" w:type="dxa"/>
            <w:noWrap/>
            <w:vAlign w:val="center"/>
          </w:tcPr>
          <w:p w14:paraId="1FCD7149">
            <w:pPr>
              <w:ind w:firstLine="0" w:firstLineChars="0"/>
              <w:rPr>
                <w:rFonts w:ascii="宋体" w:hAnsi="宋体"/>
                <w:sz w:val="24"/>
                <w:szCs w:val="24"/>
              </w:rPr>
            </w:pPr>
          </w:p>
        </w:tc>
        <w:tc>
          <w:tcPr>
            <w:tcW w:w="936" w:type="dxa"/>
            <w:noWrap/>
            <w:vAlign w:val="center"/>
          </w:tcPr>
          <w:p w14:paraId="4255F30A">
            <w:pPr>
              <w:ind w:firstLine="0" w:firstLineChars="0"/>
              <w:rPr>
                <w:rFonts w:ascii="宋体" w:hAnsi="宋体"/>
                <w:sz w:val="24"/>
                <w:szCs w:val="24"/>
              </w:rPr>
            </w:pPr>
          </w:p>
        </w:tc>
      </w:tr>
      <w:tr w14:paraId="36D3F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14:paraId="398FF875">
            <w:pPr>
              <w:ind w:firstLine="0" w:firstLineChars="0"/>
              <w:rPr>
                <w:rFonts w:ascii="宋体"/>
                <w:sz w:val="24"/>
                <w:szCs w:val="24"/>
              </w:rPr>
            </w:pPr>
            <w:r>
              <w:rPr>
                <w:rFonts w:ascii="宋体" w:hAnsi="宋体"/>
                <w:sz w:val="24"/>
                <w:szCs w:val="24"/>
              </w:rPr>
              <w:t>10</w:t>
            </w:r>
            <w:r>
              <w:rPr>
                <w:rFonts w:hint="eastAsia" w:ascii="宋体" w:hAnsi="宋体"/>
                <w:sz w:val="24"/>
                <w:szCs w:val="24"/>
              </w:rPr>
              <w:t>、万元生产总值能源消耗降低（</w:t>
            </w:r>
            <w:r>
              <w:rPr>
                <w:rFonts w:ascii="宋体" w:hAnsi="宋体"/>
                <w:sz w:val="24"/>
                <w:szCs w:val="24"/>
              </w:rPr>
              <w:t>吨标煤/万元</w:t>
            </w:r>
            <w:r>
              <w:rPr>
                <w:rFonts w:hint="eastAsia" w:ascii="宋体" w:hAnsi="宋体"/>
                <w:sz w:val="24"/>
                <w:szCs w:val="24"/>
              </w:rPr>
              <w:t>）</w:t>
            </w:r>
          </w:p>
        </w:tc>
        <w:tc>
          <w:tcPr>
            <w:tcW w:w="1044" w:type="dxa"/>
            <w:noWrap/>
            <w:vAlign w:val="center"/>
          </w:tcPr>
          <w:p w14:paraId="60172A8A">
            <w:pPr>
              <w:ind w:firstLine="0" w:firstLineChars="0"/>
              <w:rPr>
                <w:rFonts w:ascii="宋体"/>
                <w:sz w:val="24"/>
                <w:szCs w:val="24"/>
              </w:rPr>
            </w:pPr>
          </w:p>
        </w:tc>
        <w:tc>
          <w:tcPr>
            <w:tcW w:w="1201" w:type="dxa"/>
            <w:gridSpan w:val="2"/>
            <w:shd w:val="clear" w:color="auto" w:fill="auto"/>
            <w:noWrap/>
            <w:vAlign w:val="center"/>
          </w:tcPr>
          <w:p w14:paraId="44516EFB">
            <w:pPr>
              <w:ind w:firstLine="0" w:firstLineChars="0"/>
              <w:rPr>
                <w:rFonts w:ascii="宋体"/>
                <w:sz w:val="24"/>
                <w:szCs w:val="24"/>
              </w:rPr>
            </w:pPr>
            <w:r>
              <w:rPr>
                <w:rFonts w:ascii="Times New Roman" w:hAnsi="Times New Roman" w:cs="Times New Roman"/>
                <w:color w:val="000000" w:themeColor="text1"/>
                <w:sz w:val="21"/>
                <w:szCs w:val="21"/>
              </w:rPr>
              <w:t>≤1.27</w:t>
            </w:r>
          </w:p>
        </w:tc>
        <w:tc>
          <w:tcPr>
            <w:tcW w:w="763" w:type="dxa"/>
            <w:noWrap/>
            <w:vAlign w:val="center"/>
          </w:tcPr>
          <w:p w14:paraId="56F9E805">
            <w:pPr>
              <w:ind w:firstLine="0" w:firstLineChars="0"/>
              <w:rPr>
                <w:rFonts w:ascii="宋体"/>
                <w:sz w:val="24"/>
                <w:szCs w:val="24"/>
              </w:rPr>
            </w:pPr>
          </w:p>
        </w:tc>
        <w:tc>
          <w:tcPr>
            <w:tcW w:w="936" w:type="dxa"/>
            <w:noWrap/>
            <w:vAlign w:val="center"/>
          </w:tcPr>
          <w:p w14:paraId="13D3BF04">
            <w:pPr>
              <w:ind w:firstLine="0" w:firstLineChars="0"/>
              <w:rPr>
                <w:rFonts w:ascii="宋体"/>
                <w:sz w:val="24"/>
                <w:szCs w:val="24"/>
              </w:rPr>
            </w:pPr>
          </w:p>
        </w:tc>
      </w:tr>
      <w:tr w14:paraId="64299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8" w:hRule="atLeast"/>
          <w:jc w:val="center"/>
        </w:trPr>
        <w:tc>
          <w:tcPr>
            <w:tcW w:w="4474" w:type="dxa"/>
            <w:gridSpan w:val="2"/>
            <w:noWrap/>
            <w:vAlign w:val="center"/>
          </w:tcPr>
          <w:p w14:paraId="2D3CA45F">
            <w:pPr>
              <w:ind w:firstLine="0" w:firstLineChars="0"/>
              <w:rPr>
                <w:rFonts w:ascii="宋体"/>
                <w:sz w:val="24"/>
                <w:szCs w:val="24"/>
              </w:rPr>
            </w:pPr>
            <w:r>
              <w:rPr>
                <w:rFonts w:ascii="宋体" w:hAnsi="宋体"/>
                <w:sz w:val="24"/>
                <w:szCs w:val="24"/>
              </w:rPr>
              <w:t>11</w:t>
            </w:r>
            <w:r>
              <w:rPr>
                <w:rFonts w:hint="eastAsia" w:ascii="宋体" w:hAnsi="宋体"/>
                <w:sz w:val="24"/>
                <w:szCs w:val="24"/>
              </w:rPr>
              <w:t>、万元生产总值二氧化碳排放降低（</w:t>
            </w:r>
            <w:r>
              <w:rPr>
                <w:rFonts w:ascii="宋体" w:hAnsi="宋体"/>
                <w:sz w:val="24"/>
                <w:szCs w:val="24"/>
              </w:rPr>
              <w:t>%</w:t>
            </w:r>
            <w:r>
              <w:rPr>
                <w:rFonts w:hint="eastAsia" w:ascii="宋体" w:hAnsi="宋体"/>
                <w:sz w:val="24"/>
                <w:szCs w:val="24"/>
              </w:rPr>
              <w:t>）</w:t>
            </w:r>
          </w:p>
        </w:tc>
        <w:tc>
          <w:tcPr>
            <w:tcW w:w="1044" w:type="dxa"/>
            <w:noWrap/>
            <w:vAlign w:val="center"/>
          </w:tcPr>
          <w:p w14:paraId="2C429169">
            <w:pPr>
              <w:ind w:firstLine="0" w:firstLineChars="0"/>
              <w:rPr>
                <w:rFonts w:ascii="宋体"/>
                <w:sz w:val="24"/>
                <w:szCs w:val="24"/>
              </w:rPr>
            </w:pPr>
          </w:p>
        </w:tc>
        <w:tc>
          <w:tcPr>
            <w:tcW w:w="1201" w:type="dxa"/>
            <w:gridSpan w:val="2"/>
            <w:shd w:val="clear" w:color="auto" w:fill="auto"/>
            <w:noWrap/>
            <w:vAlign w:val="center"/>
          </w:tcPr>
          <w:p w14:paraId="09C70834">
            <w:pPr>
              <w:ind w:firstLine="0" w:firstLineChars="0"/>
              <w:jc w:val="left"/>
              <w:rPr>
                <w:rFonts w:ascii="宋体"/>
                <w:sz w:val="24"/>
                <w:szCs w:val="24"/>
              </w:rPr>
            </w:pPr>
            <w:r>
              <w:rPr>
                <w:rFonts w:hint="eastAsia" w:ascii="宋体"/>
                <w:sz w:val="24"/>
                <w:szCs w:val="24"/>
              </w:rPr>
              <w:t>达省要求</w:t>
            </w:r>
          </w:p>
        </w:tc>
        <w:tc>
          <w:tcPr>
            <w:tcW w:w="763" w:type="dxa"/>
            <w:noWrap/>
            <w:vAlign w:val="center"/>
          </w:tcPr>
          <w:p w14:paraId="6A95A664">
            <w:pPr>
              <w:ind w:firstLine="0" w:firstLineChars="0"/>
              <w:rPr>
                <w:rFonts w:ascii="宋体"/>
                <w:sz w:val="24"/>
                <w:szCs w:val="24"/>
              </w:rPr>
            </w:pPr>
          </w:p>
        </w:tc>
        <w:tc>
          <w:tcPr>
            <w:tcW w:w="936" w:type="dxa"/>
            <w:noWrap/>
            <w:vAlign w:val="center"/>
          </w:tcPr>
          <w:p w14:paraId="6D0F9A0D">
            <w:pPr>
              <w:ind w:firstLine="0" w:firstLineChars="0"/>
              <w:rPr>
                <w:rFonts w:ascii="宋体"/>
                <w:sz w:val="24"/>
                <w:szCs w:val="24"/>
              </w:rPr>
            </w:pPr>
            <w:r>
              <w:rPr>
                <w:rFonts w:hint="eastAsia" w:ascii="宋体"/>
                <w:sz w:val="24"/>
                <w:szCs w:val="24"/>
              </w:rPr>
              <w:t>约束性</w:t>
            </w:r>
          </w:p>
        </w:tc>
      </w:tr>
      <w:tr w14:paraId="254AF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2459" w:type="dxa"/>
            <w:vMerge w:val="restart"/>
            <w:noWrap/>
            <w:vAlign w:val="center"/>
          </w:tcPr>
          <w:p w14:paraId="6974E456">
            <w:pPr>
              <w:ind w:firstLine="0" w:firstLineChars="0"/>
              <w:rPr>
                <w:rFonts w:ascii="宋体"/>
                <w:sz w:val="24"/>
                <w:szCs w:val="24"/>
              </w:rPr>
            </w:pPr>
            <w:r>
              <w:rPr>
                <w:rFonts w:ascii="宋体" w:hAnsi="宋体"/>
                <w:sz w:val="24"/>
                <w:szCs w:val="24"/>
              </w:rPr>
              <w:t>12</w:t>
            </w:r>
            <w:r>
              <w:rPr>
                <w:rFonts w:hint="eastAsia" w:ascii="宋体" w:hAnsi="宋体"/>
                <w:sz w:val="24"/>
                <w:szCs w:val="24"/>
              </w:rPr>
              <w:t>、主要污染物排放减少（</w:t>
            </w:r>
            <w:r>
              <w:rPr>
                <w:rFonts w:ascii="宋体" w:hAnsi="宋体"/>
                <w:sz w:val="24"/>
                <w:szCs w:val="24"/>
              </w:rPr>
              <w:t>%</w:t>
            </w:r>
            <w:r>
              <w:rPr>
                <w:rFonts w:hint="eastAsia" w:ascii="宋体" w:hAnsi="宋体"/>
                <w:sz w:val="24"/>
                <w:szCs w:val="24"/>
              </w:rPr>
              <w:t>）</w:t>
            </w:r>
          </w:p>
        </w:tc>
        <w:tc>
          <w:tcPr>
            <w:tcW w:w="2015" w:type="dxa"/>
            <w:noWrap/>
            <w:vAlign w:val="center"/>
          </w:tcPr>
          <w:p w14:paraId="6DD81D33">
            <w:pPr>
              <w:ind w:firstLine="0" w:firstLineChars="0"/>
              <w:rPr>
                <w:rFonts w:ascii="宋体"/>
                <w:sz w:val="24"/>
                <w:szCs w:val="24"/>
              </w:rPr>
            </w:pPr>
            <w:r>
              <w:rPr>
                <w:rFonts w:hint="eastAsia" w:ascii="宋体" w:hAnsi="宋体"/>
                <w:sz w:val="24"/>
                <w:szCs w:val="24"/>
              </w:rPr>
              <w:t>化学需氧量</w:t>
            </w:r>
          </w:p>
        </w:tc>
        <w:tc>
          <w:tcPr>
            <w:tcW w:w="1044" w:type="dxa"/>
            <w:noWrap/>
            <w:vAlign w:val="center"/>
          </w:tcPr>
          <w:p w14:paraId="30F48CB8">
            <w:pPr>
              <w:ind w:firstLine="0" w:firstLineChars="0"/>
              <w:rPr>
                <w:rFonts w:ascii="宋体"/>
                <w:sz w:val="24"/>
                <w:szCs w:val="24"/>
              </w:rPr>
            </w:pPr>
          </w:p>
        </w:tc>
        <w:tc>
          <w:tcPr>
            <w:tcW w:w="1201" w:type="dxa"/>
            <w:gridSpan w:val="2"/>
            <w:noWrap/>
          </w:tcPr>
          <w:p w14:paraId="7BB8B01C">
            <w:pPr>
              <w:ind w:firstLine="0" w:firstLineChars="0"/>
              <w:rPr>
                <w:rFonts w:ascii="宋体"/>
                <w:sz w:val="24"/>
                <w:szCs w:val="24"/>
              </w:rPr>
            </w:pPr>
            <w:r>
              <w:rPr>
                <w:rFonts w:hint="eastAsia" w:ascii="宋体"/>
                <w:sz w:val="24"/>
                <w:szCs w:val="24"/>
              </w:rPr>
              <w:t>达省要求</w:t>
            </w:r>
          </w:p>
        </w:tc>
        <w:tc>
          <w:tcPr>
            <w:tcW w:w="763" w:type="dxa"/>
            <w:noWrap/>
            <w:vAlign w:val="center"/>
          </w:tcPr>
          <w:p w14:paraId="0F7E900D">
            <w:pPr>
              <w:ind w:firstLine="0" w:firstLineChars="0"/>
              <w:rPr>
                <w:rFonts w:ascii="宋体"/>
                <w:sz w:val="24"/>
                <w:szCs w:val="24"/>
              </w:rPr>
            </w:pPr>
          </w:p>
        </w:tc>
        <w:tc>
          <w:tcPr>
            <w:tcW w:w="936" w:type="dxa"/>
            <w:noWrap/>
            <w:vAlign w:val="center"/>
          </w:tcPr>
          <w:p w14:paraId="7673FE2D">
            <w:pPr>
              <w:ind w:firstLine="0" w:firstLineChars="0"/>
              <w:rPr>
                <w:rFonts w:ascii="宋体"/>
                <w:sz w:val="24"/>
                <w:szCs w:val="24"/>
              </w:rPr>
            </w:pPr>
            <w:r>
              <w:rPr>
                <w:rFonts w:hint="eastAsia" w:ascii="宋体"/>
                <w:sz w:val="24"/>
                <w:szCs w:val="24"/>
              </w:rPr>
              <w:t>约束性</w:t>
            </w:r>
          </w:p>
        </w:tc>
      </w:tr>
      <w:tr w14:paraId="37071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2459" w:type="dxa"/>
            <w:vMerge w:val="continue"/>
            <w:noWrap/>
            <w:vAlign w:val="center"/>
          </w:tcPr>
          <w:p w14:paraId="73181B7B">
            <w:pPr>
              <w:ind w:firstLine="0" w:firstLineChars="0"/>
              <w:rPr>
                <w:rFonts w:ascii="宋体"/>
                <w:sz w:val="24"/>
                <w:szCs w:val="24"/>
              </w:rPr>
            </w:pPr>
          </w:p>
        </w:tc>
        <w:tc>
          <w:tcPr>
            <w:tcW w:w="2015" w:type="dxa"/>
            <w:noWrap/>
            <w:vAlign w:val="center"/>
          </w:tcPr>
          <w:p w14:paraId="695EBF0E">
            <w:pPr>
              <w:ind w:firstLine="0" w:firstLineChars="0"/>
              <w:rPr>
                <w:rFonts w:ascii="宋体"/>
                <w:sz w:val="24"/>
                <w:szCs w:val="24"/>
              </w:rPr>
            </w:pPr>
            <w:r>
              <w:rPr>
                <w:rFonts w:hint="eastAsia" w:ascii="宋体" w:hAnsi="宋体"/>
                <w:sz w:val="24"/>
                <w:szCs w:val="24"/>
              </w:rPr>
              <w:t>二氧化硫</w:t>
            </w:r>
          </w:p>
        </w:tc>
        <w:tc>
          <w:tcPr>
            <w:tcW w:w="1044" w:type="dxa"/>
            <w:noWrap/>
            <w:vAlign w:val="center"/>
          </w:tcPr>
          <w:p w14:paraId="5C449707">
            <w:pPr>
              <w:ind w:firstLine="0" w:firstLineChars="0"/>
              <w:rPr>
                <w:rFonts w:ascii="宋体"/>
                <w:sz w:val="24"/>
                <w:szCs w:val="24"/>
              </w:rPr>
            </w:pPr>
          </w:p>
        </w:tc>
        <w:tc>
          <w:tcPr>
            <w:tcW w:w="1201" w:type="dxa"/>
            <w:gridSpan w:val="2"/>
            <w:noWrap/>
          </w:tcPr>
          <w:p w14:paraId="4B42E0D6">
            <w:pPr>
              <w:ind w:firstLine="0" w:firstLineChars="0"/>
              <w:rPr>
                <w:rFonts w:ascii="宋体"/>
                <w:sz w:val="24"/>
                <w:szCs w:val="24"/>
              </w:rPr>
            </w:pPr>
            <w:r>
              <w:rPr>
                <w:rFonts w:hint="eastAsia" w:ascii="宋体"/>
                <w:sz w:val="24"/>
                <w:szCs w:val="24"/>
              </w:rPr>
              <w:t>达省要求</w:t>
            </w:r>
          </w:p>
        </w:tc>
        <w:tc>
          <w:tcPr>
            <w:tcW w:w="763" w:type="dxa"/>
            <w:noWrap/>
            <w:vAlign w:val="center"/>
          </w:tcPr>
          <w:p w14:paraId="56FA334A">
            <w:pPr>
              <w:ind w:firstLine="0" w:firstLineChars="0"/>
              <w:rPr>
                <w:rFonts w:ascii="宋体"/>
                <w:sz w:val="24"/>
                <w:szCs w:val="24"/>
              </w:rPr>
            </w:pPr>
          </w:p>
        </w:tc>
        <w:tc>
          <w:tcPr>
            <w:tcW w:w="936" w:type="dxa"/>
            <w:noWrap/>
          </w:tcPr>
          <w:p w14:paraId="63DF92F2">
            <w:pPr>
              <w:ind w:firstLine="0" w:firstLineChars="0"/>
              <w:rPr>
                <w:rFonts w:ascii="宋体"/>
                <w:sz w:val="24"/>
                <w:szCs w:val="24"/>
              </w:rPr>
            </w:pPr>
            <w:r>
              <w:rPr>
                <w:rFonts w:hint="eastAsia" w:ascii="宋体"/>
                <w:sz w:val="24"/>
                <w:szCs w:val="24"/>
              </w:rPr>
              <w:t>约束性</w:t>
            </w:r>
          </w:p>
        </w:tc>
      </w:tr>
      <w:tr w14:paraId="09A28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2459" w:type="dxa"/>
            <w:vMerge w:val="continue"/>
            <w:noWrap/>
            <w:vAlign w:val="center"/>
          </w:tcPr>
          <w:p w14:paraId="09BE9BE7">
            <w:pPr>
              <w:ind w:firstLine="0" w:firstLineChars="0"/>
              <w:rPr>
                <w:rFonts w:ascii="宋体"/>
                <w:sz w:val="24"/>
                <w:szCs w:val="24"/>
              </w:rPr>
            </w:pPr>
          </w:p>
        </w:tc>
        <w:tc>
          <w:tcPr>
            <w:tcW w:w="2015" w:type="dxa"/>
            <w:noWrap/>
            <w:vAlign w:val="center"/>
          </w:tcPr>
          <w:p w14:paraId="3EB9CFB1">
            <w:pPr>
              <w:ind w:firstLine="0" w:firstLineChars="0"/>
              <w:rPr>
                <w:rFonts w:ascii="宋体"/>
                <w:sz w:val="24"/>
                <w:szCs w:val="24"/>
              </w:rPr>
            </w:pPr>
            <w:r>
              <w:rPr>
                <w:rFonts w:hint="eastAsia" w:ascii="宋体" w:hAnsi="宋体"/>
                <w:sz w:val="24"/>
                <w:szCs w:val="24"/>
              </w:rPr>
              <w:t>氨氮</w:t>
            </w:r>
          </w:p>
        </w:tc>
        <w:tc>
          <w:tcPr>
            <w:tcW w:w="1044" w:type="dxa"/>
            <w:noWrap/>
            <w:vAlign w:val="center"/>
          </w:tcPr>
          <w:p w14:paraId="185E65A5">
            <w:pPr>
              <w:ind w:firstLine="0" w:firstLineChars="0"/>
              <w:rPr>
                <w:rFonts w:ascii="宋体"/>
                <w:sz w:val="24"/>
                <w:szCs w:val="24"/>
              </w:rPr>
            </w:pPr>
          </w:p>
        </w:tc>
        <w:tc>
          <w:tcPr>
            <w:tcW w:w="1201" w:type="dxa"/>
            <w:gridSpan w:val="2"/>
            <w:noWrap/>
          </w:tcPr>
          <w:p w14:paraId="6CEBA6C0">
            <w:pPr>
              <w:ind w:firstLine="0" w:firstLineChars="0"/>
              <w:rPr>
                <w:rFonts w:ascii="宋体"/>
                <w:sz w:val="24"/>
                <w:szCs w:val="24"/>
              </w:rPr>
            </w:pPr>
            <w:r>
              <w:rPr>
                <w:rFonts w:hint="eastAsia" w:ascii="宋体"/>
                <w:sz w:val="24"/>
                <w:szCs w:val="24"/>
              </w:rPr>
              <w:t>达省要求</w:t>
            </w:r>
          </w:p>
        </w:tc>
        <w:tc>
          <w:tcPr>
            <w:tcW w:w="763" w:type="dxa"/>
            <w:noWrap/>
            <w:vAlign w:val="center"/>
          </w:tcPr>
          <w:p w14:paraId="51466FC7">
            <w:pPr>
              <w:ind w:firstLine="0" w:firstLineChars="0"/>
              <w:rPr>
                <w:rFonts w:ascii="宋体"/>
                <w:sz w:val="24"/>
                <w:szCs w:val="24"/>
              </w:rPr>
            </w:pPr>
          </w:p>
        </w:tc>
        <w:tc>
          <w:tcPr>
            <w:tcW w:w="936" w:type="dxa"/>
            <w:noWrap/>
          </w:tcPr>
          <w:p w14:paraId="5E60AC52">
            <w:pPr>
              <w:ind w:firstLine="0" w:firstLineChars="0"/>
              <w:rPr>
                <w:rFonts w:ascii="宋体"/>
                <w:sz w:val="24"/>
                <w:szCs w:val="24"/>
              </w:rPr>
            </w:pPr>
            <w:r>
              <w:rPr>
                <w:rFonts w:hint="eastAsia" w:ascii="宋体"/>
                <w:sz w:val="24"/>
                <w:szCs w:val="24"/>
              </w:rPr>
              <w:t>约束性</w:t>
            </w:r>
          </w:p>
        </w:tc>
      </w:tr>
      <w:tr w14:paraId="385CE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2459" w:type="dxa"/>
            <w:vMerge w:val="continue"/>
            <w:noWrap/>
            <w:vAlign w:val="center"/>
          </w:tcPr>
          <w:p w14:paraId="31909B73">
            <w:pPr>
              <w:ind w:firstLine="0" w:firstLineChars="0"/>
              <w:rPr>
                <w:rFonts w:ascii="宋体"/>
                <w:sz w:val="24"/>
                <w:szCs w:val="24"/>
              </w:rPr>
            </w:pPr>
          </w:p>
        </w:tc>
        <w:tc>
          <w:tcPr>
            <w:tcW w:w="2015" w:type="dxa"/>
            <w:noWrap/>
            <w:vAlign w:val="center"/>
          </w:tcPr>
          <w:p w14:paraId="061A74BF">
            <w:pPr>
              <w:ind w:firstLine="0" w:firstLineChars="0"/>
              <w:rPr>
                <w:rFonts w:ascii="宋体"/>
                <w:sz w:val="24"/>
                <w:szCs w:val="24"/>
              </w:rPr>
            </w:pPr>
            <w:r>
              <w:rPr>
                <w:rFonts w:hint="eastAsia" w:ascii="宋体" w:hAnsi="宋体"/>
                <w:sz w:val="24"/>
                <w:szCs w:val="24"/>
              </w:rPr>
              <w:t>氮氧化物</w:t>
            </w:r>
          </w:p>
        </w:tc>
        <w:tc>
          <w:tcPr>
            <w:tcW w:w="1044" w:type="dxa"/>
            <w:noWrap/>
            <w:vAlign w:val="center"/>
          </w:tcPr>
          <w:p w14:paraId="5DEA4ADE">
            <w:pPr>
              <w:ind w:firstLine="0" w:firstLineChars="0"/>
              <w:rPr>
                <w:rFonts w:ascii="宋体"/>
                <w:sz w:val="24"/>
                <w:szCs w:val="24"/>
              </w:rPr>
            </w:pPr>
          </w:p>
        </w:tc>
        <w:tc>
          <w:tcPr>
            <w:tcW w:w="1201" w:type="dxa"/>
            <w:gridSpan w:val="2"/>
            <w:noWrap/>
            <w:vAlign w:val="center"/>
          </w:tcPr>
          <w:p w14:paraId="0E8DE4EB">
            <w:pPr>
              <w:ind w:firstLine="0" w:firstLineChars="0"/>
              <w:rPr>
                <w:rFonts w:ascii="宋体"/>
                <w:sz w:val="24"/>
                <w:szCs w:val="24"/>
              </w:rPr>
            </w:pPr>
            <w:r>
              <w:rPr>
                <w:rFonts w:hint="eastAsia" w:ascii="宋体"/>
                <w:sz w:val="24"/>
                <w:szCs w:val="24"/>
              </w:rPr>
              <w:t>达省要求</w:t>
            </w:r>
          </w:p>
        </w:tc>
        <w:tc>
          <w:tcPr>
            <w:tcW w:w="763" w:type="dxa"/>
            <w:noWrap/>
            <w:vAlign w:val="center"/>
          </w:tcPr>
          <w:p w14:paraId="6C791E43">
            <w:pPr>
              <w:ind w:firstLine="0" w:firstLineChars="0"/>
              <w:rPr>
                <w:rFonts w:ascii="宋体"/>
                <w:sz w:val="24"/>
                <w:szCs w:val="24"/>
              </w:rPr>
            </w:pPr>
          </w:p>
        </w:tc>
        <w:tc>
          <w:tcPr>
            <w:tcW w:w="936" w:type="dxa"/>
            <w:noWrap/>
          </w:tcPr>
          <w:p w14:paraId="53899668">
            <w:pPr>
              <w:ind w:firstLine="0" w:firstLineChars="0"/>
              <w:rPr>
                <w:rFonts w:ascii="宋体"/>
                <w:sz w:val="24"/>
                <w:szCs w:val="24"/>
              </w:rPr>
            </w:pPr>
            <w:r>
              <w:rPr>
                <w:rFonts w:hint="eastAsia" w:ascii="宋体"/>
                <w:sz w:val="24"/>
                <w:szCs w:val="24"/>
              </w:rPr>
              <w:t>约束性</w:t>
            </w:r>
          </w:p>
        </w:tc>
      </w:tr>
    </w:tbl>
    <w:p w14:paraId="60F622BF">
      <w:pPr>
        <w:ind w:firstLine="640"/>
      </w:pPr>
      <w:r>
        <w:br w:type="page"/>
      </w:r>
    </w:p>
    <w:p w14:paraId="4ACA9EC2">
      <w:pPr>
        <w:pStyle w:val="4"/>
        <w:rPr>
          <w:rFonts w:ascii="黑体" w:hAnsi="黑体" w:eastAsia="黑体"/>
        </w:rPr>
      </w:pPr>
      <w:bookmarkStart w:id="13" w:name="_Toc1679"/>
      <w:r>
        <w:rPr>
          <w:rFonts w:hint="eastAsia" w:ascii="黑体" w:hAnsi="黑体" w:eastAsia="黑体"/>
        </w:rPr>
        <w:t>第五节  空间布局</w:t>
      </w:r>
      <w:bookmarkEnd w:id="13"/>
    </w:p>
    <w:p w14:paraId="3AA183BC">
      <w:pPr>
        <w:pStyle w:val="17"/>
        <w:ind w:firstLine="640"/>
        <w:rPr>
          <w:rFonts w:ascii="仿宋_GB2312" w:eastAsia="仿宋_GB2312"/>
          <w:b w:val="0"/>
          <w:bCs w:val="0"/>
          <w:color w:val="FF0000"/>
        </w:rPr>
      </w:pPr>
      <w:r>
        <w:rPr>
          <w:rFonts w:hint="eastAsia" w:ascii="仿宋_GB2312" w:eastAsia="仿宋_GB2312"/>
          <w:b w:val="0"/>
          <w:bCs w:val="0"/>
        </w:rPr>
        <w:t>以“生产空间集约高效、生活空间宜居适度、生态空间山清水</w:t>
      </w:r>
      <w:r>
        <w:rPr>
          <w:rFonts w:hint="eastAsia" w:ascii="仿宋_GB2312" w:eastAsia="仿宋_GB2312"/>
          <w:b w:val="0"/>
          <w:bCs w:val="0"/>
          <w:color w:val="000000" w:themeColor="text1"/>
        </w:rPr>
        <w:t>秀”为目标，优化空间布局，按照“一区四园”的发展思路，</w:t>
      </w:r>
      <w:r>
        <w:rPr>
          <w:rFonts w:hint="eastAsia" w:ascii="仿宋_GB2312" w:eastAsia="仿宋_GB2312"/>
          <w:b w:val="0"/>
          <w:bCs w:val="0"/>
          <w:color w:val="000000" w:themeColor="text1"/>
          <w:lang w:val="en-US" w:eastAsia="zh-CN"/>
        </w:rPr>
        <w:t>完成</w:t>
      </w:r>
      <w:r>
        <w:rPr>
          <w:rFonts w:hint="eastAsia" w:ascii="仿宋_GB2312" w:eastAsia="仿宋_GB2312"/>
          <w:b w:val="0"/>
          <w:bCs w:val="0"/>
          <w:color w:val="000000" w:themeColor="text1"/>
        </w:rPr>
        <w:t>调规扩区工作，加快演礼科技产业园和台头现代精细化工产业园入区步伐，推动形成“一区四园”架构，调规后开发区规划面积达到9.</w:t>
      </w:r>
      <w:r>
        <w:rPr>
          <w:rFonts w:hint="eastAsia" w:ascii="仿宋_GB2312" w:eastAsia="仿宋_GB2312"/>
          <w:b w:val="0"/>
          <w:bCs w:val="0"/>
          <w:color w:val="000000" w:themeColor="text1"/>
          <w:lang w:val="en-US" w:eastAsia="zh-CN"/>
        </w:rPr>
        <w:t>99</w:t>
      </w:r>
      <w:r>
        <w:rPr>
          <w:rFonts w:hint="eastAsia" w:ascii="仿宋_GB2312" w:eastAsia="仿宋_GB2312"/>
          <w:b w:val="0"/>
          <w:bCs w:val="0"/>
          <w:color w:val="000000" w:themeColor="text1"/>
        </w:rPr>
        <w:t>平方公里，总产值达到全县的60％以上。</w:t>
      </w:r>
    </w:p>
    <w:p w14:paraId="67AC8A95">
      <w:pPr>
        <w:ind w:firstLine="640"/>
        <w:rPr>
          <w:rFonts w:hAnsi="Times New Roman"/>
          <w:bCs/>
        </w:rPr>
      </w:pPr>
      <w:r>
        <w:rPr>
          <w:rFonts w:hint="eastAsia"/>
        </w:rPr>
        <w:t>一区：</w:t>
      </w:r>
      <w:r>
        <w:rPr>
          <w:rFonts w:hint="eastAsia" w:hAnsi="Times New Roman"/>
          <w:bCs/>
        </w:rPr>
        <w:t>阳城开发区核心区，打造以研发、服务等功能为主的综合服务中心。</w:t>
      </w:r>
    </w:p>
    <w:p w14:paraId="5069E660">
      <w:pPr>
        <w:ind w:firstLine="640"/>
      </w:pPr>
      <w:r>
        <w:rPr>
          <w:rFonts w:hint="eastAsia" w:hAnsi="Times New Roman"/>
          <w:bCs/>
        </w:rPr>
        <w:t>四园：</w:t>
      </w:r>
      <w:r>
        <w:t>安阳</w:t>
      </w:r>
      <w:r>
        <w:rPr>
          <w:rFonts w:hint="eastAsia"/>
          <w:lang w:val="en-US" w:eastAsia="zh-CN"/>
        </w:rPr>
        <w:t>绿色循环经济</w:t>
      </w:r>
      <w:r>
        <w:t>产业园、八甲口循环经济产业园、演礼科技产业园、台头现代精细化工产业园。</w:t>
      </w:r>
    </w:p>
    <w:p w14:paraId="5E5B46F2">
      <w:pPr>
        <w:ind w:firstLine="640"/>
      </w:pPr>
    </w:p>
    <w:p w14:paraId="7260DF87">
      <w:pPr>
        <w:ind w:firstLine="640"/>
      </w:pPr>
      <w:bookmarkStart w:id="14" w:name="_Toc28364"/>
      <w:r>
        <w:drawing>
          <wp:inline distT="0" distB="0" distL="0" distR="0">
            <wp:extent cx="5274310" cy="3317875"/>
            <wp:effectExtent l="1905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317875"/>
                    </a:xfrm>
                    <a:prstGeom prst="rect">
                      <a:avLst/>
                    </a:prstGeom>
                    <a:noFill/>
                    <a:ln>
                      <a:noFill/>
                    </a:ln>
                  </pic:spPr>
                </pic:pic>
              </a:graphicData>
            </a:graphic>
          </wp:inline>
        </w:drawing>
      </w:r>
      <w:bookmarkEnd w:id="14"/>
    </w:p>
    <w:p w14:paraId="45935BD6">
      <w:pPr>
        <w:spacing w:line="480" w:lineRule="auto"/>
        <w:ind w:firstLine="480"/>
        <w:jc w:val="center"/>
        <w:rPr>
          <w:rFonts w:ascii="微软雅黑" w:hAnsi="微软雅黑" w:eastAsia="微软雅黑" w:cs="宋体"/>
          <w:color w:val="000000" w:themeColor="text1"/>
          <w:sz w:val="24"/>
        </w:rPr>
      </w:pPr>
      <w:r>
        <w:rPr>
          <w:rFonts w:hint="eastAsia" w:ascii="微软雅黑" w:hAnsi="微软雅黑" w:eastAsia="微软雅黑" w:cs="宋体"/>
          <w:color w:val="000000" w:themeColor="text1"/>
          <w:sz w:val="24"/>
        </w:rPr>
        <w:t>图1，阳城县经济开发区规划区位图</w:t>
      </w:r>
    </w:p>
    <w:p w14:paraId="11727039">
      <w:pPr>
        <w:ind w:firstLine="640"/>
      </w:pPr>
    </w:p>
    <w:p w14:paraId="40C47BBB">
      <w:pPr>
        <w:spacing w:line="480" w:lineRule="auto"/>
        <w:ind w:firstLine="646" w:firstLineChars="202"/>
      </w:pPr>
      <w:r>
        <w:rPr>
          <w:rFonts w:hint="eastAsia"/>
        </w:rPr>
        <w:t>（1）安阳</w:t>
      </w:r>
      <w:r>
        <w:rPr>
          <w:rFonts w:hint="eastAsia"/>
          <w:lang w:val="en-US" w:eastAsia="zh-CN"/>
        </w:rPr>
        <w:t>绿色循环经济</w:t>
      </w:r>
      <w:r>
        <w:rPr>
          <w:rFonts w:hint="eastAsia"/>
        </w:rPr>
        <w:t>产业园</w:t>
      </w:r>
    </w:p>
    <w:p w14:paraId="4B847BBF">
      <w:pPr>
        <w:ind w:firstLine="640"/>
      </w:pPr>
      <w:r>
        <w:t>由</w:t>
      </w:r>
      <w:r>
        <w:rPr>
          <w:rFonts w:hint="eastAsia"/>
        </w:rPr>
        <w:t>4.62</w:t>
      </w:r>
      <w:r>
        <w:t>平方公里</w:t>
      </w:r>
      <w:r>
        <w:rPr>
          <w:rFonts w:hint="eastAsia"/>
        </w:rPr>
        <w:t>调整为4.07</w:t>
      </w:r>
      <w:r>
        <w:t>平方公里，打造年产值200亿元的现代陶瓷新材料产业体系</w:t>
      </w:r>
      <w:r>
        <w:rPr>
          <w:rFonts w:hint="eastAsia"/>
        </w:rPr>
        <w:t>。着重引进和培育特种陶瓷及新材料企业，</w:t>
      </w:r>
      <w:r>
        <w:t>大力发展创意陶瓷</w:t>
      </w:r>
      <w:r>
        <w:rPr>
          <w:rFonts w:hint="eastAsia"/>
        </w:rPr>
        <w:t>；同时，发展生态环保产业，推进</w:t>
      </w:r>
      <w:r>
        <w:rPr>
          <w:rFonts w:hint="eastAsia"/>
          <w:lang w:val="en-US" w:eastAsia="zh-CN"/>
        </w:rPr>
        <w:t>煤矸石利用、</w:t>
      </w:r>
      <w:r>
        <w:rPr>
          <w:rFonts w:hint="eastAsia"/>
        </w:rPr>
        <w:t>窑炉烟气脱硫、脱硝技术、废瓷废石膏综合利用技术、余热利用技术的引进与研发。在陶瓷产业园一期布局琉璃珐华产业园，将现有厂房进行升级改造。立足绿色低碳理念，建设封闭式原材料库，采取重钢+光伏模式解决能耗问题；在二期布局煤矸石循环利用产业园，挖掘煤矸石利用效率，解决陶瓷原料问题；在三期布局两个大型龙头陶瓷品牌企业，带动产业集群发展，起到引领示范作用。打造成低碳、绿色、环保、碳中和示范区。</w:t>
      </w:r>
    </w:p>
    <w:p w14:paraId="7090362F">
      <w:pPr>
        <w:pStyle w:val="6"/>
        <w:ind w:firstLine="640"/>
      </w:pPr>
      <w:r>
        <w:drawing>
          <wp:inline distT="0" distB="0" distL="0" distR="0">
            <wp:extent cx="4218940" cy="2969895"/>
            <wp:effectExtent l="0" t="0" r="1016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9200" cy="2970000"/>
                    </a:xfrm>
                    <a:prstGeom prst="rect">
                      <a:avLst/>
                    </a:prstGeom>
                    <a:noFill/>
                    <a:ln>
                      <a:noFill/>
                    </a:ln>
                  </pic:spPr>
                </pic:pic>
              </a:graphicData>
            </a:graphic>
          </wp:inline>
        </w:drawing>
      </w:r>
    </w:p>
    <w:p w14:paraId="6C6765D2">
      <w:pPr>
        <w:spacing w:line="480" w:lineRule="auto"/>
        <w:ind w:firstLine="480"/>
        <w:jc w:val="center"/>
        <w:rPr>
          <w:rFonts w:ascii="微软雅黑" w:hAnsi="微软雅黑" w:eastAsia="微软雅黑" w:cs="宋体"/>
          <w:color w:val="000000" w:themeColor="text1"/>
          <w:sz w:val="24"/>
        </w:rPr>
      </w:pPr>
      <w:r>
        <w:rPr>
          <w:rFonts w:hint="eastAsia" w:ascii="微软雅黑" w:hAnsi="微软雅黑" w:eastAsia="微软雅黑" w:cs="宋体"/>
          <w:color w:val="000000" w:themeColor="text1"/>
          <w:sz w:val="24"/>
        </w:rPr>
        <w:t>图2，安阳</w:t>
      </w:r>
      <w:r>
        <w:rPr>
          <w:rFonts w:hint="eastAsia" w:ascii="微软雅黑" w:hAnsi="微软雅黑" w:eastAsia="微软雅黑" w:cs="宋体"/>
          <w:color w:val="000000" w:themeColor="text1"/>
          <w:sz w:val="24"/>
          <w:lang w:val="en-US" w:eastAsia="zh-CN"/>
        </w:rPr>
        <w:t>绿色循环经济产业</w:t>
      </w:r>
      <w:r>
        <w:rPr>
          <w:rFonts w:hint="eastAsia" w:ascii="微软雅黑" w:hAnsi="微软雅黑" w:eastAsia="微软雅黑" w:cs="宋体"/>
          <w:color w:val="000000" w:themeColor="text1"/>
          <w:sz w:val="24"/>
        </w:rPr>
        <w:t>园产业布局图</w:t>
      </w:r>
    </w:p>
    <w:p w14:paraId="6783BACF">
      <w:pPr>
        <w:ind w:firstLine="640"/>
      </w:pPr>
    </w:p>
    <w:p w14:paraId="4665F8E8">
      <w:pPr>
        <w:ind w:firstLine="640"/>
      </w:pPr>
      <w:r>
        <w:rPr>
          <w:rFonts w:hint="eastAsia"/>
        </w:rPr>
        <w:t>（2）八甲口</w:t>
      </w:r>
      <w:r>
        <w:rPr>
          <w:rFonts w:hint="eastAsia"/>
          <w:lang w:val="en-US" w:eastAsia="zh-CN"/>
        </w:rPr>
        <w:t>新能源</w:t>
      </w:r>
      <w:r>
        <w:t>产业园</w:t>
      </w:r>
    </w:p>
    <w:p w14:paraId="0C77D58A">
      <w:pPr>
        <w:spacing w:line="480" w:lineRule="auto"/>
        <w:ind w:firstLine="646" w:firstLineChars="202"/>
      </w:pPr>
      <w:r>
        <w:t>八甲口循环经济产业园</w:t>
      </w:r>
      <w:r>
        <w:rPr>
          <w:rFonts w:hint="eastAsia"/>
        </w:rPr>
        <w:t>1.39</w:t>
      </w:r>
      <w:r>
        <w:t>平方公里，打造年产值20亿元的新能源和现代物流集群</w:t>
      </w:r>
      <w:r>
        <w:rPr>
          <w:rFonts w:hint="eastAsia"/>
        </w:rPr>
        <w:t>。针对园区已有的煤层气及煤矿资源，着重引进煤层气合成及煤层气高端转化企业，以及碳材料研发企业，围绕煤层气“集、输、运”等环节，着重引进煤层气装备制造企业和物流企业。</w:t>
      </w:r>
    </w:p>
    <w:p w14:paraId="5FBAF00D">
      <w:pPr>
        <w:ind w:firstLine="640"/>
      </w:pPr>
      <w:r>
        <w:drawing>
          <wp:inline distT="0" distB="0" distL="0" distR="0">
            <wp:extent cx="5274310" cy="37134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713480"/>
                    </a:xfrm>
                    <a:prstGeom prst="rect">
                      <a:avLst/>
                    </a:prstGeom>
                    <a:noFill/>
                    <a:ln>
                      <a:noFill/>
                    </a:ln>
                  </pic:spPr>
                </pic:pic>
              </a:graphicData>
            </a:graphic>
          </wp:inline>
        </w:drawing>
      </w:r>
    </w:p>
    <w:p w14:paraId="50E03912">
      <w:pPr>
        <w:spacing w:line="480" w:lineRule="auto"/>
        <w:ind w:firstLine="480"/>
        <w:jc w:val="center"/>
        <w:rPr>
          <w:rFonts w:ascii="微软雅黑" w:hAnsi="微软雅黑" w:eastAsia="微软雅黑" w:cs="宋体"/>
          <w:color w:val="000000" w:themeColor="text1"/>
          <w:sz w:val="24"/>
        </w:rPr>
      </w:pPr>
      <w:r>
        <w:rPr>
          <w:rFonts w:hint="eastAsia" w:ascii="微软雅黑" w:hAnsi="微软雅黑" w:eastAsia="微软雅黑" w:cs="宋体"/>
          <w:color w:val="000000" w:themeColor="text1"/>
          <w:sz w:val="24"/>
        </w:rPr>
        <w:t>图3，八甲口新能源产业园产业布局图</w:t>
      </w:r>
    </w:p>
    <w:p w14:paraId="28447D28">
      <w:pPr>
        <w:ind w:firstLine="640"/>
      </w:pPr>
    </w:p>
    <w:p w14:paraId="74E1F003">
      <w:pPr>
        <w:spacing w:line="480" w:lineRule="auto"/>
        <w:ind w:firstLine="646" w:firstLineChars="202"/>
      </w:pPr>
      <w:r>
        <w:rPr>
          <w:rFonts w:hint="eastAsia"/>
        </w:rPr>
        <w:t>（3）演礼科技产业园</w:t>
      </w:r>
    </w:p>
    <w:p w14:paraId="05F4CF7A">
      <w:pPr>
        <w:spacing w:line="480" w:lineRule="auto"/>
        <w:ind w:firstLine="646" w:firstLineChars="202"/>
      </w:pPr>
      <w:r>
        <w:t>演礼科技产业园规划面积</w:t>
      </w:r>
      <w:r>
        <w:rPr>
          <w:rFonts w:hint="eastAsia"/>
        </w:rPr>
        <w:t>3.2</w:t>
      </w:r>
      <w:r>
        <w:t>平方公里，打造50亿元的生物医药和大健康产业集群</w:t>
      </w:r>
      <w:r>
        <w:rPr>
          <w:rFonts w:hint="eastAsia"/>
        </w:rPr>
        <w:t>。重点布局大健康、智能装备制造、现代生物医药产业。针对演礼新城板块，布局演礼新区政务中心，建设市民广场、创客小镇及综合配套区，紧紧围绕产城融合发展理念，补齐开发区生活配套短板，以建设“智创新城、产业新城、生态新城”为目标，以大健康产业为核心，全力打造生物医药、装备制造和大健康产业集群，力争亩均投资强度达3</w:t>
      </w:r>
      <w:r>
        <w:t>00</w:t>
      </w:r>
      <w:r>
        <w:rPr>
          <w:rFonts w:hint="eastAsia"/>
        </w:rPr>
        <w:t>万元以上。</w:t>
      </w:r>
    </w:p>
    <w:p w14:paraId="04757BD9">
      <w:pPr>
        <w:ind w:firstLine="640"/>
      </w:pPr>
      <w:r>
        <w:drawing>
          <wp:inline distT="0" distB="0" distL="0" distR="0">
            <wp:extent cx="5274310" cy="37134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3713480"/>
                    </a:xfrm>
                    <a:prstGeom prst="rect">
                      <a:avLst/>
                    </a:prstGeom>
                    <a:noFill/>
                    <a:ln>
                      <a:noFill/>
                    </a:ln>
                  </pic:spPr>
                </pic:pic>
              </a:graphicData>
            </a:graphic>
          </wp:inline>
        </w:drawing>
      </w:r>
    </w:p>
    <w:p w14:paraId="571BBE35">
      <w:pPr>
        <w:spacing w:line="480" w:lineRule="auto"/>
        <w:ind w:firstLine="480"/>
        <w:jc w:val="center"/>
        <w:rPr>
          <w:rFonts w:ascii="微软雅黑" w:hAnsi="微软雅黑" w:eastAsia="微软雅黑"/>
          <w:sz w:val="24"/>
        </w:rPr>
      </w:pPr>
      <w:r>
        <w:rPr>
          <w:rFonts w:hint="eastAsia" w:ascii="微软雅黑" w:hAnsi="微软雅黑" w:eastAsia="微软雅黑"/>
          <w:sz w:val="24"/>
        </w:rPr>
        <w:t>图4，演礼新兴产业园产业规划图</w:t>
      </w:r>
    </w:p>
    <w:p w14:paraId="7DD4DFA3">
      <w:pPr>
        <w:ind w:firstLine="640"/>
      </w:pPr>
    </w:p>
    <w:p w14:paraId="28ACAD4E">
      <w:pPr>
        <w:spacing w:line="480" w:lineRule="auto"/>
        <w:ind w:firstLine="512" w:firstLineChars="160"/>
      </w:pPr>
      <w:r>
        <w:rPr>
          <w:rFonts w:hint="eastAsia"/>
        </w:rPr>
        <w:t>（4）台头现代精细化工园区</w:t>
      </w:r>
    </w:p>
    <w:p w14:paraId="170A0B02">
      <w:pPr>
        <w:spacing w:line="480" w:lineRule="auto"/>
        <w:ind w:firstLine="566" w:firstLineChars="177"/>
      </w:pPr>
      <w:r>
        <w:t>规划面积</w:t>
      </w:r>
      <w:r>
        <w:rPr>
          <w:rFonts w:hint="eastAsia"/>
        </w:rPr>
        <w:t>1.33</w:t>
      </w:r>
      <w:r>
        <w:t>平方公里</w:t>
      </w:r>
      <w:r>
        <w:rPr>
          <w:rFonts w:hint="eastAsia"/>
        </w:rPr>
        <w:t>，着力打造特色医药产业园，主要产品涉及含硫医药原料药及其中间体的合成，阳城县得天独厚的丰富的二硫化碳以及硫化氢资源，为建立含硫化合物医药中间体产业园提供坚实的基础。</w:t>
      </w:r>
    </w:p>
    <w:p w14:paraId="76DD2C2A">
      <w:pPr>
        <w:pStyle w:val="6"/>
        <w:ind w:firstLine="640"/>
      </w:pPr>
      <w:r>
        <w:drawing>
          <wp:inline distT="0" distB="0" distL="0" distR="0">
            <wp:extent cx="3794125" cy="54571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94400" cy="5457600"/>
                    </a:xfrm>
                    <a:prstGeom prst="rect">
                      <a:avLst/>
                    </a:prstGeom>
                    <a:noFill/>
                    <a:ln>
                      <a:noFill/>
                    </a:ln>
                  </pic:spPr>
                </pic:pic>
              </a:graphicData>
            </a:graphic>
          </wp:inline>
        </w:drawing>
      </w:r>
    </w:p>
    <w:p w14:paraId="72B669E9">
      <w:pPr>
        <w:spacing w:line="480" w:lineRule="auto"/>
        <w:ind w:firstLine="480"/>
        <w:jc w:val="center"/>
        <w:rPr>
          <w:rFonts w:ascii="微软雅黑" w:hAnsi="微软雅黑" w:eastAsia="微软雅黑"/>
          <w:sz w:val="24"/>
        </w:rPr>
      </w:pPr>
      <w:r>
        <w:rPr>
          <w:rFonts w:hint="eastAsia" w:ascii="微软雅黑" w:hAnsi="微软雅黑" w:eastAsia="微软雅黑"/>
          <w:sz w:val="24"/>
        </w:rPr>
        <w:t>图5 台头化工园区规划图</w:t>
      </w:r>
    </w:p>
    <w:p w14:paraId="12B213D0">
      <w:pPr>
        <w:spacing w:line="480" w:lineRule="auto"/>
        <w:ind w:firstLine="646" w:firstLineChars="202"/>
      </w:pPr>
    </w:p>
    <w:p w14:paraId="393CA301">
      <w:pPr>
        <w:ind w:firstLine="640"/>
      </w:pPr>
      <w:r>
        <w:rPr>
          <w:rFonts w:hint="eastAsia"/>
        </w:rPr>
        <w:br w:type="page"/>
      </w:r>
    </w:p>
    <w:p w14:paraId="35370BC5">
      <w:pPr>
        <w:pStyle w:val="3"/>
      </w:pPr>
      <w:bookmarkStart w:id="15" w:name="_Toc26402"/>
      <w:r>
        <w:rPr>
          <w:rFonts w:hint="eastAsia"/>
        </w:rPr>
        <w:t>第三章  打造一流创新生态</w:t>
      </w:r>
      <w:bookmarkEnd w:id="15"/>
    </w:p>
    <w:p w14:paraId="7ECEDDA6">
      <w:pPr>
        <w:pStyle w:val="4"/>
        <w:rPr>
          <w:rFonts w:ascii="黑体" w:hAnsi="黑体" w:eastAsia="黑体"/>
        </w:rPr>
      </w:pPr>
      <w:bookmarkStart w:id="16" w:name="_Toc448489403"/>
      <w:bookmarkStart w:id="17" w:name="_Toc31510"/>
      <w:bookmarkStart w:id="18" w:name="_Toc449018746"/>
      <w:bookmarkStart w:id="19" w:name="_Toc9823"/>
      <w:bookmarkStart w:id="20" w:name="_Toc448488847"/>
      <w:bookmarkStart w:id="21" w:name="_Toc13614"/>
      <w:bookmarkStart w:id="22" w:name="_Toc5092"/>
      <w:bookmarkStart w:id="23" w:name="_Toc20237"/>
      <w:bookmarkStart w:id="24" w:name="_Toc30594"/>
      <w:r>
        <w:rPr>
          <w:rFonts w:hint="eastAsia" w:ascii="黑体" w:hAnsi="黑体" w:eastAsia="黑体"/>
        </w:rPr>
        <w:t xml:space="preserve">第一节  </w:t>
      </w:r>
      <w:bookmarkEnd w:id="16"/>
      <w:bookmarkEnd w:id="17"/>
      <w:bookmarkEnd w:id="18"/>
      <w:bookmarkEnd w:id="19"/>
      <w:bookmarkEnd w:id="20"/>
      <w:bookmarkEnd w:id="21"/>
      <w:bookmarkEnd w:id="22"/>
      <w:r>
        <w:rPr>
          <w:rFonts w:hint="eastAsia" w:ascii="黑体" w:hAnsi="黑体" w:eastAsia="黑体"/>
        </w:rPr>
        <w:t>打造一流创新生态</w:t>
      </w:r>
      <w:bookmarkEnd w:id="23"/>
      <w:bookmarkEnd w:id="24"/>
    </w:p>
    <w:p w14:paraId="0C92F7AE">
      <w:pPr>
        <w:pStyle w:val="16"/>
        <w:spacing w:before="0" w:beforeAutospacing="0" w:after="0" w:afterAutospacing="0"/>
        <w:ind w:firstLine="640"/>
        <w:jc w:val="both"/>
        <w:rPr>
          <w:rFonts w:ascii="Times New Roman" w:hAnsi="Times New Roman" w:cs="Times New Roman"/>
          <w:sz w:val="32"/>
        </w:rPr>
      </w:pPr>
      <w:r>
        <w:rPr>
          <w:rFonts w:hint="eastAsia" w:ascii="Times New Roman" w:hAnsi="Times New Roman" w:cs="Times New Roman"/>
          <w:sz w:val="32"/>
        </w:rPr>
        <w:t>坚持把创新摆在开发区转型发展趟新路政治使命中的核心地位，把改善优化创新生态作为推进高质量转型发展的重大举措，一体推进产业创新、技术创新、人才要素创新、发展路径创新和体制机制创新，打造一流创新生态。深入实施创新驱动发展战略，以系统推进全面创新改革试验为抓手，按照“企业为主、人才为基、科技引领、创新服务”的发展思路，聚焦重点产业和关键领域，全面激发创新主体活力，持续提升产业创新能力，建设具有区域影响力的产业创新中心。</w:t>
      </w:r>
    </w:p>
    <w:p w14:paraId="11EB7323">
      <w:pPr>
        <w:pStyle w:val="9"/>
        <w:spacing w:line="240" w:lineRule="auto"/>
        <w:ind w:firstLine="517" w:firstLineChars="161"/>
        <w:rPr>
          <w:rFonts w:ascii="楷体" w:hAnsi="楷体" w:eastAsia="楷体"/>
          <w:b/>
        </w:rPr>
      </w:pPr>
      <w:r>
        <w:rPr>
          <w:rFonts w:hint="eastAsia" w:ascii="楷体" w:hAnsi="楷体" w:eastAsia="楷体"/>
          <w:b/>
        </w:rPr>
        <w:t>一、</w:t>
      </w:r>
      <w:bookmarkStart w:id="25" w:name="_Toc1173788660"/>
      <w:r>
        <w:rPr>
          <w:rFonts w:hint="eastAsia" w:ascii="楷体" w:hAnsi="楷体" w:eastAsia="楷体"/>
          <w:b/>
        </w:rPr>
        <w:t>建设</w:t>
      </w:r>
      <w:bookmarkEnd w:id="25"/>
      <w:r>
        <w:rPr>
          <w:rFonts w:hint="eastAsia" w:ascii="楷体" w:hAnsi="楷体" w:eastAsia="楷体"/>
          <w:b/>
        </w:rPr>
        <w:t>高水平研发机构</w:t>
      </w:r>
    </w:p>
    <w:p w14:paraId="170E9FE7">
      <w:pPr>
        <w:spacing w:line="575" w:lineRule="exact"/>
        <w:ind w:firstLine="640"/>
        <w:rPr>
          <w:color w:val="000000" w:themeColor="text1"/>
        </w:rPr>
      </w:pPr>
      <w:r>
        <w:rPr>
          <w:rFonts w:hint="eastAsia"/>
          <w:color w:val="000000" w:themeColor="text1"/>
        </w:rPr>
        <w:t>高位谋篇布局，聚焦前沿尖端技术，实施非均衡发展战略，打造新增长极。</w:t>
      </w:r>
      <w:r>
        <w:t>以基础材料的高端品种为突破口，重点发展一批与陶瓷产业、琉璃珐华等产业相结合的新技术，形成一批标志性前沿新材料的创新成果与典型应用，抢占产业竞争制高点。</w:t>
      </w:r>
      <w:r>
        <w:rPr>
          <w:rFonts w:hint="eastAsia"/>
          <w:color w:val="000000" w:themeColor="text1"/>
        </w:rPr>
        <w:t>主动对接国内外高新企业、高校院所、工程实验室、产业集聚区等创新平台，招引一批一流人才、团队、项目。坚持前瞻导向，围绕院士工作站、国家重点实验室等科研力量，瞄准高端陶瓷、碳纤维等领域配套招引一批前瞻性科技攻关项目，开展科技攻关，突破一批“卡脖子”关键核心技术。坚持应用导向，对接引进国内外著名科技企业、高校院所在阳城共建高端研发机构</w:t>
      </w:r>
      <w:r>
        <w:t>，进一步研究创新煤层气利用、光伏发电、新型电池等新能源技术，推广应用场景，提升技术创新能力。</w:t>
      </w:r>
      <w:r>
        <w:rPr>
          <w:rFonts w:hint="eastAsia"/>
          <w:color w:val="000000" w:themeColor="text1"/>
        </w:rPr>
        <w:t>依托太原理工大学、中北大学等高校，强化“政产学研金服用”协同创新，引进培育一批科技成果转化基地（中心），鼓励科技成果就地转移转化，形成“学在山西、创在阳城”的良好氛围。</w:t>
      </w:r>
    </w:p>
    <w:p w14:paraId="45E96946">
      <w:pPr>
        <w:pStyle w:val="9"/>
        <w:spacing w:line="240" w:lineRule="auto"/>
        <w:ind w:firstLine="675" w:firstLineChars="210"/>
        <w:rPr>
          <w:rFonts w:ascii="楷体" w:hAnsi="楷体" w:eastAsia="楷体"/>
          <w:b/>
        </w:rPr>
      </w:pPr>
      <w:bookmarkStart w:id="26" w:name="_Toc631478298"/>
      <w:r>
        <w:rPr>
          <w:rFonts w:hint="eastAsia" w:ascii="楷体" w:hAnsi="楷体" w:eastAsia="楷体"/>
          <w:b/>
        </w:rPr>
        <w:t>二</w:t>
      </w:r>
      <w:r>
        <w:rPr>
          <w:rFonts w:ascii="楷体" w:hAnsi="楷体" w:eastAsia="楷体"/>
          <w:b/>
        </w:rPr>
        <w:t>、聚焦“六新”突破发力</w:t>
      </w:r>
      <w:bookmarkEnd w:id="26"/>
    </w:p>
    <w:p w14:paraId="4628DC34">
      <w:pPr>
        <w:spacing w:line="575" w:lineRule="exact"/>
        <w:ind w:firstLine="640"/>
        <w:rPr>
          <w:strike/>
          <w:color w:val="000000" w:themeColor="text1"/>
        </w:rPr>
      </w:pPr>
      <w:r>
        <w:rPr>
          <w:rFonts w:hint="eastAsia"/>
          <w:color w:val="000000" w:themeColor="text1"/>
        </w:rPr>
        <w:t>抓住科技和产业变革机遇，坚持把“六新”突破作为战略重点，推进创新全领域招商，奋力在新兴产业和未来产业上超前布局、换道领跑、抢占先机。针对估值</w:t>
      </w:r>
      <w:r>
        <w:rPr>
          <w:rFonts w:eastAsia="仿宋" w:cs="仿宋" w:asciiTheme="majorHAnsi" w:hAnsiTheme="majorHAnsi"/>
          <w:color w:val="000000" w:themeColor="text1"/>
        </w:rPr>
        <w:t>10亿</w:t>
      </w:r>
      <w:r>
        <w:rPr>
          <w:rFonts w:hint="eastAsia"/>
          <w:color w:val="000000" w:themeColor="text1"/>
        </w:rPr>
        <w:t>美元以上的“独角兽企业”、跨越创业死亡谷进入快速成长期的“瞪羚企业”、国家级制造业“单项冠军”示范企业和“单项冠军产品”企业、国家级专精特新“小巨人”企业等细分领域优质企业、标杆项目，开展政策创新，从促进企业落地发展、推动企业做大做强、鼓励增加研发投入、支持企业上市融资等方面出台专项扶持政策，为企业提高核心竞争力蓄势增能，持续打造政策洼地、产业高地。</w:t>
      </w:r>
      <w:bookmarkStart w:id="27" w:name="_Hlk59979667"/>
    </w:p>
    <w:bookmarkEnd w:id="27"/>
    <w:p w14:paraId="771AF83F">
      <w:pPr>
        <w:pStyle w:val="9"/>
        <w:spacing w:line="240" w:lineRule="auto"/>
        <w:ind w:firstLine="643"/>
        <w:rPr>
          <w:rFonts w:ascii="楷体_GB2312" w:hAnsi="楷体" w:eastAsia="楷体_GB2312"/>
          <w:b/>
          <w:szCs w:val="32"/>
        </w:rPr>
      </w:pPr>
      <w:bookmarkStart w:id="28" w:name="_Toc1686757782"/>
      <w:r>
        <w:rPr>
          <w:rFonts w:hint="eastAsia" w:ascii="楷体_GB2312" w:hAnsi="楷体" w:eastAsia="楷体_GB2312"/>
          <w:b/>
          <w:szCs w:val="32"/>
        </w:rPr>
        <w:t>三、</w:t>
      </w:r>
      <w:bookmarkEnd w:id="28"/>
      <w:r>
        <w:rPr>
          <w:rFonts w:hint="eastAsia" w:ascii="楷体_GB2312" w:hAnsi="楷体" w:eastAsia="楷体_GB2312"/>
          <w:b/>
          <w:szCs w:val="32"/>
        </w:rPr>
        <w:t>打造创新创业载体</w:t>
      </w:r>
    </w:p>
    <w:p w14:paraId="24FC143D">
      <w:pPr>
        <w:pStyle w:val="9"/>
        <w:spacing w:line="240" w:lineRule="auto"/>
        <w:ind w:firstLine="640"/>
        <w:rPr>
          <w:rFonts w:ascii="Times New Roman" w:hAnsi="Times New Roman"/>
          <w:szCs w:val="32"/>
        </w:rPr>
      </w:pPr>
      <w:r>
        <w:rPr>
          <w:rFonts w:hint="eastAsia" w:ascii="Times New Roman" w:hAnsi="Times New Roman"/>
          <w:szCs w:val="32"/>
        </w:rPr>
        <w:t>按照“双创载体全面覆盖、双创服务资源高度汇集、双创资金链快速集聚、双创企业铺天盖地”的总体思路，不断强化创新、创业、创投、创客“四创联动”。加强与中科院有关部门对接，加快推进科技创新平台建设。加强双创孵化服务能力提升，加速推进新动能众创空间、新材料孵化器等众创空间和孵化基地提升服务孵化能力，提档升级，拓展双创园、标准厂房等经营性资产运营。依托太原理工大学等高校资源，建设校企、院区产学研对接平台，促进科技成果转化。鼓励社会资本对开发区内空置楼宇和厂房、库房等闲置资源和低效用地进行重改造。积极引进国内外知名孵化团队、行业领军企业设立专业孵化器，支持建设专业领域创投基金和专业技术服务平台，推动创业企业围绕产业链聚集发展。围绕大数据、新材料、智能制造等优势特色产业规划建设一批科技企业加速器，为孵化企业提供更大的研发和生产空间、更完善的技术支撑和商务服务。加强与国家大学科技园的合作对接，围绕人才及大学生建设创客家园、大学生科技园、人力资源产业园等“园中园”，到</w:t>
      </w:r>
      <w:r>
        <w:rPr>
          <w:rFonts w:ascii="Times New Roman" w:hAnsi="Times New Roman"/>
          <w:szCs w:val="32"/>
        </w:rPr>
        <w:t>202</w:t>
      </w:r>
      <w:r>
        <w:rPr>
          <w:rFonts w:hint="eastAsia" w:ascii="Times New Roman" w:hAnsi="Times New Roman"/>
          <w:szCs w:val="32"/>
        </w:rPr>
        <w:t>5年，建成新型协同创新平台</w:t>
      </w:r>
      <w:r>
        <w:rPr>
          <w:rFonts w:ascii="Times New Roman" w:hAnsi="Times New Roman"/>
          <w:szCs w:val="32"/>
        </w:rPr>
        <w:t>2</w:t>
      </w:r>
      <w:r>
        <w:rPr>
          <w:rFonts w:hint="eastAsia" w:ascii="Times New Roman" w:hAnsi="Times New Roman"/>
          <w:szCs w:val="32"/>
        </w:rPr>
        <w:t>个以上，新增众创空间、孵化器、加速器1万平方米以上。</w:t>
      </w:r>
    </w:p>
    <w:p w14:paraId="5247D3CB">
      <w:pPr>
        <w:pStyle w:val="9"/>
        <w:spacing w:line="240" w:lineRule="auto"/>
        <w:ind w:firstLine="643"/>
        <w:rPr>
          <w:rFonts w:ascii="楷体_GB2312" w:hAnsi="楷体" w:eastAsia="楷体_GB2312"/>
          <w:b/>
          <w:szCs w:val="32"/>
        </w:rPr>
      </w:pPr>
      <w:r>
        <w:rPr>
          <w:rFonts w:hint="eastAsia" w:ascii="楷体_GB2312" w:hAnsi="楷体" w:eastAsia="楷体_GB2312"/>
          <w:b/>
          <w:szCs w:val="32"/>
        </w:rPr>
        <w:t>四、优化创新创业环境</w:t>
      </w:r>
    </w:p>
    <w:p w14:paraId="0001DF95">
      <w:pPr>
        <w:pStyle w:val="9"/>
        <w:spacing w:line="240" w:lineRule="auto"/>
        <w:ind w:firstLine="640"/>
        <w:rPr>
          <w:rFonts w:ascii="Times New Roman" w:hAnsi="Times New Roman" w:cs="Times New Roman"/>
        </w:rPr>
      </w:pPr>
      <w:r>
        <w:rPr>
          <w:rFonts w:hint="eastAsia" w:ascii="Times New Roman" w:hAnsi="Times New Roman" w:cs="Times New Roman"/>
        </w:rPr>
        <w:t>打造创新创业服务平台，提供从创业项目植入到产业化的全过程服务。建立技术共享平台，支持高校、科研院所和企业开放实验、检测设备和研发设施，支持企业为创客群体提供开模、数字加工等制造服务。搭建创新创业创意互动平台，支持创客驿站等各类创业服务载体聘请企业家、天使投资人、专家学者担任创业导师，鼓励成功的创业者、企业家辅导投资新的创业者。引进和培育一批服务机构和骨干企业，重点发展研发设计、技术转移、技术交易、创业孵化、科技投融资、知识产权评估、专利信息利用、科技咨询等方面的中介服务机构。积极落实国家、省、市各项支持自主创新的财税政策、自主创新产品采购政策等，完善企业创新政策环境。鼓励发展众创、众包、众扶、众筹等新模式。加大对科技型中小企业的扶持力度，按照初创期、成长期、壮大期的发展阶段，运用天使资金、周转资金、金融资金，对处于不同发展阶段的科技型中小企业给予支持。</w:t>
      </w:r>
    </w:p>
    <w:p w14:paraId="0B09EFC1">
      <w:pPr>
        <w:pStyle w:val="9"/>
        <w:spacing w:line="240" w:lineRule="auto"/>
        <w:ind w:firstLine="643"/>
        <w:rPr>
          <w:rFonts w:ascii="楷体_GB2312" w:hAnsi="楷体" w:eastAsia="楷体_GB2312"/>
          <w:b/>
          <w:szCs w:val="32"/>
        </w:rPr>
      </w:pPr>
      <w:r>
        <w:rPr>
          <w:rFonts w:hint="eastAsia" w:ascii="楷体_GB2312" w:hAnsi="楷体" w:eastAsia="楷体_GB2312"/>
          <w:b/>
          <w:szCs w:val="32"/>
        </w:rPr>
        <w:t>五 、提升企业技术创新能力</w:t>
      </w:r>
    </w:p>
    <w:p w14:paraId="43D3F937">
      <w:pPr>
        <w:pStyle w:val="9"/>
        <w:spacing w:line="240" w:lineRule="auto"/>
        <w:ind w:firstLine="640"/>
        <w:rPr>
          <w:rFonts w:ascii="Times New Roman" w:hAnsi="Times New Roman"/>
          <w:szCs w:val="32"/>
        </w:rPr>
      </w:pPr>
      <w:r>
        <w:rPr>
          <w:rFonts w:hint="eastAsia" w:ascii="Times New Roman" w:hAnsi="Times New Roman"/>
          <w:szCs w:val="32"/>
        </w:rPr>
        <w:t>充分发挥</w:t>
      </w:r>
      <w:r>
        <w:rPr>
          <w:rFonts w:hint="eastAsia" w:ascii="Times New Roman" w:hAnsi="Times New Roman"/>
          <w:color w:val="000000" w:themeColor="text1"/>
          <w:szCs w:val="32"/>
        </w:rPr>
        <w:t>碲化镉光伏发电、征弘食品、中欧蓝莓等龙</w:t>
      </w:r>
      <w:r>
        <w:rPr>
          <w:rFonts w:hint="eastAsia" w:ascii="Times New Roman" w:hAnsi="Times New Roman"/>
          <w:szCs w:val="32"/>
        </w:rPr>
        <w:t>头骨干企业在技术创新活动中的引领作用，发挥大型企业在科技创新活动中的带动作用，支持开展重大关键共性技术研发，增强企业的核心竞争力，培养一批拥有自主知识产权、创新能力突出、引领带动能力强的创新型领军企业。健全科技型中小企业综合服务体系，支持科技小微企业创新发展，培育壮大一批科技“小巨人”企业，整合集聚创业创新服务资源，实施小微企业引智工程、提档工程、升级工程，引导更多社会成员兴办经济实体。培育创新创业多元主体，完善支持人才创业的各项政策，促进科研人员、海外高层次人才、大学生等各类人员创新创业。鼓励企业参与制定国际、国家、行业和省地方技术标准。鼓励和支持有条件的领军企业发展内部创业平台，衍生孵化一批创新项目或新企业。鼓励企业加大研发投入，提升研发经费占企业销售收入比重。</w:t>
      </w:r>
    </w:p>
    <w:p w14:paraId="4390AC78">
      <w:pPr>
        <w:pStyle w:val="9"/>
        <w:spacing w:line="240" w:lineRule="auto"/>
        <w:ind w:firstLine="643"/>
        <w:rPr>
          <w:rFonts w:ascii="楷体_GB2312" w:hAnsi="楷体" w:eastAsia="楷体_GB2312"/>
          <w:b/>
          <w:szCs w:val="32"/>
        </w:rPr>
      </w:pPr>
      <w:r>
        <w:rPr>
          <w:rFonts w:hint="eastAsia" w:ascii="楷体_GB2312" w:hAnsi="楷体" w:eastAsia="楷体_GB2312"/>
          <w:b/>
          <w:szCs w:val="32"/>
        </w:rPr>
        <w:t>六、推进科技成果产业化</w:t>
      </w:r>
    </w:p>
    <w:p w14:paraId="14439D26">
      <w:pPr>
        <w:pStyle w:val="9"/>
        <w:spacing w:line="240" w:lineRule="auto"/>
        <w:ind w:firstLine="640"/>
        <w:rPr>
          <w:rFonts w:ascii="Times New Roman" w:hAnsi="Times New Roman"/>
          <w:szCs w:val="32"/>
        </w:rPr>
      </w:pPr>
      <w:r>
        <w:rPr>
          <w:rFonts w:hint="eastAsia" w:ascii="Times New Roman" w:hAnsi="Times New Roman"/>
          <w:szCs w:val="32"/>
        </w:rPr>
        <w:t>加快科技成果向现实生产力转化，打通从科技强到产业强、经济强、区域强的通道，打造关键技术自主创新的“核心圈”，构筑技术和产业的“朋友圈”，形成带动广泛的“辐射圈”，推动重点产业进入区域价值链中高端。依托太原理工大学等科研机构，加强开发区优势产业和未来产业的技术攻关和成果转化，建立技术转移促进中心，形成技术转移和成果转化的政策支持体系，加快相关成果在开发区落地并产业化。</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BFC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CD3199D">
            <w:pPr>
              <w:ind w:firstLine="0" w:firstLineChars="0"/>
              <w:jc w:val="center"/>
            </w:pPr>
            <w:r>
              <w:rPr>
                <w:rFonts w:hint="eastAsia" w:ascii="楷体" w:hAnsi="楷体" w:eastAsia="楷体" w:cs="楷体"/>
                <w:b/>
                <w:bCs/>
                <w:sz w:val="28"/>
                <w:szCs w:val="28"/>
              </w:rPr>
              <w:t>专栏2 双创孵化与自主创新项目</w:t>
            </w:r>
          </w:p>
        </w:tc>
      </w:tr>
      <w:tr w14:paraId="0126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5EFBB04">
            <w:pPr>
              <w:spacing w:line="560" w:lineRule="exact"/>
              <w:ind w:firstLine="560"/>
              <w:rPr>
                <w:sz w:val="28"/>
                <w:szCs w:val="28"/>
              </w:rPr>
            </w:pPr>
            <w:r>
              <w:rPr>
                <w:rFonts w:hint="eastAsia"/>
                <w:sz w:val="28"/>
                <w:szCs w:val="28"/>
              </w:rPr>
              <w:t>1.设立新材料省级以上实验室和技术中心</w:t>
            </w:r>
          </w:p>
          <w:p w14:paraId="113E9FF5">
            <w:pPr>
              <w:spacing w:line="500" w:lineRule="exact"/>
              <w:ind w:firstLine="560"/>
              <w:rPr>
                <w:sz w:val="28"/>
                <w:szCs w:val="28"/>
              </w:rPr>
            </w:pPr>
            <w:r>
              <w:rPr>
                <w:rFonts w:hint="eastAsia"/>
                <w:sz w:val="28"/>
                <w:szCs w:val="28"/>
              </w:rPr>
              <w:t>2.与太原理工大学及其他高校合作建设阳泰产业技术研究院。</w:t>
            </w:r>
          </w:p>
          <w:p w14:paraId="36108170">
            <w:pPr>
              <w:spacing w:line="560" w:lineRule="exact"/>
              <w:ind w:firstLine="560"/>
              <w:rPr>
                <w:rFonts w:ascii="仿宋" w:hAnsi="仿宋" w:eastAsia="仿宋" w:cs="仿宋"/>
              </w:rPr>
            </w:pPr>
            <w:r>
              <w:rPr>
                <w:rFonts w:hint="eastAsia"/>
                <w:sz w:val="28"/>
                <w:szCs w:val="28"/>
              </w:rPr>
              <w:t>3.建立专业化众创空间、陶瓷材料专业科技孵化器</w:t>
            </w:r>
            <w:r>
              <w:rPr>
                <w:rFonts w:hint="eastAsia" w:ascii="仿宋" w:hAnsi="仿宋" w:eastAsia="仿宋" w:cs="仿宋"/>
              </w:rPr>
              <w:t>。</w:t>
            </w:r>
          </w:p>
          <w:p w14:paraId="7E9FC2A9">
            <w:pPr>
              <w:spacing w:line="500" w:lineRule="exact"/>
              <w:ind w:firstLine="560"/>
              <w:rPr>
                <w:sz w:val="28"/>
                <w:szCs w:val="28"/>
              </w:rPr>
            </w:pPr>
            <w:r>
              <w:rPr>
                <w:rFonts w:hint="eastAsia"/>
                <w:sz w:val="28"/>
                <w:szCs w:val="28"/>
              </w:rPr>
              <w:t>4.建设科技创新平台、科技金融创新平台、高端人才培养基地，打造工业互联网示范基地。</w:t>
            </w:r>
          </w:p>
          <w:p w14:paraId="146FC0B7">
            <w:pPr>
              <w:spacing w:line="500" w:lineRule="exact"/>
              <w:ind w:firstLine="560"/>
              <w:rPr>
                <w:sz w:val="28"/>
                <w:szCs w:val="28"/>
              </w:rPr>
            </w:pPr>
            <w:r>
              <w:rPr>
                <w:rFonts w:hint="eastAsia"/>
                <w:sz w:val="28"/>
                <w:szCs w:val="28"/>
              </w:rPr>
              <w:t>5.阳城产业研究院。围绕阳城开发区发展定位，设立产业研究院。采取理事会制度，吸纳省内外以及国外知名专家、高技术人才100名，专业领域涉及产业经济、政策研究、产业规划、信息技术、装备制造、新材料、新能源、节能环保、生物医药、创新创业等。将研究院打造成为阳城开发区智库，为阳城开发区发展提供专家决策咨询。</w:t>
            </w:r>
          </w:p>
          <w:p w14:paraId="0B95D845">
            <w:pPr>
              <w:spacing w:line="500" w:lineRule="exact"/>
              <w:ind w:firstLine="560"/>
              <w:rPr>
                <w:sz w:val="28"/>
                <w:szCs w:val="28"/>
              </w:rPr>
            </w:pPr>
            <w:r>
              <w:rPr>
                <w:rFonts w:hint="eastAsia"/>
                <w:sz w:val="28"/>
                <w:szCs w:val="28"/>
              </w:rPr>
              <w:t>6.和国内知名大学设立研究院、实验室。</w:t>
            </w:r>
          </w:p>
          <w:p w14:paraId="41AA2C23">
            <w:pPr>
              <w:pStyle w:val="4"/>
              <w:jc w:val="both"/>
              <w:outlineLvl w:val="1"/>
            </w:pPr>
          </w:p>
        </w:tc>
      </w:tr>
    </w:tbl>
    <w:p w14:paraId="11100D5D">
      <w:pPr>
        <w:pStyle w:val="9"/>
        <w:spacing w:line="240" w:lineRule="auto"/>
        <w:ind w:firstLine="643"/>
        <w:rPr>
          <w:rFonts w:ascii="楷体_GB2312" w:eastAsia="楷体_GB2312"/>
          <w:b/>
        </w:rPr>
      </w:pPr>
    </w:p>
    <w:p w14:paraId="1579F05F">
      <w:pPr>
        <w:pStyle w:val="4"/>
        <w:rPr>
          <w:rFonts w:ascii="黑体" w:hAnsi="黑体" w:eastAsia="黑体"/>
        </w:rPr>
      </w:pPr>
      <w:bookmarkStart w:id="29" w:name="_Toc448488848"/>
      <w:bookmarkStart w:id="30" w:name="_Toc449018747"/>
      <w:bookmarkStart w:id="31" w:name="_Toc448489404"/>
      <w:bookmarkStart w:id="32" w:name="_Toc15884"/>
      <w:bookmarkStart w:id="33" w:name="_Toc24842"/>
      <w:bookmarkStart w:id="34" w:name="_Toc823"/>
      <w:bookmarkStart w:id="35" w:name="_Toc24955"/>
      <w:bookmarkStart w:id="36" w:name="_Toc3482"/>
      <w:bookmarkStart w:id="37" w:name="_Toc23207"/>
      <w:r>
        <w:rPr>
          <w:rFonts w:hint="eastAsia" w:ascii="黑体" w:hAnsi="黑体" w:eastAsia="黑体"/>
        </w:rPr>
        <w:t>第二节  提升</w:t>
      </w:r>
      <w:bookmarkEnd w:id="29"/>
      <w:bookmarkEnd w:id="30"/>
      <w:bookmarkEnd w:id="31"/>
      <w:r>
        <w:rPr>
          <w:rFonts w:hint="eastAsia" w:ascii="黑体" w:hAnsi="黑体" w:eastAsia="黑体"/>
        </w:rPr>
        <w:t>数字化发展水平</w:t>
      </w:r>
      <w:bookmarkEnd w:id="32"/>
      <w:bookmarkEnd w:id="33"/>
      <w:bookmarkEnd w:id="34"/>
      <w:bookmarkEnd w:id="35"/>
      <w:bookmarkEnd w:id="36"/>
      <w:bookmarkEnd w:id="37"/>
    </w:p>
    <w:p w14:paraId="0334A7FC">
      <w:pPr>
        <w:ind w:firstLine="643"/>
        <w:rPr>
          <w:rFonts w:ascii="Times New Roman" w:hAnsi="Times New Roman"/>
          <w:kern w:val="0"/>
        </w:rPr>
      </w:pPr>
      <w:r>
        <w:rPr>
          <w:rFonts w:hint="eastAsia" w:ascii="楷体_GB2312" w:hAnsi="Times New Roman" w:eastAsia="楷体_GB2312"/>
          <w:b/>
        </w:rPr>
        <w:t>加强信息基础设施建设。</w:t>
      </w:r>
      <w:r>
        <w:rPr>
          <w:rFonts w:hint="eastAsia"/>
        </w:rPr>
        <w:t>加快5</w:t>
      </w:r>
      <w:r>
        <w:t>G</w:t>
      </w:r>
      <w:r>
        <w:rPr>
          <w:rFonts w:hint="eastAsia"/>
        </w:rPr>
        <w:t>基站规划建设，推动5</w:t>
      </w:r>
      <w:r>
        <w:t>G</w:t>
      </w:r>
      <w:r>
        <w:rPr>
          <w:rFonts w:hint="eastAsia"/>
        </w:rPr>
        <w:t>与高端制造、城市管理、交通物流、大健康、大文旅应用场景深度融合。推进“一区四园”建设“5</w:t>
      </w:r>
      <w:r>
        <w:t>G</w:t>
      </w:r>
      <w:r>
        <w:rPr>
          <w:rFonts w:hint="eastAsia"/>
        </w:rPr>
        <w:t>+”示范园区，提升应用层次和深度，</w:t>
      </w:r>
      <w:r>
        <w:rPr>
          <w:rFonts w:hint="eastAsia" w:ascii="Times New Roman" w:hAnsi="Times New Roman"/>
          <w:kern w:val="0"/>
        </w:rPr>
        <w:t>到</w:t>
      </w:r>
      <w:r>
        <w:rPr>
          <w:rFonts w:ascii="Times New Roman" w:hAnsi="Times New Roman"/>
          <w:kern w:val="0"/>
        </w:rPr>
        <w:t>202</w:t>
      </w:r>
      <w:r>
        <w:rPr>
          <w:rFonts w:hint="eastAsia" w:ascii="Times New Roman" w:hAnsi="Times New Roman"/>
          <w:kern w:val="0"/>
        </w:rPr>
        <w:t>5年全区5G覆盖率达到100</w:t>
      </w:r>
      <w:r>
        <w:rPr>
          <w:rFonts w:ascii="Times New Roman" w:hAnsi="Times New Roman"/>
          <w:kern w:val="0"/>
        </w:rPr>
        <w:t>%</w:t>
      </w:r>
      <w:r>
        <w:rPr>
          <w:rFonts w:hint="eastAsia"/>
        </w:rPr>
        <w:t>。创新发展人工智能、云计算、区块链等新技术基础设施，为新一代信息技术和相关行业领域产业变革提供核心技术支撑。</w:t>
      </w:r>
    </w:p>
    <w:p w14:paraId="3FF004CA">
      <w:pPr>
        <w:ind w:firstLine="643"/>
        <w:rPr>
          <w:rFonts w:ascii="Times New Roman" w:hAnsi="Times New Roman"/>
        </w:rPr>
      </w:pPr>
      <w:r>
        <w:rPr>
          <w:rFonts w:hint="eastAsia" w:ascii="楷体_GB2312" w:hAnsi="Times New Roman" w:eastAsia="楷体_GB2312"/>
          <w:b/>
        </w:rPr>
        <w:t>提升信息化应用水平。</w:t>
      </w:r>
      <w:r>
        <w:rPr>
          <w:rFonts w:hint="eastAsia" w:ascii="Times New Roman" w:hAnsi="Times New Roman"/>
        </w:rPr>
        <w:t>积极建设“数字园区”、“智慧园区”和“智慧企业”，提高企业信息化水平，加快信息技术在产品研发、制造、营销、物流等环节和企业管理中的应用，发展行业电子商务。推进电子政务建设，</w:t>
      </w:r>
      <w:r>
        <w:rPr>
          <w:rFonts w:hint="eastAsia" w:ascii="Times New Roman" w:hAnsi="Times New Roman"/>
          <w:kern w:val="0"/>
        </w:rPr>
        <w:t>加快政务信息资源的共享和开发利用，</w:t>
      </w:r>
      <w:r>
        <w:rPr>
          <w:rFonts w:hint="eastAsia" w:ascii="Times New Roman" w:hAnsi="Times New Roman"/>
        </w:rPr>
        <w:t>完善“网上一站式”行政审批。</w:t>
      </w:r>
    </w:p>
    <w:p w14:paraId="71C35AA2">
      <w:pPr>
        <w:ind w:firstLine="643"/>
        <w:rPr>
          <w:rFonts w:ascii="Times New Roman"/>
        </w:rPr>
      </w:pPr>
      <w:r>
        <w:rPr>
          <w:rFonts w:hint="eastAsia" w:ascii="楷体_GB2312" w:hAnsi="Times New Roman" w:eastAsia="楷体_GB2312"/>
          <w:b/>
        </w:rPr>
        <w:t>实施“互联网</w:t>
      </w:r>
      <w:r>
        <w:rPr>
          <w:rFonts w:ascii="楷体_GB2312" w:hAnsi="Times New Roman" w:eastAsia="楷体_GB2312"/>
          <w:b/>
        </w:rPr>
        <w:t>+</w:t>
      </w:r>
      <w:r>
        <w:rPr>
          <w:rFonts w:hint="eastAsia" w:ascii="楷体_GB2312" w:hAnsi="Times New Roman" w:eastAsia="楷体_GB2312"/>
          <w:b/>
        </w:rPr>
        <w:t>”行动计划。</w:t>
      </w:r>
      <w:r>
        <w:rPr>
          <w:rFonts w:hint="eastAsia" w:ascii="Times New Roman"/>
        </w:rPr>
        <w:t>充分利用互联网、物联网、大数据、云计算、人工智能等新一代信息技术改造提升传统产业，培育发展新兴产业，推动生产组织、企业管理、商业运营模式创新。</w:t>
      </w:r>
    </w:p>
    <w:p w14:paraId="446B31D9">
      <w:pPr>
        <w:ind w:firstLine="643"/>
        <w:rPr>
          <w:rFonts w:ascii="Times New Roman"/>
        </w:rPr>
      </w:pPr>
      <w:r>
        <w:rPr>
          <w:rFonts w:hint="eastAsia" w:ascii="楷体_GB2312" w:hAnsi="Times New Roman" w:eastAsia="楷体_GB2312"/>
          <w:b/>
        </w:rPr>
        <w:t>推进“互联网</w:t>
      </w:r>
      <w:r>
        <w:rPr>
          <w:rFonts w:ascii="楷体_GB2312" w:hAnsi="Times New Roman" w:eastAsia="楷体_GB2312"/>
          <w:b/>
        </w:rPr>
        <w:t>+</w:t>
      </w:r>
      <w:r>
        <w:rPr>
          <w:rFonts w:hint="eastAsia" w:ascii="楷体_GB2312" w:hAnsi="Times New Roman" w:eastAsia="楷体_GB2312"/>
          <w:b/>
        </w:rPr>
        <w:t>”工业应用。</w:t>
      </w:r>
      <w:r>
        <w:rPr>
          <w:rFonts w:hint="eastAsia" w:ascii="Times New Roman"/>
        </w:rPr>
        <w:t>促进互联网、云计算、大数据在企业研发设计、生产制造、经营管理、销售服务等全流程和全产业链的综合集成应用。加强智能制造工业控制系统网络安全保障能力建设，健全综合保障体系。</w:t>
      </w:r>
      <w:r>
        <w:t>深入开展“云+网+应用”创新实践，推动</w:t>
      </w:r>
      <w:r>
        <w:rPr>
          <w:rFonts w:hint="eastAsia"/>
        </w:rPr>
        <w:t>安阳陶瓷新材料产业智能</w:t>
      </w:r>
      <w:r>
        <w:t>信息化、工业制造、行业应用等5G场景创新，全力打造“阳城工业互联网”，推进“企业上云”计划，提高“两化”融合水平。</w:t>
      </w:r>
      <w:r>
        <w:rPr>
          <w:rFonts w:hint="eastAsia" w:ascii="Times New Roman"/>
        </w:rPr>
        <w:t>深化信息技术集成应用，推动骨干企业基本实现装备智能化、设计数字化、生产自动化、管理现代化、营销服务网络化。加快“机器换人”，支持有条件的企业实施信息化改造。</w:t>
      </w:r>
    </w:p>
    <w:p w14:paraId="26190DB0">
      <w:pPr>
        <w:ind w:firstLine="643"/>
        <w:rPr>
          <w:rFonts w:ascii="Times New Roman"/>
        </w:rPr>
      </w:pPr>
      <w:r>
        <w:rPr>
          <w:rFonts w:hint="eastAsia" w:ascii="楷体_GB2312" w:hAnsi="Times New Roman" w:eastAsia="楷体_GB2312"/>
          <w:b/>
        </w:rPr>
        <w:t>推进“互联网</w:t>
      </w:r>
      <w:r>
        <w:rPr>
          <w:rFonts w:ascii="楷体_GB2312" w:hAnsi="Times New Roman" w:eastAsia="楷体_GB2312"/>
          <w:b/>
        </w:rPr>
        <w:t>+</w:t>
      </w:r>
      <w:r>
        <w:rPr>
          <w:rFonts w:hint="eastAsia" w:ascii="楷体_GB2312" w:hAnsi="Times New Roman" w:eastAsia="楷体_GB2312"/>
          <w:b/>
        </w:rPr>
        <w:t>”服务业应用。</w:t>
      </w:r>
      <w:r>
        <w:rPr>
          <w:rFonts w:hint="eastAsia"/>
        </w:rPr>
        <w:t>促进互联网与服务</w:t>
      </w:r>
      <w:r>
        <w:rPr>
          <w:rFonts w:hint="eastAsia" w:ascii="Times New Roman"/>
        </w:rPr>
        <w:t>业融合，推动商业服务模式创新，培育发展电子商务、物联网、金融大数据、智慧物流等新兴业态。利用互联网技术，加快金融产品和服务创新，</w:t>
      </w:r>
      <w:r>
        <w:rPr>
          <w:rFonts w:hint="eastAsia"/>
        </w:rPr>
        <w:t>利用大数据将分散在企业、金融机构、政府部门的相关数据汇聚、分析、融合、发布，为企业提供融资需求发布平台，为金融机构提供金融产品发布平台，实现融资企业与金融机构精准对接。</w:t>
      </w:r>
      <w:r>
        <w:rPr>
          <w:rFonts w:hint="eastAsia" w:ascii="Times New Roman"/>
        </w:rPr>
        <w:t>鼓励大数据、云计算在物流领域的应用，</w:t>
      </w:r>
      <w:r>
        <w:rPr>
          <w:rFonts w:hint="eastAsia"/>
        </w:rPr>
        <w:t>促进物流行业全面实现线上服务和大数据支撑，</w:t>
      </w:r>
      <w:r>
        <w:t>推进现代流通供应链建设，发展共同配送、无接触配送等末端配送新模式，全力打造5G园区创新孵化基地和智慧园区标杆。</w:t>
      </w:r>
      <w:r>
        <w:rPr>
          <w:rFonts w:hint="eastAsia"/>
        </w:rPr>
        <w:t>推动大数据在电子商务的应用，利用电子商务中形成的大数据资源为政府实施市场监管和调控服务。</w:t>
      </w:r>
    </w:p>
    <w:p w14:paraId="7F884DA6">
      <w:pPr>
        <w:pStyle w:val="9"/>
        <w:spacing w:line="240" w:lineRule="auto"/>
        <w:ind w:firstLine="640"/>
        <w:rPr>
          <w:rFonts w:ascii="Times New Roman" w:hAnsi="Times New Roman"/>
          <w:szCs w:val="32"/>
        </w:rPr>
      </w:pPr>
    </w:p>
    <w:tbl>
      <w:tblPr>
        <w:tblStyle w:val="18"/>
        <w:tblW w:w="852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5"/>
      </w:tblGrid>
      <w:tr w14:paraId="533A7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5" w:type="dxa"/>
          </w:tcPr>
          <w:p w14:paraId="61142C4B">
            <w:pPr>
              <w:spacing w:line="500" w:lineRule="exact"/>
              <w:ind w:firstLine="0" w:firstLineChars="0"/>
              <w:jc w:val="center"/>
              <w:rPr>
                <w:rFonts w:ascii="楷体" w:hAnsi="楷体" w:eastAsia="楷体" w:cs="楷体"/>
                <w:b/>
                <w:bCs/>
              </w:rPr>
            </w:pPr>
            <w:r>
              <w:rPr>
                <w:rFonts w:hint="eastAsia" w:ascii="楷体" w:hAnsi="楷体" w:eastAsia="楷体" w:cs="楷体"/>
                <w:b/>
                <w:bCs/>
                <w:sz w:val="28"/>
                <w:szCs w:val="28"/>
              </w:rPr>
              <w:t>专栏3 数字经济项目</w:t>
            </w:r>
          </w:p>
          <w:p w14:paraId="38276940">
            <w:pPr>
              <w:pBdr>
                <w:top w:val="single" w:color="auto" w:sz="4" w:space="1"/>
                <w:left w:val="single" w:color="auto" w:sz="4" w:space="4"/>
                <w:bottom w:val="single" w:color="auto" w:sz="4" w:space="1"/>
                <w:right w:val="single" w:color="auto" w:sz="4" w:space="4"/>
              </w:pBdr>
              <w:spacing w:line="560" w:lineRule="exact"/>
              <w:ind w:firstLine="560"/>
              <w:rPr>
                <w:rFonts w:ascii="仿宋" w:hAnsi="仿宋" w:eastAsia="仿宋" w:cs="仿宋"/>
                <w:sz w:val="28"/>
                <w:szCs w:val="28"/>
              </w:rPr>
            </w:pPr>
            <w:r>
              <w:rPr>
                <w:rFonts w:hint="eastAsia" w:ascii="仿宋" w:hAnsi="仿宋" w:eastAsia="仿宋" w:cs="仿宋"/>
                <w:sz w:val="28"/>
                <w:szCs w:val="28"/>
              </w:rPr>
              <w:t>1.智能矿山运营中心项目</w:t>
            </w:r>
          </w:p>
          <w:p w14:paraId="5F238214">
            <w:pPr>
              <w:pBdr>
                <w:top w:val="single" w:color="auto" w:sz="4" w:space="1"/>
                <w:left w:val="single" w:color="auto" w:sz="4" w:space="4"/>
                <w:bottom w:val="single" w:color="auto" w:sz="4" w:space="1"/>
                <w:right w:val="single" w:color="auto" w:sz="4" w:space="4"/>
              </w:pBdr>
              <w:spacing w:line="560" w:lineRule="exact"/>
              <w:ind w:firstLine="560"/>
              <w:rPr>
                <w:rFonts w:ascii="仿宋" w:hAnsi="仿宋" w:eastAsia="仿宋" w:cs="仿宋"/>
                <w:sz w:val="28"/>
                <w:szCs w:val="28"/>
              </w:rPr>
            </w:pPr>
            <w:r>
              <w:rPr>
                <w:rFonts w:hint="eastAsia" w:ascii="仿宋" w:hAnsi="仿宋" w:eastAsia="仿宋" w:cs="仿宋"/>
                <w:sz w:val="28"/>
                <w:szCs w:val="28"/>
              </w:rPr>
              <w:t>2.开发区工业互联网、企业上云项目。</w:t>
            </w:r>
          </w:p>
          <w:p w14:paraId="63D14FCD">
            <w:pPr>
              <w:pBdr>
                <w:top w:val="single" w:color="auto" w:sz="4" w:space="1"/>
                <w:left w:val="single" w:color="auto" w:sz="4" w:space="4"/>
                <w:bottom w:val="single" w:color="auto" w:sz="4" w:space="1"/>
                <w:right w:val="single" w:color="auto" w:sz="4" w:space="4"/>
              </w:pBdr>
              <w:spacing w:line="560" w:lineRule="exact"/>
              <w:ind w:firstLine="560"/>
              <w:rPr>
                <w:rFonts w:ascii="仿宋" w:hAnsi="仿宋" w:eastAsia="仿宋" w:cs="仿宋"/>
                <w:sz w:val="28"/>
                <w:szCs w:val="28"/>
              </w:rPr>
            </w:pPr>
            <w:r>
              <w:rPr>
                <w:rFonts w:hint="eastAsia" w:ascii="仿宋" w:hAnsi="仿宋" w:eastAsia="仿宋" w:cs="仿宋"/>
                <w:sz w:val="28"/>
                <w:szCs w:val="28"/>
              </w:rPr>
              <w:t>3.能源互联网在阳城示范推广应用项目。</w:t>
            </w:r>
          </w:p>
          <w:p w14:paraId="1B034A4D">
            <w:pPr>
              <w:pBdr>
                <w:top w:val="single" w:color="auto" w:sz="4" w:space="1"/>
                <w:left w:val="single" w:color="auto" w:sz="4" w:space="4"/>
                <w:bottom w:val="single" w:color="auto" w:sz="4" w:space="1"/>
                <w:right w:val="single" w:color="auto" w:sz="4" w:space="4"/>
              </w:pBdr>
              <w:spacing w:line="560" w:lineRule="exact"/>
              <w:ind w:firstLine="560"/>
              <w:rPr>
                <w:rFonts w:ascii="仿宋" w:hAnsi="仿宋" w:eastAsia="仿宋" w:cs="仿宋"/>
                <w:sz w:val="28"/>
                <w:szCs w:val="28"/>
              </w:rPr>
            </w:pPr>
            <w:r>
              <w:rPr>
                <w:rFonts w:hint="eastAsia" w:ascii="仿宋" w:hAnsi="仿宋" w:eastAsia="仿宋" w:cs="仿宋"/>
                <w:sz w:val="28"/>
                <w:szCs w:val="28"/>
              </w:rPr>
              <w:t>4.通航大数据共享平台。</w:t>
            </w:r>
          </w:p>
          <w:p w14:paraId="04F1F80C">
            <w:pPr>
              <w:pBdr>
                <w:top w:val="single" w:color="auto" w:sz="4" w:space="1"/>
                <w:left w:val="single" w:color="auto" w:sz="4" w:space="4"/>
                <w:bottom w:val="single" w:color="auto" w:sz="4" w:space="1"/>
                <w:right w:val="single" w:color="auto" w:sz="4" w:space="4"/>
              </w:pBdr>
              <w:spacing w:line="560" w:lineRule="exact"/>
              <w:ind w:firstLine="560"/>
              <w:rPr>
                <w:rFonts w:ascii="仿宋" w:hAnsi="仿宋" w:eastAsia="仿宋" w:cs="仿宋"/>
                <w:sz w:val="28"/>
                <w:szCs w:val="28"/>
              </w:rPr>
            </w:pPr>
            <w:r>
              <w:rPr>
                <w:rFonts w:hint="eastAsia" w:ascii="仿宋" w:hAnsi="仿宋" w:eastAsia="仿宋" w:cs="仿宋"/>
                <w:sz w:val="28"/>
                <w:szCs w:val="28"/>
              </w:rPr>
              <w:t>5.安阳陶瓷新材料产业智慧园区项目。</w:t>
            </w:r>
          </w:p>
          <w:p w14:paraId="3AFC6995">
            <w:pPr>
              <w:pBdr>
                <w:top w:val="single" w:color="auto" w:sz="4" w:space="1"/>
                <w:left w:val="single" w:color="auto" w:sz="4" w:space="4"/>
                <w:bottom w:val="single" w:color="auto" w:sz="4" w:space="1"/>
                <w:right w:val="single" w:color="auto" w:sz="4" w:space="4"/>
              </w:pBdr>
              <w:spacing w:line="560" w:lineRule="exact"/>
              <w:ind w:firstLine="560"/>
              <w:rPr>
                <w:rFonts w:ascii="仿宋" w:hAnsi="仿宋" w:eastAsia="仿宋" w:cs="仿宋"/>
                <w:sz w:val="28"/>
                <w:szCs w:val="28"/>
              </w:rPr>
            </w:pPr>
            <w:r>
              <w:rPr>
                <w:rFonts w:hint="eastAsia" w:ascii="仿宋" w:hAnsi="仿宋" w:eastAsia="仿宋" w:cs="仿宋"/>
                <w:sz w:val="28"/>
                <w:szCs w:val="28"/>
              </w:rPr>
              <w:t>6.苏州智慧产业园“互联网+”物流创新工程</w:t>
            </w:r>
          </w:p>
        </w:tc>
      </w:tr>
    </w:tbl>
    <w:p w14:paraId="69320AD1">
      <w:pPr>
        <w:ind w:firstLine="640"/>
      </w:pPr>
    </w:p>
    <w:p w14:paraId="7A4643CD">
      <w:pPr>
        <w:pStyle w:val="4"/>
        <w:rPr>
          <w:rFonts w:ascii="黑体" w:hAnsi="黑体" w:eastAsia="黑体"/>
        </w:rPr>
      </w:pPr>
      <w:bookmarkStart w:id="38" w:name="_Toc422"/>
      <w:bookmarkStart w:id="39" w:name="_Toc3611"/>
      <w:bookmarkStart w:id="40" w:name="_Toc449018748"/>
      <w:bookmarkStart w:id="41" w:name="_Toc5820"/>
      <w:bookmarkStart w:id="42" w:name="_Toc448489405"/>
      <w:bookmarkStart w:id="43" w:name="_Toc10495"/>
      <w:bookmarkStart w:id="44" w:name="_Toc448488849"/>
      <w:bookmarkStart w:id="45" w:name="_Toc7319"/>
      <w:bookmarkStart w:id="46" w:name="_Toc18812"/>
      <w:r>
        <w:rPr>
          <w:rFonts w:hint="eastAsia" w:ascii="黑体" w:hAnsi="黑体" w:eastAsia="黑体"/>
        </w:rPr>
        <w:t>第三节  实施强企名牌工程</w:t>
      </w:r>
      <w:bookmarkEnd w:id="38"/>
      <w:bookmarkEnd w:id="39"/>
      <w:bookmarkEnd w:id="40"/>
      <w:bookmarkEnd w:id="41"/>
      <w:bookmarkEnd w:id="42"/>
      <w:bookmarkEnd w:id="43"/>
      <w:bookmarkEnd w:id="44"/>
      <w:bookmarkEnd w:id="45"/>
      <w:bookmarkEnd w:id="46"/>
    </w:p>
    <w:p w14:paraId="7537F1A8">
      <w:pPr>
        <w:tabs>
          <w:tab w:val="left" w:pos="4680"/>
        </w:tabs>
        <w:ind w:firstLine="640"/>
        <w:rPr>
          <w:rFonts w:ascii="Times New Roman" w:hAnsi="Times New Roman"/>
        </w:rPr>
      </w:pPr>
      <w:r>
        <w:rPr>
          <w:rFonts w:hint="eastAsia" w:ascii="Times New Roman" w:hAnsi="Times New Roman"/>
        </w:rPr>
        <w:t>深入推进标准、质量、品牌、信誉“四位一体”建设，以</w:t>
      </w:r>
      <w:r>
        <w:rPr>
          <w:rFonts w:hint="eastAsia" w:ascii="Times New Roman" w:hAnsi="Times New Roman"/>
          <w:kern w:val="0"/>
        </w:rPr>
        <w:t>名品、名牌、名家为主攻方向，实施“强企”行动，以陶瓷产业为突破，打响阳城特色品牌，坚持走以质取胜的道路，</w:t>
      </w:r>
      <w:r>
        <w:rPr>
          <w:rFonts w:hint="eastAsia" w:ascii="Times New Roman" w:hAnsi="Times New Roman"/>
        </w:rPr>
        <w:t>构建新常态下质量型发展新优势。</w:t>
      </w:r>
    </w:p>
    <w:p w14:paraId="3A899061">
      <w:pPr>
        <w:tabs>
          <w:tab w:val="left" w:pos="4680"/>
        </w:tabs>
        <w:ind w:firstLine="643"/>
        <w:rPr>
          <w:rFonts w:ascii="Times New Roman" w:hAnsi="Times New Roman"/>
          <w:kern w:val="0"/>
        </w:rPr>
      </w:pPr>
      <w:r>
        <w:rPr>
          <w:rFonts w:hint="eastAsia" w:ascii="楷体_GB2312" w:hAnsi="Times New Roman" w:eastAsia="楷体_GB2312"/>
          <w:b/>
        </w:rPr>
        <w:t>企业培育壮大工程。</w:t>
      </w:r>
      <w:r>
        <w:rPr>
          <w:rFonts w:hint="eastAsia" w:ascii="Times New Roman" w:hAnsi="Times New Roman"/>
          <w:kern w:val="0"/>
        </w:rPr>
        <w:t>通过招商引资、自主培育、企业改制、资产重组等多种途径，打造一批“顶天立地”的龙头企业，</w:t>
      </w:r>
      <w:r>
        <w:rPr>
          <w:rFonts w:hint="eastAsia" w:ascii="Times New Roman" w:hAnsi="Times New Roman"/>
        </w:rPr>
        <w:t>坚持招大引强和内生培育相结合，着力培育一批百亿级、十亿级品牌企业</w:t>
      </w:r>
      <w:r>
        <w:rPr>
          <w:rFonts w:hint="eastAsia" w:ascii="Times New Roman" w:hAnsi="Times New Roman"/>
          <w:kern w:val="0"/>
        </w:rPr>
        <w:t>。实施中小企业高质量示范县工程，支持中小企业走专业化、精细化发展道路，促进向“专精特新”方向升级，</w:t>
      </w:r>
      <w:r>
        <w:rPr>
          <w:rFonts w:hint="eastAsia"/>
        </w:rPr>
        <w:t>推进“个转企、小升规、规转股、股转市”工作，鼓励华德、德福等小企业入规，</w:t>
      </w:r>
      <w:r>
        <w:rPr>
          <w:rFonts w:hint="eastAsia" w:ascii="Times New Roman" w:hAnsi="Times New Roman"/>
          <w:kern w:val="0"/>
        </w:rPr>
        <w:t>培育一大批在产业细分领域居主导地位的支柱企业。到</w:t>
      </w:r>
      <w:r>
        <w:rPr>
          <w:rFonts w:ascii="Times New Roman" w:hAnsi="Times New Roman"/>
          <w:kern w:val="0"/>
        </w:rPr>
        <w:t>202</w:t>
      </w:r>
      <w:r>
        <w:rPr>
          <w:rFonts w:hint="eastAsia" w:ascii="Times New Roman" w:hAnsi="Times New Roman"/>
          <w:kern w:val="0"/>
        </w:rPr>
        <w:t>5年，力争培育一批销售收入5</w:t>
      </w:r>
      <w:r>
        <w:rPr>
          <w:rFonts w:ascii="Times New Roman" w:hAnsi="Times New Roman"/>
          <w:kern w:val="0"/>
        </w:rPr>
        <w:t>0</w:t>
      </w:r>
      <w:r>
        <w:rPr>
          <w:rFonts w:hint="eastAsia" w:ascii="Times New Roman" w:hAnsi="Times New Roman"/>
          <w:kern w:val="0"/>
        </w:rPr>
        <w:t>亿元企业，</w:t>
      </w:r>
      <w:r>
        <w:rPr>
          <w:rFonts w:ascii="Times New Roman" w:hAnsi="Times New Roman"/>
          <w:kern w:val="0"/>
        </w:rPr>
        <w:t>10</w:t>
      </w:r>
      <w:r>
        <w:rPr>
          <w:rFonts w:hint="eastAsia" w:ascii="Times New Roman" w:hAnsi="Times New Roman"/>
          <w:kern w:val="0"/>
        </w:rPr>
        <w:t>亿元企业。</w:t>
      </w:r>
    </w:p>
    <w:p w14:paraId="4E2B7C9D">
      <w:pPr>
        <w:pStyle w:val="9"/>
        <w:spacing w:line="240" w:lineRule="auto"/>
        <w:ind w:firstLine="643"/>
        <w:rPr>
          <w:rFonts w:ascii="Times New Roman" w:hAnsi="Times New Roman"/>
          <w:szCs w:val="32"/>
        </w:rPr>
      </w:pPr>
      <w:r>
        <w:rPr>
          <w:rFonts w:hint="eastAsia" w:ascii="楷体_GB2312" w:hAnsi="Times New Roman" w:eastAsia="楷体_GB2312"/>
          <w:b/>
          <w:szCs w:val="32"/>
        </w:rPr>
        <w:t>质量品牌升级工程。</w:t>
      </w:r>
      <w:r>
        <w:rPr>
          <w:rFonts w:hint="eastAsia" w:ascii="Times New Roman" w:hAnsi="Times New Roman"/>
          <w:szCs w:val="32"/>
        </w:rPr>
        <w:t>以培育“名企、名牌、名标”为抓手，大力实施质量品牌升级工程。持续</w:t>
      </w:r>
      <w:r>
        <w:rPr>
          <w:rFonts w:ascii="Times New Roman" w:hAnsi="Times New Roman" w:eastAsia="仿宋" w:cs="Times New Roman"/>
          <w:szCs w:val="32"/>
        </w:rPr>
        <w:t>打造“</w:t>
      </w:r>
      <w:r>
        <w:rPr>
          <w:rFonts w:hint="eastAsia" w:ascii="Times New Roman" w:hAnsi="Times New Roman" w:eastAsia="仿宋" w:cs="Times New Roman"/>
          <w:szCs w:val="32"/>
        </w:rPr>
        <w:t>北方</w:t>
      </w:r>
      <w:r>
        <w:rPr>
          <w:rFonts w:ascii="Times New Roman" w:hAnsi="Times New Roman" w:eastAsia="仿宋" w:cs="Times New Roman"/>
          <w:szCs w:val="32"/>
        </w:rPr>
        <w:t>瓷都”城市形象</w:t>
      </w:r>
      <w:r>
        <w:rPr>
          <w:rFonts w:hint="eastAsia" w:ascii="Times New Roman" w:hAnsi="Times New Roman" w:eastAsia="仿宋" w:cs="Times New Roman"/>
          <w:szCs w:val="32"/>
        </w:rPr>
        <w:t>，</w:t>
      </w:r>
      <w:r>
        <w:rPr>
          <w:rFonts w:ascii="Times New Roman" w:hAnsi="Times New Roman" w:eastAsia="仿宋" w:cs="Times New Roman"/>
          <w:szCs w:val="32"/>
        </w:rPr>
        <w:t>打造阳城“陶博会”</w:t>
      </w:r>
      <w:r>
        <w:rPr>
          <w:rFonts w:hint="eastAsia" w:ascii="Times New Roman" w:hAnsi="Times New Roman" w:eastAsia="仿宋" w:cs="Times New Roman"/>
          <w:szCs w:val="32"/>
        </w:rPr>
        <w:t>品牌展会</w:t>
      </w:r>
      <w:r>
        <w:rPr>
          <w:rFonts w:ascii="Times New Roman" w:hAnsi="Times New Roman" w:eastAsia="仿宋" w:cs="Times New Roman"/>
          <w:szCs w:val="32"/>
        </w:rPr>
        <w:t>，持续提升阳城陶瓷以及城市知名度和影响力</w:t>
      </w:r>
      <w:r>
        <w:rPr>
          <w:rFonts w:hint="eastAsia" w:ascii="Times New Roman" w:hAnsi="Times New Roman" w:eastAsia="仿宋" w:cs="Times New Roman"/>
          <w:szCs w:val="32"/>
        </w:rPr>
        <w:t>。</w:t>
      </w:r>
      <w:r>
        <w:rPr>
          <w:rFonts w:hint="eastAsia" w:ascii="Times New Roman" w:hAnsi="Times New Roman"/>
          <w:szCs w:val="32"/>
        </w:rPr>
        <w:t>大力推进品牌商标建设，支持企业申报和创建中国驰名商标、山西著名商标、山西名牌产品等。引导企业开展各类国际标准认证和国际商标注册。鼓励制定企业联盟标准，引领新产品开发和品牌创建。强化生产、流通、进出口环节质量安全监管，加快淘汰落后生产工艺，严把市场准入关，严厉打击质量违法行为。鼓励企业开展质量管理体系认证、环境管理体系认证、食品卫生安全管理体系认证、社会责任管理体系认证、职业健康安全管理体系认证等。</w:t>
      </w:r>
    </w:p>
    <w:p w14:paraId="6999CAAA">
      <w:pPr>
        <w:spacing w:line="600" w:lineRule="exact"/>
        <w:ind w:firstLine="643"/>
        <w:rPr>
          <w:rFonts w:ascii="Times New Roman" w:hAnsi="Times New Roman" w:eastAsia="仿宋" w:cs="Times New Roman"/>
        </w:rPr>
      </w:pPr>
      <w:r>
        <w:rPr>
          <w:rFonts w:hint="eastAsia" w:ascii="楷体_GB2312" w:hAnsi="Times New Roman" w:eastAsia="楷体_GB2312" w:cs="仿宋_GB2312"/>
          <w:b/>
          <w:kern w:val="0"/>
          <w:sz w:val="32"/>
          <w:szCs w:val="32"/>
          <w:lang w:val="en-US" w:eastAsia="zh-CN" w:bidi="ar-SA"/>
        </w:rPr>
        <w:t>培育国内知名品牌。</w:t>
      </w:r>
      <w:r>
        <w:rPr>
          <w:rFonts w:ascii="Times New Roman" w:hAnsi="Times New Roman" w:eastAsia="仿宋" w:cs="Times New Roman"/>
        </w:rPr>
        <w:t>对基础好、起点高、有历史的优势品牌进行重点扶持和培育。培育“阳城陶瓷”等原产地标识。鼓励企业积极申请国家</w:t>
      </w:r>
      <w:r>
        <w:rPr>
          <w:rFonts w:hint="eastAsia" w:ascii="Times New Roman" w:hAnsi="Times New Roman" w:eastAsia="仿宋" w:cs="Times New Roman"/>
        </w:rPr>
        <w:t>级和</w:t>
      </w:r>
      <w:r>
        <w:rPr>
          <w:rFonts w:ascii="Times New Roman" w:hAnsi="Times New Roman" w:eastAsia="仿宋" w:cs="Times New Roman"/>
        </w:rPr>
        <w:t>省</w:t>
      </w:r>
      <w:r>
        <w:rPr>
          <w:rFonts w:hint="eastAsia" w:ascii="Times New Roman" w:hAnsi="Times New Roman" w:eastAsia="仿宋" w:cs="Times New Roman"/>
        </w:rPr>
        <w:t>级品牌</w:t>
      </w:r>
      <w:r>
        <w:rPr>
          <w:rFonts w:ascii="Times New Roman" w:hAnsi="Times New Roman" w:eastAsia="仿宋" w:cs="Times New Roman"/>
        </w:rPr>
        <w:t>，</w:t>
      </w:r>
      <w:r>
        <w:rPr>
          <w:rFonts w:hint="eastAsia" w:ascii="Times New Roman" w:hAnsi="Times New Roman" w:eastAsia="仿宋" w:cs="Times New Roman"/>
        </w:rPr>
        <w:t>争取</w:t>
      </w:r>
      <w:r>
        <w:rPr>
          <w:rFonts w:ascii="Times New Roman" w:hAnsi="Times New Roman" w:eastAsia="仿宋" w:cs="Times New Roman"/>
        </w:rPr>
        <w:t>列入国家级、省级制造业单项冠军培育工程、智能制造试点示范工程。</w:t>
      </w:r>
      <w:r>
        <w:rPr>
          <w:rFonts w:hint="eastAsia" w:ascii="Times New Roman" w:hAnsi="Times New Roman" w:eastAsia="仿宋" w:cs="Times New Roman"/>
        </w:rPr>
        <w:t>鼓励和支持企业积极参加境内外各级各类会展，大力宣传阳城品牌，并按《阳城县支持企业外出参展专项资金管理使用办法》给予支持。</w:t>
      </w:r>
    </w:p>
    <w:p w14:paraId="278F3871">
      <w:pPr>
        <w:pStyle w:val="9"/>
        <w:spacing w:line="240" w:lineRule="auto"/>
        <w:ind w:firstLine="640"/>
        <w:rPr>
          <w:rFonts w:ascii="Times New Roman" w:hAnsi="Times New Roman"/>
          <w:szCs w:val="32"/>
        </w:rPr>
      </w:pPr>
    </w:p>
    <w:p w14:paraId="16E256EC">
      <w:pPr>
        <w:widowControl/>
        <w:ind w:firstLine="0" w:firstLineChars="0"/>
        <w:jc w:val="left"/>
      </w:pPr>
      <w:r>
        <w:br w:type="page"/>
      </w:r>
    </w:p>
    <w:p w14:paraId="444512A5">
      <w:pPr>
        <w:pStyle w:val="3"/>
        <w:rPr>
          <w:sz w:val="36"/>
          <w:szCs w:val="36"/>
        </w:rPr>
      </w:pPr>
      <w:bookmarkStart w:id="47" w:name="_Toc16551"/>
      <w:r>
        <w:rPr>
          <w:rFonts w:hint="eastAsia"/>
          <w:sz w:val="36"/>
          <w:szCs w:val="36"/>
        </w:rPr>
        <w:t>第四章  构筑现代产业体系</w:t>
      </w:r>
      <w:bookmarkEnd w:id="47"/>
    </w:p>
    <w:p w14:paraId="7980F5D9">
      <w:pPr>
        <w:ind w:firstLine="640"/>
      </w:pPr>
      <w:r>
        <w:rPr>
          <w:rFonts w:hint="eastAsia"/>
        </w:rPr>
        <w:t>围绕构筑现代产业体系，打造具有区域竞争力的战略性新兴产业集聚发展基地，聚焦“六新突破”，坚持项目为王，按照“龙头企业</w:t>
      </w:r>
      <w:r>
        <w:t>—</w:t>
      </w:r>
      <w:r>
        <w:rPr>
          <w:rFonts w:hint="eastAsia"/>
        </w:rPr>
        <w:t>重大项目</w:t>
      </w:r>
      <w:r>
        <w:t>—</w:t>
      </w:r>
      <w:r>
        <w:rPr>
          <w:rFonts w:hint="eastAsia"/>
        </w:rPr>
        <w:t>产业链</w:t>
      </w:r>
      <w:r>
        <w:t>—</w:t>
      </w:r>
      <w:r>
        <w:rPr>
          <w:rFonts w:hint="eastAsia"/>
        </w:rPr>
        <w:t>产业集群</w:t>
      </w:r>
      <w:r>
        <w:t>—</w:t>
      </w:r>
      <w:r>
        <w:rPr>
          <w:rFonts w:hint="eastAsia"/>
        </w:rPr>
        <w:t>产业基地”的发展思路，推进人才、技术、资金、土地等资源要素向战略性新兴产业集聚，以特色优势现代陶瓷和精细化工产业两大产业为核心，积极布局发展新材料产业，前瞻性布局装备制造、新能源等</w:t>
      </w:r>
      <w:r>
        <w:rPr>
          <w:rFonts w:hint="eastAsia"/>
          <w:lang w:val="en-US" w:eastAsia="zh-CN"/>
        </w:rPr>
        <w:t>相关</w:t>
      </w:r>
      <w:r>
        <w:rPr>
          <w:rFonts w:hint="eastAsia"/>
        </w:rPr>
        <w:t>产业，依托区位和资源优势发展现代物流和大健康产业，建设和应用协调互动的六大产业服务平台与场景，推动产业迈向中高端，到2025年，开发区</w:t>
      </w:r>
      <w:r>
        <w:rPr>
          <w:rFonts w:hint="eastAsia"/>
          <w:lang w:eastAsia="zh-CN"/>
        </w:rPr>
        <w:t>战略性新兴产业</w:t>
      </w:r>
      <w:r>
        <w:rPr>
          <w:rFonts w:hint="eastAsia"/>
        </w:rPr>
        <w:t>产值突破 150 亿元。</w:t>
      </w:r>
    </w:p>
    <w:p w14:paraId="4FC9DEED">
      <w:pPr>
        <w:pStyle w:val="4"/>
        <w:rPr>
          <w:rFonts w:ascii="黑体" w:hAnsi="黑体" w:eastAsia="黑体"/>
          <w:kern w:val="0"/>
        </w:rPr>
      </w:pPr>
      <w:bookmarkStart w:id="48" w:name="_Toc14292"/>
      <w:bookmarkStart w:id="49" w:name="_Hlk80221103"/>
      <w:r>
        <w:rPr>
          <w:rFonts w:hint="eastAsia" w:ascii="黑体" w:hAnsi="黑体" w:eastAsia="黑体"/>
          <w:kern w:val="0"/>
        </w:rPr>
        <w:t>第一节  提质升级现代陶瓷新材料产业</w:t>
      </w:r>
      <w:bookmarkEnd w:id="48"/>
    </w:p>
    <w:bookmarkEnd w:id="49"/>
    <w:p w14:paraId="249B3238">
      <w:pPr>
        <w:shd w:val="clear" w:color="auto" w:fill="FFFFFF"/>
        <w:ind w:firstLine="640"/>
        <w:jc w:val="left"/>
        <w:rPr>
          <w:rFonts w:ascii="Times New Roman" w:hAnsi="Times New Roman"/>
          <w:kern w:val="0"/>
        </w:rPr>
      </w:pPr>
      <w:r>
        <w:rPr>
          <w:rFonts w:hint="eastAsia" w:ascii="Times New Roman" w:hAnsi="Times New Roman"/>
          <w:kern w:val="0"/>
        </w:rPr>
        <w:t>坚持集聚发展、集群发展和规模发展、特色发展的思路，打造若干产业链完善、配套齐全、竞争力强的特色陶瓷新材料产业集聚区。同时</w:t>
      </w:r>
      <w:r>
        <w:rPr>
          <w:rFonts w:hint="eastAsia"/>
        </w:rPr>
        <w:t>围绕</w:t>
      </w:r>
      <w:r>
        <w:t>煤矸石、粉煤灰、</w:t>
      </w:r>
      <w:r>
        <w:rPr>
          <w:rFonts w:hint="eastAsia"/>
        </w:rPr>
        <w:t>陶瓷固废等原材料，加强资源循环利用和煤基新材料应用。</w:t>
      </w:r>
    </w:p>
    <w:p w14:paraId="3E68B3A5">
      <w:pPr>
        <w:ind w:firstLine="643"/>
        <w:rPr>
          <w:b/>
          <w:bCs/>
        </w:rPr>
      </w:pPr>
      <w:r>
        <w:rPr>
          <w:rFonts w:hint="eastAsia"/>
          <w:b/>
          <w:bCs/>
        </w:rPr>
        <w:t>提升</w:t>
      </w:r>
      <w:r>
        <w:rPr>
          <w:b/>
          <w:bCs/>
        </w:rPr>
        <w:t>陶瓷行业</w:t>
      </w:r>
      <w:r>
        <w:rPr>
          <w:rFonts w:hint="eastAsia"/>
          <w:b/>
          <w:bCs/>
        </w:rPr>
        <w:t>技术水平</w:t>
      </w:r>
      <w:r>
        <w:rPr>
          <w:b/>
          <w:bCs/>
        </w:rPr>
        <w:t>。</w:t>
      </w:r>
      <w:r>
        <w:rPr>
          <w:rFonts w:hint="eastAsia" w:ascii="仿宋" w:hAnsi="仿宋" w:eastAsia="仿宋"/>
        </w:rPr>
        <w:t>依托</w:t>
      </w:r>
      <w:r>
        <w:rPr>
          <w:rFonts w:ascii="仿宋" w:hAnsi="仿宋" w:eastAsia="仿宋"/>
        </w:rPr>
        <w:t>“中国建材咸阳陶瓷研究设计院(阳城)陶瓷琉璃研发中心</w:t>
      </w:r>
      <w:r>
        <w:rPr>
          <w:rFonts w:hint="eastAsia" w:ascii="仿宋" w:hAnsi="仿宋" w:eastAsia="仿宋"/>
        </w:rPr>
        <w:t>”等技术平台，</w:t>
      </w:r>
      <w:r>
        <w:t>立足国内国际两个市场需求，以加强新产品研发、提高工艺装备和工业设计水平为途径，加快产品向健康型、轻量型、时尚型、功能型和利废型方向发展，提升产品的性价比和配套化程度。</w:t>
      </w:r>
      <w:r>
        <w:rPr>
          <w:rFonts w:hint="eastAsia"/>
        </w:rPr>
        <w:t>推进</w:t>
      </w:r>
      <w:r>
        <w:t>与</w:t>
      </w:r>
      <w:r>
        <w:rPr>
          <w:rFonts w:hint="eastAsia"/>
        </w:rPr>
        <w:t>广东新材料产业园的</w:t>
      </w:r>
      <w:r>
        <w:t>战略对接，引领行业发展，扩大阳城陶瓷影响力。支持</w:t>
      </w:r>
      <w:r>
        <w:rPr>
          <w:rFonts w:hint="eastAsia"/>
        </w:rPr>
        <w:t>时代</w:t>
      </w:r>
      <w:r>
        <w:t>陶瓷、</w:t>
      </w:r>
      <w:r>
        <w:rPr>
          <w:rFonts w:hint="eastAsia"/>
        </w:rPr>
        <w:t>龙飞</w:t>
      </w:r>
      <w:r>
        <w:t>陶瓷等地方企业运用新技术、升级改造，提升本地陶瓷行业发展水平。支持陶瓷企业开展技术创新，加强产学研合作。鼓励有条件的企业开展智能化生产线和智能工厂示范项目建设，</w:t>
      </w:r>
      <w:r>
        <w:rPr>
          <w:rFonts w:hint="eastAsia"/>
        </w:rPr>
        <w:t>支持阳明岩板智能生产线建设，鼓励陶瓷企业</w:t>
      </w:r>
      <w:r>
        <w:t>优化生产线和装配线的数据采集方式</w:t>
      </w:r>
      <w:r>
        <w:rPr>
          <w:rFonts w:hint="eastAsia"/>
        </w:rPr>
        <w:t>和</w:t>
      </w:r>
      <w:r>
        <w:t>设备布</w:t>
      </w:r>
      <w:r>
        <w:rPr>
          <w:rFonts w:hint="eastAsia"/>
        </w:rPr>
        <w:t>局，</w:t>
      </w:r>
      <w:r>
        <w:t>优化生产工艺、材料创新、仓储物流等，实现柔性生产的自动化。</w:t>
      </w:r>
    </w:p>
    <w:p w14:paraId="3EF4BE46">
      <w:pPr>
        <w:ind w:firstLine="643"/>
      </w:pPr>
      <w:r>
        <w:rPr>
          <w:b/>
          <w:bCs/>
        </w:rPr>
        <w:t>提质升级陶瓷新材料。</w:t>
      </w:r>
      <w:r>
        <w:t>围绕“新特专高精尖”目标，</w:t>
      </w:r>
      <w:r>
        <w:rPr>
          <w:rFonts w:hint="eastAsia"/>
        </w:rPr>
        <w:t>实施产业能力提升、延链补链招商、产品应用保障三大工程，把现代陶瓷新材料产业打造成为转型发展的支柱产业。建设研发创新核心策源地，推进陶瓷研发平台建设，完善研发中心功能，建设集陶瓷琉璃原材料检测、陶土资源分析、釉料配发研发、产品研发、技术咨询、技术服务于一体的陶瓷琉璃研发中心，逐步实现研发中心市场化运作，培育一批高端材料产业发展集聚区。抢抓全国陶瓷新材料新一轮产业布局机遇，聚焦陶瓷新材料、</w:t>
      </w:r>
      <w:r>
        <w:t>汽车陶瓷刹车片、纳米陶瓷成形、生物功能陶瓷等，</w:t>
      </w:r>
      <w:r>
        <w:rPr>
          <w:rFonts w:hint="eastAsia"/>
        </w:rPr>
        <w:t>大力发展陶瓷装饰新材料、工业陶瓷材料和特种陶瓷材料，</w:t>
      </w:r>
      <w:r>
        <w:t>加大企业引进和培育力度，形成阳城陶瓷产业高端发展的新支撑。聚焦节能环保陶瓷产品，耐热、耐蚀、耐磨的高性能陶瓷产品及材料，耐高压、耐高温、高稳定性电子陶瓷，接近天然骨成分的氧化铝、氧化锆类陶瓷，加大技术转移转化力度，形成特种陶瓷类高端化、功能性产品体系。</w:t>
      </w:r>
      <w:r>
        <w:rPr>
          <w:rFonts w:hint="eastAsia"/>
        </w:rPr>
        <w:t>到“十四五”末，建成省级重要的新材料产业基地。</w:t>
      </w:r>
      <w:r>
        <w:t>将阳城打造成为“华北地区建筑陶瓷产业和集散基地”“华北地区建筑琉璃制品特色产业基地”“华北地区先进陶瓷新材料产业基地”。</w:t>
      </w:r>
    </w:p>
    <w:p w14:paraId="2F4D3008">
      <w:pPr>
        <w:ind w:firstLine="643"/>
      </w:pPr>
      <w:r>
        <w:rPr>
          <w:rFonts w:hint="eastAsia"/>
          <w:b/>
          <w:bCs/>
        </w:rPr>
        <w:t>振兴</w:t>
      </w:r>
      <w:r>
        <w:rPr>
          <w:b/>
          <w:bCs/>
        </w:rPr>
        <w:t>琉璃珐华产业。</w:t>
      </w:r>
      <w:r>
        <w:t>鼓励现有企业运用新技术进行产业升级，加强与故宫博物院的对接，将我县列为故宫维修用品生产基地。积极</w:t>
      </w:r>
      <w:r>
        <w:rPr>
          <w:rFonts w:hint="eastAsia"/>
        </w:rPr>
        <w:t>推进</w:t>
      </w:r>
      <w:r>
        <w:t>琉璃特色产业园建设，大力发展工艺礼品琉璃，引进高档艺术琉璃生产企业，满足消费者定制化产品需求，将艺术琉璃与阳城旅游进行融合发展，提高琉璃产业的附加值。加快建设“陶瓷琉璃风情小镇”，融入阳城乔氏古窑址、国家级非物质文化遗产代表性项目、阳城琉璃传承人等人文因素；以琉璃工作室等形式，吸引游客自己制作琉璃产品，促进琉璃体验式旅游。紧紧抓住“山西三宝”的市场效应，加大阳城珐华器的研发宣传，创作珐华系列文创产品，加强阳城珐华技艺与现代工艺技术的结合，让阳城珐华再现光彩。</w:t>
      </w:r>
    </w:p>
    <w:p w14:paraId="6BACD527">
      <w:pPr>
        <w:spacing w:line="600" w:lineRule="exact"/>
        <w:ind w:firstLine="643"/>
      </w:pPr>
      <w:r>
        <w:rPr>
          <w:b/>
          <w:bCs/>
        </w:rPr>
        <w:t>腾笼换鸟推进绿色发展。</w:t>
      </w:r>
      <w:r>
        <w:t>以环保、能耗、质量、技术及安全生产等为重点，严格常态化执法和强制性标准实施，对未达到改造相应标准的企业，涉及产品档次质量低、工艺技术设备落后、环保排放不达标、淘汰类产能进行清查，制定落后产能及“僵尸企业”退出工作计划、任务和时间节点，盘活园区用地，为先进企业腾出发展空间。加强陶瓷固废回收利用，实现应用尽用，提高资源综合利用效率。力争到2025年，陶瓷企业全面达到绿色评估A级标准，单位增加值能耗年均下降5%，主要产品生产综合能耗和污染物排放指标达到我国先进水平，成为“2+26”城市陶瓷琉璃绿色产业示范区。</w:t>
      </w:r>
    </w:p>
    <w:p w14:paraId="0DF04E77">
      <w:pPr>
        <w:ind w:firstLine="643"/>
      </w:pPr>
      <w:r>
        <w:rPr>
          <w:rFonts w:hint="eastAsia"/>
          <w:b/>
          <w:bCs/>
        </w:rPr>
        <w:t>综合利用固废新</w:t>
      </w:r>
      <w:r>
        <w:rPr>
          <w:rFonts w:hint="eastAsia"/>
          <w:b/>
          <w:bCs/>
          <w:color w:val="000000" w:themeColor="text1"/>
        </w:rPr>
        <w:t>材料</w:t>
      </w:r>
      <w:r>
        <w:rPr>
          <w:b/>
          <w:bCs/>
          <w:color w:val="000000" w:themeColor="text1"/>
        </w:rPr>
        <w:t>。</w:t>
      </w:r>
      <w:r>
        <w:rPr>
          <w:color w:val="000000" w:themeColor="text1"/>
        </w:rPr>
        <w:t>依托</w:t>
      </w:r>
      <w:r>
        <w:rPr>
          <w:rFonts w:hint="eastAsia"/>
          <w:color w:val="000000" w:themeColor="text1"/>
          <w:lang w:val="en-US" w:eastAsia="zh-CN"/>
        </w:rPr>
        <w:t>煤矸石、</w:t>
      </w:r>
      <w:r>
        <w:rPr>
          <w:rFonts w:hint="eastAsia"/>
          <w:color w:val="000000" w:themeColor="text1"/>
        </w:rPr>
        <w:t>脱硫石膏基、</w:t>
      </w:r>
      <w:r>
        <w:rPr>
          <w:color w:val="000000" w:themeColor="text1"/>
        </w:rPr>
        <w:t>粉煤灰</w:t>
      </w:r>
      <w:r>
        <w:rPr>
          <w:rFonts w:hint="eastAsia"/>
          <w:color w:val="000000" w:themeColor="text1"/>
        </w:rPr>
        <w:t>陶粒、陶瓷碎片水泥砂浆加工、莫来石耐火材料</w:t>
      </w:r>
      <w:r>
        <w:rPr>
          <w:color w:val="000000" w:themeColor="text1"/>
        </w:rPr>
        <w:t>等环保科技型企业，打造大宗固体废</w:t>
      </w:r>
      <w:r>
        <w:t>弃物综合利用产业链</w:t>
      </w:r>
      <w:r>
        <w:rPr>
          <w:rFonts w:hint="eastAsia"/>
        </w:rPr>
        <w:t>，推进年产3</w:t>
      </w:r>
      <w:r>
        <w:t>0</w:t>
      </w:r>
      <w:r>
        <w:rPr>
          <w:rFonts w:hint="eastAsia"/>
        </w:rPr>
        <w:t>万吨石膏基环保新材料项目达产</w:t>
      </w:r>
      <w:r>
        <w:t>。利用陶瓷固废生产环保透水砖、建筑外墙保温材料等节能环保产品</w:t>
      </w:r>
      <w:r>
        <w:rPr>
          <w:rFonts w:hint="eastAsia"/>
        </w:rPr>
        <w:t>，</w:t>
      </w:r>
      <w:r>
        <w:t>利用煤矸石和粉煤灰发展新型墙体材料、泡沫混凝土等新应用，利用固废新技术发展活性炭、陶瓷纤维、高强耐磨材料、絮凝剂等高端产品，实现高附加值利用</w:t>
      </w:r>
      <w:r>
        <w:rPr>
          <w:rFonts w:hint="eastAsia"/>
        </w:rPr>
        <w:t>，</w:t>
      </w:r>
      <w:r>
        <w:t>利用矿渣、煤矸石、粉煤灰、尾矿、工业副产石膏、建筑废弃物和废旧路面材料等大宗固体废物发展绿色建材产品</w:t>
      </w:r>
      <w:r>
        <w:rPr>
          <w:rFonts w:hint="eastAsia"/>
        </w:rPr>
        <w:t>，</w:t>
      </w:r>
      <w:r>
        <w:t>提高</w:t>
      </w:r>
      <w:r>
        <w:rPr>
          <w:rFonts w:hint="eastAsia"/>
        </w:rPr>
        <w:t>装配式建筑应用比例</w:t>
      </w:r>
      <w:r>
        <w:t>。</w:t>
      </w:r>
    </w:p>
    <w:p w14:paraId="6CA0FBC4">
      <w:pPr>
        <w:ind w:firstLine="643"/>
      </w:pPr>
      <w:r>
        <w:rPr>
          <w:rFonts w:hint="eastAsia"/>
          <w:b/>
          <w:bCs/>
        </w:rPr>
        <w:t>超前布局</w:t>
      </w:r>
      <w:r>
        <w:rPr>
          <w:b/>
          <w:bCs/>
        </w:rPr>
        <w:t>前沿新材料。</w:t>
      </w:r>
      <w:r>
        <w:t>择优布局锂离子电池材料、碳化硅半导体、砷化镓半导体、石墨烯材料等新型电子材料。积极研发柔性晶体管、光子晶体、有机显示材料、各种纳米电子材料以及碲化镉等新型薄膜光伏材料，推进高效、低成本光伏材料产业化；着力开发大面积单晶石墨烯高效工业制备技术，推进超级电容器、触摸屏、结构材料等石墨烯下游领域技术研究。</w:t>
      </w:r>
    </w:p>
    <w:p w14:paraId="0913CB4F">
      <w:pPr>
        <w:shd w:val="clear" w:color="auto" w:fill="FFFFFF"/>
        <w:ind w:firstLine="640"/>
        <w:jc w:val="left"/>
        <w:rPr>
          <w:rFonts w:ascii="仿宋" w:hAnsi="仿宋" w:eastAsia="仿宋"/>
          <w:bCs/>
          <w:color w:val="000000"/>
        </w:rPr>
      </w:pPr>
      <w:r>
        <w:rPr>
          <w:rFonts w:hint="eastAsia" w:ascii="Times New Roman" w:hAnsi="Times New Roman"/>
          <w:kern w:val="0"/>
        </w:rPr>
        <w:t>重点瞄准环渤海、长三角和粤港澳大湾区三大综合性新材料产业聚集区开展精准专题招商。同时，加强与中西部地区的对接，瞄准与我区重点培育新材料产业方向相关的地区开展上下游产业链招商。</w:t>
      </w:r>
    </w:p>
    <w:p w14:paraId="6ADD6CA3">
      <w:pPr>
        <w:ind w:firstLine="640"/>
        <w:rPr>
          <w:rFonts w:ascii="Times New Roman" w:hAnsi="Times New Roman"/>
          <w:kern w:val="0"/>
        </w:rPr>
      </w:pPr>
      <w:r>
        <w:rPr>
          <w:rFonts w:hint="eastAsia" w:ascii="Times New Roman" w:hAnsi="Times New Roman"/>
          <w:kern w:val="0"/>
        </w:rPr>
        <w:t>长三角工业基础雄厚、交通物流便利、产业配套齐全，已形成了包括航空航天、新能源、电子信息、新型化工等领域的新材料产业集群。粤港澳大湾区的经济主要以外向出口型为主，新材料产业集中度高，下游产业拉动明显，已形成较为完整的产业链，在电子信息材料、改性工程塑料、陶瓷材料等领域具有较强的优势。环渤海地区技术创新推动作用明显，区域科技支撑能力较强，在稀土功能材料、膜材料、硅材料、高技术陶瓷、磁性材料和特种纤维等多个新材料领域均具有较大优势。</w:t>
      </w:r>
    </w:p>
    <w:p w14:paraId="7C834927">
      <w:pPr>
        <w:ind w:firstLine="560"/>
        <w:jc w:val="center"/>
        <w:rPr>
          <w:rFonts w:ascii="宋体" w:hAnsi="宋体" w:eastAsia="楷体"/>
          <w:sz w:val="28"/>
          <w:szCs w:val="28"/>
        </w:rPr>
      </w:pPr>
      <w:r>
        <w:rPr>
          <w:rFonts w:hint="eastAsia" w:ascii="宋体" w:hAnsi="宋体" w:eastAsia="楷体"/>
          <w:sz w:val="28"/>
          <w:szCs w:val="28"/>
        </w:rPr>
        <w:t>图表1新材料产业引进区域导向</w:t>
      </w:r>
    </w:p>
    <w:tbl>
      <w:tblPr>
        <w:tblStyle w:val="18"/>
        <w:tblpPr w:leftFromText="180" w:rightFromText="180" w:vertAnchor="text" w:horzAnchor="margin" w:tblpY="14"/>
        <w:tblW w:w="83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36"/>
        <w:gridCol w:w="6892"/>
      </w:tblGrid>
      <w:tr w14:paraId="3D437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1436" w:type="dxa"/>
            <w:shd w:val="clear" w:color="auto" w:fill="4F78BF"/>
            <w:vAlign w:val="center"/>
          </w:tcPr>
          <w:p w14:paraId="7D64F12E">
            <w:pPr>
              <w:spacing w:line="440" w:lineRule="exact"/>
              <w:ind w:firstLine="0" w:firstLineChars="0"/>
              <w:jc w:val="center"/>
              <w:rPr>
                <w:rFonts w:ascii="黑体" w:hAnsi="黑体" w:eastAsia="黑体"/>
                <w:color w:val="FFFFFF"/>
                <w:sz w:val="28"/>
                <w:szCs w:val="28"/>
              </w:rPr>
            </w:pPr>
            <w:r>
              <w:rPr>
                <w:rFonts w:hint="eastAsia" w:ascii="黑体" w:hAnsi="黑体" w:eastAsia="黑体"/>
                <w:color w:val="FFFFFF"/>
                <w:sz w:val="28"/>
                <w:szCs w:val="28"/>
              </w:rPr>
              <w:t>新材料</w:t>
            </w:r>
          </w:p>
          <w:p w14:paraId="25C03E00">
            <w:pPr>
              <w:spacing w:line="440" w:lineRule="exact"/>
              <w:ind w:firstLine="0" w:firstLineChars="0"/>
              <w:jc w:val="center"/>
              <w:rPr>
                <w:rFonts w:ascii="黑体" w:hAnsi="黑体" w:eastAsia="黑体"/>
                <w:color w:val="FFFFFF"/>
                <w:sz w:val="28"/>
                <w:szCs w:val="28"/>
              </w:rPr>
            </w:pPr>
            <w:r>
              <w:rPr>
                <w:rFonts w:hint="eastAsia" w:ascii="黑体" w:hAnsi="黑体" w:eastAsia="黑体"/>
                <w:color w:val="FFFFFF"/>
                <w:sz w:val="28"/>
                <w:szCs w:val="28"/>
              </w:rPr>
              <w:t>产业</w:t>
            </w:r>
          </w:p>
        </w:tc>
        <w:tc>
          <w:tcPr>
            <w:tcW w:w="6892" w:type="dxa"/>
            <w:shd w:val="clear" w:color="auto" w:fill="4F78BF"/>
            <w:vAlign w:val="center"/>
          </w:tcPr>
          <w:p w14:paraId="244DEE99">
            <w:pPr>
              <w:spacing w:line="440" w:lineRule="exact"/>
              <w:ind w:firstLine="560"/>
              <w:jc w:val="center"/>
              <w:rPr>
                <w:rFonts w:ascii="黑体" w:hAnsi="黑体" w:eastAsia="黑体"/>
                <w:color w:val="FFFFFF"/>
                <w:sz w:val="28"/>
                <w:szCs w:val="28"/>
              </w:rPr>
            </w:pPr>
            <w:r>
              <w:rPr>
                <w:rFonts w:hint="eastAsia" w:ascii="黑体" w:hAnsi="黑体" w:eastAsia="黑体"/>
                <w:color w:val="FFFFFF"/>
                <w:sz w:val="28"/>
                <w:szCs w:val="28"/>
              </w:rPr>
              <w:t>重点引进产业方向</w:t>
            </w:r>
          </w:p>
        </w:tc>
      </w:tr>
      <w:tr w14:paraId="28EEC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6" w:hRule="atLeast"/>
        </w:trPr>
        <w:tc>
          <w:tcPr>
            <w:tcW w:w="1436" w:type="dxa"/>
            <w:vAlign w:val="center"/>
          </w:tcPr>
          <w:p w14:paraId="2FCC64F5">
            <w:pPr>
              <w:spacing w:line="400" w:lineRule="exact"/>
              <w:ind w:firstLine="0" w:firstLineChars="0"/>
              <w:jc w:val="center"/>
              <w:rPr>
                <w:rFonts w:ascii="楷体" w:hAnsi="楷体" w:eastAsia="楷体"/>
                <w:sz w:val="28"/>
                <w:szCs w:val="28"/>
              </w:rPr>
            </w:pPr>
            <w:r>
              <w:rPr>
                <w:rFonts w:hint="eastAsia" w:ascii="楷体" w:hAnsi="楷体" w:eastAsia="楷体"/>
                <w:sz w:val="28"/>
                <w:szCs w:val="28"/>
              </w:rPr>
              <w:t>现代</w:t>
            </w:r>
            <w:r>
              <w:rPr>
                <w:rFonts w:ascii="楷体" w:hAnsi="楷体" w:eastAsia="楷体"/>
                <w:sz w:val="28"/>
                <w:szCs w:val="28"/>
              </w:rPr>
              <w:t>陶瓷</w:t>
            </w:r>
          </w:p>
          <w:p w14:paraId="016E08DA">
            <w:pPr>
              <w:spacing w:line="400" w:lineRule="exact"/>
              <w:ind w:firstLine="0" w:firstLineChars="0"/>
              <w:jc w:val="center"/>
              <w:rPr>
                <w:rFonts w:ascii="楷体" w:hAnsi="楷体" w:eastAsia="楷体"/>
                <w:sz w:val="28"/>
                <w:szCs w:val="28"/>
              </w:rPr>
            </w:pPr>
            <w:r>
              <w:rPr>
                <w:rFonts w:ascii="楷体" w:hAnsi="楷体" w:eastAsia="楷体"/>
                <w:sz w:val="28"/>
                <w:szCs w:val="28"/>
              </w:rPr>
              <w:t>新材料</w:t>
            </w:r>
          </w:p>
        </w:tc>
        <w:tc>
          <w:tcPr>
            <w:tcW w:w="6892" w:type="dxa"/>
            <w:vAlign w:val="center"/>
          </w:tcPr>
          <w:p w14:paraId="1B8DD360">
            <w:pPr>
              <w:spacing w:line="400" w:lineRule="exact"/>
              <w:ind w:firstLine="0" w:firstLineChars="0"/>
              <w:jc w:val="left"/>
              <w:rPr>
                <w:rFonts w:ascii="楷体" w:hAnsi="楷体" w:eastAsia="楷体"/>
                <w:sz w:val="28"/>
                <w:szCs w:val="28"/>
              </w:rPr>
            </w:pPr>
            <w:r>
              <w:rPr>
                <w:rFonts w:ascii="楷体" w:hAnsi="楷体" w:eastAsia="楷体"/>
                <w:sz w:val="28"/>
                <w:szCs w:val="28"/>
              </w:rPr>
              <w:t>重点发展微晶耐磨陶瓷、泡沫陶瓷、蜂窝陶瓷、高性能空心玻璃微珠等特种陶瓷产品</w:t>
            </w:r>
            <w:r>
              <w:rPr>
                <w:rFonts w:hint="eastAsia" w:ascii="楷体" w:hAnsi="楷体" w:eastAsia="楷体"/>
                <w:sz w:val="28"/>
                <w:szCs w:val="28"/>
              </w:rPr>
              <w:t>；</w:t>
            </w:r>
            <w:r>
              <w:rPr>
                <w:rFonts w:ascii="楷体" w:hAnsi="楷体" w:eastAsia="楷体"/>
                <w:sz w:val="28"/>
                <w:szCs w:val="28"/>
              </w:rPr>
              <w:t>加大对多孔陶瓷、高（中）铝耐磨球、碳化硅陶瓷材料等高性能陶瓷材料、复合陶瓷薄板和装饰保温陶瓷材料引进</w:t>
            </w:r>
          </w:p>
        </w:tc>
      </w:tr>
      <w:tr w14:paraId="21F35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1436" w:type="dxa"/>
            <w:tcBorders>
              <w:bottom w:val="single" w:color="auto" w:sz="4" w:space="0"/>
            </w:tcBorders>
            <w:vAlign w:val="center"/>
          </w:tcPr>
          <w:p w14:paraId="3B52CD93">
            <w:pPr>
              <w:spacing w:line="400" w:lineRule="exact"/>
              <w:ind w:firstLine="0" w:firstLineChars="0"/>
              <w:jc w:val="center"/>
              <w:rPr>
                <w:rFonts w:ascii="楷体" w:hAnsi="楷体" w:eastAsia="楷体"/>
                <w:sz w:val="28"/>
                <w:szCs w:val="28"/>
              </w:rPr>
            </w:pPr>
            <w:r>
              <w:rPr>
                <w:rFonts w:hint="eastAsia" w:ascii="楷体" w:hAnsi="楷体" w:eastAsia="楷体"/>
                <w:sz w:val="28"/>
                <w:szCs w:val="28"/>
              </w:rPr>
              <w:t>固废利用</w:t>
            </w:r>
          </w:p>
          <w:p w14:paraId="5C3943DA">
            <w:pPr>
              <w:spacing w:line="400" w:lineRule="exact"/>
              <w:ind w:firstLine="0" w:firstLineChars="0"/>
              <w:jc w:val="center"/>
              <w:rPr>
                <w:rFonts w:ascii="楷体" w:hAnsi="楷体" w:eastAsia="楷体"/>
                <w:sz w:val="28"/>
                <w:szCs w:val="28"/>
              </w:rPr>
            </w:pPr>
            <w:r>
              <w:rPr>
                <w:rFonts w:hint="eastAsia" w:ascii="楷体" w:hAnsi="楷体" w:eastAsia="楷体"/>
                <w:sz w:val="28"/>
                <w:szCs w:val="28"/>
              </w:rPr>
              <w:t>新</w:t>
            </w:r>
            <w:r>
              <w:rPr>
                <w:rFonts w:ascii="楷体" w:hAnsi="楷体" w:eastAsia="楷体"/>
                <w:sz w:val="28"/>
                <w:szCs w:val="28"/>
              </w:rPr>
              <w:t>材料</w:t>
            </w:r>
          </w:p>
          <w:p w14:paraId="36846EBE">
            <w:pPr>
              <w:spacing w:line="400" w:lineRule="exact"/>
              <w:ind w:firstLine="0" w:firstLineChars="0"/>
              <w:jc w:val="center"/>
              <w:rPr>
                <w:rFonts w:ascii="楷体" w:hAnsi="楷体" w:eastAsia="楷体"/>
                <w:sz w:val="28"/>
                <w:szCs w:val="28"/>
              </w:rPr>
            </w:pPr>
          </w:p>
        </w:tc>
        <w:tc>
          <w:tcPr>
            <w:tcW w:w="6892" w:type="dxa"/>
            <w:tcBorders>
              <w:bottom w:val="single" w:color="auto" w:sz="4" w:space="0"/>
            </w:tcBorders>
            <w:vAlign w:val="center"/>
          </w:tcPr>
          <w:p w14:paraId="7C88B3E0">
            <w:pPr>
              <w:spacing w:line="400" w:lineRule="exact"/>
              <w:ind w:firstLine="0" w:firstLineChars="0"/>
              <w:jc w:val="left"/>
              <w:rPr>
                <w:rFonts w:ascii="楷体" w:hAnsi="楷体" w:eastAsia="楷体"/>
                <w:sz w:val="28"/>
                <w:szCs w:val="28"/>
              </w:rPr>
            </w:pPr>
            <w:r>
              <w:rPr>
                <w:rFonts w:ascii="楷体" w:hAnsi="楷体" w:eastAsia="楷体"/>
                <w:sz w:val="28"/>
                <w:szCs w:val="28"/>
              </w:rPr>
              <w:t>利用</w:t>
            </w:r>
            <w:r>
              <w:rPr>
                <w:rFonts w:hint="eastAsia" w:ascii="楷体" w:hAnsi="楷体" w:eastAsia="楷体"/>
                <w:sz w:val="28"/>
                <w:szCs w:val="28"/>
                <w:lang w:val="en-US" w:eastAsia="zh-CN"/>
              </w:rPr>
              <w:t>煤矸石和</w:t>
            </w:r>
            <w:r>
              <w:rPr>
                <w:rFonts w:ascii="楷体" w:hAnsi="楷体" w:eastAsia="楷体"/>
                <w:sz w:val="28"/>
                <w:szCs w:val="28"/>
              </w:rPr>
              <w:t>陶瓷固废生产环保透水砖、建筑外墙保温材料等节能环保产品</w:t>
            </w:r>
            <w:r>
              <w:rPr>
                <w:rFonts w:hint="eastAsia" w:ascii="楷体" w:hAnsi="楷体" w:eastAsia="楷体"/>
                <w:sz w:val="28"/>
                <w:szCs w:val="28"/>
              </w:rPr>
              <w:t>，</w:t>
            </w:r>
            <w:r>
              <w:rPr>
                <w:rFonts w:ascii="楷体" w:hAnsi="楷体" w:eastAsia="楷体"/>
                <w:sz w:val="28"/>
                <w:szCs w:val="28"/>
              </w:rPr>
              <w:t>利用煤矸石和粉煤灰发展新型墙体材料、泡沫混凝土等新应用，利用固废新技术发展活性炭、陶瓷纤维、高强耐磨材料、絮凝剂等高端产品</w:t>
            </w:r>
          </w:p>
        </w:tc>
      </w:tr>
      <w:tr w14:paraId="09A95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0" w:hRule="atLeast"/>
        </w:trPr>
        <w:tc>
          <w:tcPr>
            <w:tcW w:w="1436" w:type="dxa"/>
            <w:tcBorders>
              <w:top w:val="single" w:color="auto" w:sz="4" w:space="0"/>
              <w:bottom w:val="single" w:color="auto" w:sz="4" w:space="0"/>
            </w:tcBorders>
            <w:vAlign w:val="center"/>
          </w:tcPr>
          <w:p w14:paraId="1E8AAB12">
            <w:pPr>
              <w:spacing w:line="400" w:lineRule="exact"/>
              <w:ind w:firstLine="0" w:firstLineChars="0"/>
              <w:jc w:val="center"/>
              <w:rPr>
                <w:rFonts w:ascii="楷体" w:hAnsi="楷体" w:eastAsia="楷体"/>
                <w:sz w:val="28"/>
                <w:szCs w:val="28"/>
              </w:rPr>
            </w:pPr>
            <w:r>
              <w:rPr>
                <w:rFonts w:hint="eastAsia" w:ascii="楷体" w:hAnsi="楷体" w:eastAsia="楷体"/>
                <w:sz w:val="28"/>
                <w:szCs w:val="28"/>
              </w:rPr>
              <w:t>前沿</w:t>
            </w:r>
          </w:p>
          <w:p w14:paraId="4571F268">
            <w:pPr>
              <w:spacing w:line="400" w:lineRule="exact"/>
              <w:ind w:firstLine="0" w:firstLineChars="0"/>
              <w:jc w:val="center"/>
              <w:rPr>
                <w:rFonts w:ascii="楷体" w:hAnsi="楷体" w:eastAsia="楷体"/>
                <w:sz w:val="28"/>
                <w:szCs w:val="28"/>
              </w:rPr>
            </w:pPr>
            <w:r>
              <w:rPr>
                <w:rFonts w:hint="eastAsia" w:ascii="楷体" w:hAnsi="楷体" w:eastAsia="楷体"/>
                <w:sz w:val="28"/>
                <w:szCs w:val="28"/>
              </w:rPr>
              <w:t>新材料</w:t>
            </w:r>
          </w:p>
        </w:tc>
        <w:tc>
          <w:tcPr>
            <w:tcW w:w="6892" w:type="dxa"/>
            <w:tcBorders>
              <w:top w:val="single" w:color="auto" w:sz="4" w:space="0"/>
              <w:bottom w:val="single" w:color="auto" w:sz="4" w:space="0"/>
            </w:tcBorders>
            <w:vAlign w:val="center"/>
          </w:tcPr>
          <w:p w14:paraId="09ED35F4">
            <w:pPr>
              <w:spacing w:line="400" w:lineRule="exact"/>
              <w:ind w:firstLine="0" w:firstLineChars="0"/>
              <w:jc w:val="left"/>
              <w:rPr>
                <w:rFonts w:ascii="楷体" w:hAnsi="楷体" w:eastAsia="楷体"/>
                <w:sz w:val="28"/>
                <w:szCs w:val="28"/>
              </w:rPr>
            </w:pPr>
            <w:r>
              <w:rPr>
                <w:rFonts w:hint="eastAsia" w:ascii="楷体" w:hAnsi="楷体" w:eastAsia="楷体"/>
                <w:sz w:val="28"/>
                <w:szCs w:val="28"/>
              </w:rPr>
              <w:t>重点发展电子级多晶硅、超高纯锗晶片、砷化镓晶片、蓝宝石衬底片、OLED显示芯片为代表的硫系玻璃材料；大力引进锂离子电池正负极材料和隔膜材料、全固态锂离子电池、锌空气电池、铝空气电池、电动汽车充电桩电缆系统等储能电池材料领域关键技术与产品</w:t>
            </w:r>
          </w:p>
        </w:tc>
      </w:tr>
    </w:tbl>
    <w:p w14:paraId="6F59F5F1">
      <w:pPr>
        <w:pStyle w:val="4"/>
      </w:pP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38C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4" w:hRule="atLeast"/>
        </w:trPr>
        <w:tc>
          <w:tcPr>
            <w:tcW w:w="8522" w:type="dxa"/>
          </w:tcPr>
          <w:p w14:paraId="6DE9B536">
            <w:pPr>
              <w:spacing w:line="400" w:lineRule="exact"/>
              <w:ind w:firstLine="0" w:firstLineChars="0"/>
              <w:jc w:val="center"/>
              <w:rPr>
                <w:rFonts w:ascii="楷体" w:hAnsi="楷体" w:eastAsia="楷体"/>
                <w:sz w:val="28"/>
                <w:szCs w:val="28"/>
              </w:rPr>
            </w:pPr>
            <w:r>
              <w:rPr>
                <w:rFonts w:ascii="楷体" w:hAnsi="楷体" w:eastAsia="楷体"/>
                <w:sz w:val="28"/>
                <w:szCs w:val="28"/>
              </w:rPr>
              <w:t>专栏</w:t>
            </w:r>
            <w:r>
              <w:rPr>
                <w:rFonts w:hint="eastAsia" w:ascii="楷体" w:hAnsi="楷体" w:eastAsia="楷体"/>
                <w:sz w:val="28"/>
                <w:szCs w:val="28"/>
              </w:rPr>
              <w:t>4</w:t>
            </w:r>
            <w:r>
              <w:rPr>
                <w:rFonts w:ascii="楷体" w:hAnsi="楷体" w:eastAsia="楷体"/>
                <w:sz w:val="28"/>
                <w:szCs w:val="28"/>
              </w:rPr>
              <w:t xml:space="preserve"> 新材料重点项目</w:t>
            </w:r>
          </w:p>
          <w:p w14:paraId="682E48FE">
            <w:pPr>
              <w:pStyle w:val="31"/>
              <w:numPr>
                <w:ilvl w:val="0"/>
                <w:numId w:val="1"/>
              </w:numPr>
              <w:spacing w:line="400" w:lineRule="exact"/>
              <w:ind w:firstLineChars="0"/>
              <w:jc w:val="left"/>
              <w:rPr>
                <w:rFonts w:ascii="楷体" w:hAnsi="楷体" w:eastAsia="楷体"/>
                <w:sz w:val="28"/>
                <w:szCs w:val="28"/>
              </w:rPr>
            </w:pPr>
            <w:r>
              <w:rPr>
                <w:rFonts w:hint="eastAsia" w:ascii="楷体" w:hAnsi="楷体" w:eastAsia="楷体"/>
                <w:sz w:val="28"/>
                <w:szCs w:val="28"/>
              </w:rPr>
              <w:t>广东新材料产业园项目（汇子纳米瓷砖项目）</w:t>
            </w:r>
          </w:p>
          <w:p w14:paraId="26637237">
            <w:pPr>
              <w:spacing w:line="400" w:lineRule="exact"/>
              <w:ind w:firstLine="0" w:firstLineChars="0"/>
              <w:jc w:val="left"/>
              <w:rPr>
                <w:rFonts w:ascii="楷体" w:hAnsi="楷体" w:eastAsia="楷体"/>
                <w:sz w:val="28"/>
                <w:szCs w:val="28"/>
              </w:rPr>
            </w:pPr>
            <w:r>
              <w:rPr>
                <w:rFonts w:hint="eastAsia" w:ascii="楷体" w:hAnsi="楷体" w:eastAsia="楷体"/>
                <w:sz w:val="28"/>
                <w:szCs w:val="28"/>
              </w:rPr>
              <w:t>2.时代</w:t>
            </w:r>
            <w:r>
              <w:rPr>
                <w:rFonts w:ascii="楷体" w:hAnsi="楷体" w:eastAsia="楷体"/>
                <w:sz w:val="28"/>
                <w:szCs w:val="28"/>
              </w:rPr>
              <w:t>陶瓷、</w:t>
            </w:r>
            <w:r>
              <w:rPr>
                <w:rFonts w:hint="eastAsia" w:ascii="楷体" w:hAnsi="楷体" w:eastAsia="楷体"/>
                <w:sz w:val="28"/>
                <w:szCs w:val="28"/>
              </w:rPr>
              <w:t>龙飞</w:t>
            </w:r>
            <w:r>
              <w:rPr>
                <w:rFonts w:ascii="楷体" w:hAnsi="楷体" w:eastAsia="楷体"/>
                <w:sz w:val="28"/>
                <w:szCs w:val="28"/>
              </w:rPr>
              <w:t>陶瓷</w:t>
            </w:r>
            <w:r>
              <w:rPr>
                <w:rFonts w:hint="eastAsia" w:ascii="楷体" w:hAnsi="楷体" w:eastAsia="楷体"/>
                <w:sz w:val="28"/>
                <w:szCs w:val="28"/>
              </w:rPr>
              <w:t>等企业技术升级项目</w:t>
            </w:r>
          </w:p>
          <w:p w14:paraId="3BB95D2A">
            <w:pPr>
              <w:spacing w:line="400" w:lineRule="exact"/>
              <w:ind w:firstLine="0" w:firstLineChars="0"/>
              <w:jc w:val="left"/>
              <w:rPr>
                <w:rFonts w:ascii="楷体" w:hAnsi="楷体" w:eastAsia="楷体"/>
                <w:sz w:val="28"/>
                <w:szCs w:val="28"/>
              </w:rPr>
            </w:pPr>
            <w:r>
              <w:rPr>
                <w:rFonts w:ascii="楷体" w:hAnsi="楷体" w:eastAsia="楷体"/>
                <w:sz w:val="28"/>
                <w:szCs w:val="28"/>
              </w:rPr>
              <w:t>3.</w:t>
            </w:r>
            <w:r>
              <w:rPr>
                <w:rFonts w:hint="eastAsia" w:ascii="楷体" w:hAnsi="楷体" w:eastAsia="楷体"/>
                <w:sz w:val="28"/>
                <w:szCs w:val="28"/>
              </w:rPr>
              <w:t>清水砖项目。</w:t>
            </w:r>
          </w:p>
          <w:p w14:paraId="2346E203">
            <w:pPr>
              <w:spacing w:line="400" w:lineRule="exact"/>
              <w:ind w:firstLine="0" w:firstLineChars="0"/>
              <w:jc w:val="left"/>
              <w:rPr>
                <w:rFonts w:ascii="楷体" w:hAnsi="楷体" w:eastAsia="楷体"/>
                <w:sz w:val="28"/>
                <w:szCs w:val="28"/>
              </w:rPr>
            </w:pPr>
            <w:r>
              <w:rPr>
                <w:rFonts w:hint="eastAsia" w:ascii="楷体" w:hAnsi="楷体" w:eastAsia="楷体"/>
                <w:sz w:val="28"/>
                <w:szCs w:val="28"/>
              </w:rPr>
              <w:t>4</w:t>
            </w:r>
            <w:r>
              <w:rPr>
                <w:rFonts w:ascii="楷体" w:hAnsi="楷体" w:eastAsia="楷体"/>
                <w:sz w:val="28"/>
                <w:szCs w:val="28"/>
              </w:rPr>
              <w:t>.</w:t>
            </w:r>
            <w:r>
              <w:rPr>
                <w:rFonts w:hint="eastAsia" w:ascii="楷体" w:hAnsi="楷体" w:eastAsia="楷体"/>
                <w:sz w:val="28"/>
                <w:szCs w:val="28"/>
              </w:rPr>
              <w:t>阳明岩板项目。</w:t>
            </w:r>
          </w:p>
          <w:p w14:paraId="684F85E5">
            <w:pPr>
              <w:spacing w:line="400" w:lineRule="exact"/>
              <w:ind w:firstLine="0" w:firstLineChars="0"/>
              <w:jc w:val="left"/>
              <w:rPr>
                <w:rFonts w:ascii="楷体" w:hAnsi="楷体" w:eastAsia="楷体"/>
                <w:sz w:val="28"/>
                <w:szCs w:val="28"/>
              </w:rPr>
            </w:pPr>
            <w:r>
              <w:rPr>
                <w:rFonts w:hint="eastAsia" w:ascii="楷体" w:hAnsi="楷体" w:eastAsia="楷体"/>
                <w:sz w:val="28"/>
                <w:szCs w:val="28"/>
              </w:rPr>
              <w:t>5.</w:t>
            </w:r>
            <w:r>
              <w:rPr>
                <w:rFonts w:ascii="楷体" w:hAnsi="楷体" w:eastAsia="楷体"/>
                <w:sz w:val="28"/>
                <w:szCs w:val="28"/>
              </w:rPr>
              <w:t>琉璃特色产业园区</w:t>
            </w:r>
            <w:r>
              <w:rPr>
                <w:rFonts w:hint="eastAsia" w:ascii="楷体" w:hAnsi="楷体" w:eastAsia="楷体"/>
                <w:sz w:val="28"/>
                <w:szCs w:val="28"/>
              </w:rPr>
              <w:t>项目。</w:t>
            </w:r>
          </w:p>
          <w:p w14:paraId="28019663">
            <w:pPr>
              <w:spacing w:line="400" w:lineRule="exact"/>
              <w:ind w:firstLine="0" w:firstLineChars="0"/>
              <w:jc w:val="left"/>
              <w:rPr>
                <w:rFonts w:ascii="楷体" w:hAnsi="楷体" w:eastAsia="楷体"/>
                <w:sz w:val="28"/>
                <w:szCs w:val="28"/>
              </w:rPr>
            </w:pPr>
            <w:r>
              <w:rPr>
                <w:rFonts w:ascii="楷体" w:hAnsi="楷体" w:eastAsia="楷体"/>
                <w:sz w:val="28"/>
                <w:szCs w:val="28"/>
              </w:rPr>
              <w:t>6</w:t>
            </w:r>
            <w:r>
              <w:rPr>
                <w:rFonts w:hint="eastAsia" w:ascii="楷体" w:hAnsi="楷体" w:eastAsia="楷体"/>
                <w:sz w:val="28"/>
                <w:szCs w:val="28"/>
              </w:rPr>
              <w:t>.乔氏</w:t>
            </w:r>
            <w:r>
              <w:rPr>
                <w:rFonts w:ascii="楷体" w:hAnsi="楷体" w:eastAsia="楷体"/>
                <w:sz w:val="28"/>
                <w:szCs w:val="28"/>
              </w:rPr>
              <w:t>琉璃</w:t>
            </w:r>
            <w:r>
              <w:rPr>
                <w:rFonts w:hint="eastAsia" w:ascii="楷体" w:hAnsi="楷体" w:eastAsia="楷体"/>
                <w:sz w:val="28"/>
                <w:szCs w:val="28"/>
              </w:rPr>
              <w:t>项目。</w:t>
            </w:r>
          </w:p>
          <w:p w14:paraId="2FA3EBFA">
            <w:pPr>
              <w:spacing w:line="400" w:lineRule="exact"/>
              <w:ind w:firstLine="0" w:firstLineChars="0"/>
              <w:jc w:val="left"/>
              <w:rPr>
                <w:rFonts w:ascii="楷体" w:hAnsi="楷体" w:eastAsia="楷体"/>
                <w:sz w:val="28"/>
                <w:szCs w:val="28"/>
              </w:rPr>
            </w:pPr>
            <w:r>
              <w:rPr>
                <w:rFonts w:ascii="楷体" w:hAnsi="楷体" w:eastAsia="楷体"/>
                <w:sz w:val="28"/>
                <w:szCs w:val="28"/>
              </w:rPr>
              <w:t>7</w:t>
            </w:r>
            <w:r>
              <w:rPr>
                <w:rFonts w:hint="eastAsia" w:ascii="楷体" w:hAnsi="楷体" w:eastAsia="楷体"/>
                <w:sz w:val="28"/>
                <w:szCs w:val="28"/>
              </w:rPr>
              <w:t>.</w:t>
            </w:r>
            <w:r>
              <w:rPr>
                <w:rFonts w:hint="eastAsia" w:ascii="楷体" w:hAnsi="楷体" w:eastAsia="楷体"/>
                <w:sz w:val="28"/>
                <w:szCs w:val="28"/>
                <w:lang w:val="en-US" w:eastAsia="zh-CN"/>
              </w:rPr>
              <w:t>煤矸石、</w:t>
            </w:r>
            <w:r>
              <w:rPr>
                <w:rFonts w:ascii="楷体" w:hAnsi="楷体" w:eastAsia="楷体"/>
                <w:sz w:val="28"/>
                <w:szCs w:val="28"/>
              </w:rPr>
              <w:t>陶瓷固废</w:t>
            </w:r>
            <w:r>
              <w:rPr>
                <w:rFonts w:hint="eastAsia" w:ascii="楷体" w:hAnsi="楷体" w:eastAsia="楷体"/>
                <w:sz w:val="28"/>
                <w:szCs w:val="28"/>
                <w:lang w:val="en-US" w:eastAsia="zh-CN"/>
              </w:rPr>
              <w:t>综合</w:t>
            </w:r>
            <w:r>
              <w:rPr>
                <w:rFonts w:ascii="楷体" w:hAnsi="楷体" w:eastAsia="楷体"/>
                <w:sz w:val="28"/>
                <w:szCs w:val="28"/>
              </w:rPr>
              <w:t>利用</w:t>
            </w:r>
            <w:r>
              <w:rPr>
                <w:rFonts w:hint="eastAsia" w:ascii="楷体" w:hAnsi="楷体" w:eastAsia="楷体"/>
                <w:sz w:val="28"/>
                <w:szCs w:val="28"/>
              </w:rPr>
              <w:t>项目。</w:t>
            </w:r>
          </w:p>
          <w:p w14:paraId="43B02E3D">
            <w:pPr>
              <w:spacing w:line="400" w:lineRule="exact"/>
              <w:ind w:firstLine="0" w:firstLineChars="0"/>
              <w:jc w:val="left"/>
            </w:pPr>
            <w:r>
              <w:rPr>
                <w:rFonts w:ascii="楷体" w:hAnsi="楷体" w:eastAsia="楷体"/>
                <w:sz w:val="28"/>
                <w:szCs w:val="28"/>
              </w:rPr>
              <w:t>8</w:t>
            </w:r>
            <w:r>
              <w:rPr>
                <w:rFonts w:hint="eastAsia" w:ascii="楷体" w:hAnsi="楷体" w:eastAsia="楷体"/>
                <w:sz w:val="28"/>
                <w:szCs w:val="28"/>
              </w:rPr>
              <w:t>.绿洲麻纤维项目。</w:t>
            </w:r>
          </w:p>
        </w:tc>
      </w:tr>
    </w:tbl>
    <w:p w14:paraId="4B10EE71">
      <w:pPr>
        <w:pStyle w:val="4"/>
        <w:rPr>
          <w:rFonts w:ascii="黑体" w:hAnsi="黑体" w:eastAsia="黑体"/>
        </w:rPr>
      </w:pPr>
      <w:bookmarkStart w:id="50" w:name="_Toc12722"/>
      <w:r>
        <w:rPr>
          <w:rFonts w:hint="eastAsia" w:ascii="黑体" w:hAnsi="黑体" w:eastAsia="黑体"/>
        </w:rPr>
        <w:t>第二节  发展壮大精细化工</w:t>
      </w:r>
      <w:r>
        <w:rPr>
          <w:rFonts w:ascii="黑体" w:hAnsi="黑体" w:eastAsia="黑体"/>
        </w:rPr>
        <w:t>产业</w:t>
      </w:r>
      <w:bookmarkEnd w:id="50"/>
    </w:p>
    <w:p w14:paraId="652AFB6D">
      <w:pPr>
        <w:ind w:firstLine="640"/>
      </w:pPr>
      <w:r>
        <w:rPr>
          <w:rFonts w:hint="eastAsia"/>
        </w:rPr>
        <w:t>依托阳城丰富的煤层气资源及现有产业优势，重点发展新型精细化工、医药化工(硫化物医药中间体)产业。大力引进一批煤层气下游精细化工生产项目，打造煤层气精深高效转化利用的产业生态圈和集聚载体和资源消耗低、环境污染少、经济效益好的新型绿色、生态、安全新型精细化工2.0特色产业示范区。</w:t>
      </w:r>
    </w:p>
    <w:p w14:paraId="0F1DB37A">
      <w:pPr>
        <w:ind w:firstLine="643"/>
        <w:rPr>
          <w:b/>
          <w:bCs/>
        </w:rPr>
      </w:pPr>
      <w:r>
        <w:rPr>
          <w:b/>
          <w:bCs/>
        </w:rPr>
        <w:t>做精做深现代煤层气化工产业。</w:t>
      </w:r>
      <w:r>
        <w:t>着眼于“延链、建链、强链、补链”，大力开展招商引资，加快推进新型精细化工行业领军企业落户园区，着力引进一批煤层气下游精细化工生产项目，全力将台头化工园区打造成为煤层气精深高效转化利用的产业生态圈和集聚载体，</w:t>
      </w:r>
      <w:r>
        <w:rPr>
          <w:rFonts w:hint="eastAsia" w:hAnsi="宋体" w:cs="宋体"/>
        </w:rPr>
        <w:t>依托铁峰化工和鑫途化工两个年产5万吨二硫化碳项目，大力发展下游精细化工产业，打造年产20万吨蛋氨酸项目和全国最大的硫化物医药中间体生产基地。</w:t>
      </w:r>
      <w:r>
        <w:t>推动煤层气从燃料到原料、材料、产品的华丽转身。</w:t>
      </w:r>
    </w:p>
    <w:p w14:paraId="3997D8DB">
      <w:pPr>
        <w:ind w:firstLine="643"/>
      </w:pPr>
      <w:r>
        <w:rPr>
          <w:rFonts w:hint="eastAsia"/>
          <w:b/>
          <w:bCs/>
        </w:rPr>
        <w:t>发展</w:t>
      </w:r>
      <w:r>
        <w:rPr>
          <w:b/>
          <w:bCs/>
        </w:rPr>
        <w:t>含硫化物医药原料药及中间体</w:t>
      </w:r>
      <w:r>
        <w:rPr>
          <w:rFonts w:hint="eastAsia"/>
          <w:b/>
          <w:bCs/>
        </w:rPr>
        <w:t>生产。</w:t>
      </w:r>
      <w:r>
        <w:rPr>
          <w:rFonts w:hint="eastAsia" w:ascii="Times New Roman" w:hAnsi="Times New Roman"/>
          <w:kern w:val="0"/>
        </w:rPr>
        <w:t>打造特色医药产业园。围绕涉及含硫医药原料药及其中间体的合成，包括奥美拉唑，半托拉唑、恩杂鲁胺、叔丁基亚磺酰胺、叔丁基噻二唑等等，建设含硫化合物医药中间体产业园。</w:t>
      </w:r>
      <w:r>
        <w:t>发挥演礼产业园优势，大力发展专利仿制药，加快新型生物医药研发，为阳城县大健康产业发展提供有力支撑。</w:t>
      </w:r>
    </w:p>
    <w:p w14:paraId="713CF08A">
      <w:pPr>
        <w:ind w:firstLine="643"/>
      </w:pPr>
      <w:r>
        <w:rPr>
          <w:b/>
          <w:bCs/>
        </w:rPr>
        <w:t>开展氢能</w:t>
      </w:r>
      <w:r>
        <w:rPr>
          <w:rFonts w:hint="eastAsia"/>
          <w:b/>
          <w:bCs/>
        </w:rPr>
        <w:t>+化工</w:t>
      </w:r>
      <w:r>
        <w:rPr>
          <w:b/>
          <w:bCs/>
        </w:rPr>
        <w:t>应用。</w:t>
      </w:r>
      <w:r>
        <w:rPr>
          <w:rFonts w:hint="eastAsia"/>
        </w:rPr>
        <w:t>发挥煤层气资源优势，按照煤层气</w:t>
      </w:r>
      <w:r>
        <w:t>—</w:t>
      </w:r>
      <w:r>
        <w:rPr>
          <w:rFonts w:hint="eastAsia"/>
        </w:rPr>
        <w:t>甲醇、氢能</w:t>
      </w:r>
      <w:r>
        <w:t>—</w:t>
      </w:r>
      <w:r>
        <w:rPr>
          <w:rFonts w:hint="eastAsia"/>
        </w:rPr>
        <w:t>化工应用的路径，</w:t>
      </w:r>
      <w:r>
        <w:t>积极推动氢能源</w:t>
      </w:r>
      <w:r>
        <w:rPr>
          <w:rFonts w:hint="eastAsia"/>
        </w:rPr>
        <w:t>制备、</w:t>
      </w:r>
      <w:r>
        <w:t>储能</w:t>
      </w:r>
      <w:r>
        <w:rPr>
          <w:rFonts w:hint="eastAsia"/>
        </w:rPr>
        <w:t>和</w:t>
      </w:r>
      <w:r>
        <w:t>生产，推进加氢站和公交、重载卡车</w:t>
      </w:r>
      <w:r>
        <w:rPr>
          <w:rFonts w:hint="eastAsia"/>
        </w:rPr>
        <w:t>和氢能在化工产业综合</w:t>
      </w:r>
      <w:r>
        <w:t>应用。</w:t>
      </w:r>
    </w:p>
    <w:p w14:paraId="0BD633B3">
      <w:pPr>
        <w:ind w:left="640" w:firstLine="0" w:firstLineChars="0"/>
      </w:pPr>
    </w:p>
    <w:p w14:paraId="1428D4F4">
      <w:pPr>
        <w:pStyle w:val="4"/>
        <w:rPr>
          <w:rFonts w:ascii="黑体" w:hAnsi="黑体" w:eastAsia="黑体"/>
        </w:rPr>
      </w:pPr>
      <w:bookmarkStart w:id="51" w:name="_Toc29208"/>
      <w:r>
        <w:rPr>
          <w:rFonts w:hint="eastAsia" w:ascii="黑体" w:hAnsi="黑体" w:eastAsia="黑体"/>
        </w:rPr>
        <w:t xml:space="preserve">第三节  </w:t>
      </w:r>
      <w:r>
        <w:rPr>
          <w:rFonts w:hint="eastAsia" w:ascii="黑体" w:hAnsi="黑体" w:eastAsia="黑体"/>
          <w:lang w:val="en-US" w:eastAsia="zh-CN"/>
        </w:rPr>
        <w:t>加快</w:t>
      </w:r>
      <w:r>
        <w:rPr>
          <w:rFonts w:hint="eastAsia" w:ascii="黑体" w:hAnsi="黑体" w:eastAsia="黑体"/>
        </w:rPr>
        <w:t>发展</w:t>
      </w:r>
      <w:r>
        <w:rPr>
          <w:rFonts w:ascii="黑体" w:hAnsi="黑体" w:eastAsia="黑体"/>
        </w:rPr>
        <w:t>新能源产业</w:t>
      </w:r>
      <w:bookmarkEnd w:id="51"/>
    </w:p>
    <w:p w14:paraId="5BCAA3D9">
      <w:pPr>
        <w:ind w:firstLine="640"/>
        <w:rPr>
          <w:rFonts w:ascii="Times New Roman" w:hAnsi="Times New Roman"/>
          <w:kern w:val="0"/>
        </w:rPr>
      </w:pPr>
      <w:r>
        <w:rPr>
          <w:rFonts w:hint="eastAsia" w:ascii="Times New Roman" w:hAnsi="Times New Roman"/>
          <w:kern w:val="0"/>
        </w:rPr>
        <w:t>统筹煤炭、煤层气资源综合开发，有序布局其他新能源，形成煤基新能源科技研发、煤层气设综合应用为核心的产业集群，在新能源上增功能。积极引进</w:t>
      </w:r>
      <w:r>
        <w:rPr>
          <w:rFonts w:ascii="Times New Roman" w:hAnsi="Times New Roman"/>
          <w:kern w:val="0"/>
        </w:rPr>
        <w:t>以智能矿山、绿色电力、煤层气和</w:t>
      </w:r>
      <w:r>
        <w:rPr>
          <w:rFonts w:hint="eastAsia" w:ascii="Times New Roman" w:hAnsi="Times New Roman"/>
          <w:kern w:val="0"/>
        </w:rPr>
        <w:t>光伏</w:t>
      </w:r>
      <w:r>
        <w:rPr>
          <w:rFonts w:ascii="Times New Roman" w:hAnsi="Times New Roman"/>
          <w:kern w:val="0"/>
        </w:rPr>
        <w:t>为骨架的新型绿色能源产业，推动资源优势真正转化为竞争优势和发展优势。</w:t>
      </w:r>
    </w:p>
    <w:p w14:paraId="5009782C">
      <w:pPr>
        <w:ind w:firstLine="643"/>
        <w:rPr>
          <w:rFonts w:ascii="Times New Roman" w:hAnsi="Times New Roman"/>
          <w:kern w:val="0"/>
        </w:rPr>
      </w:pPr>
      <w:r>
        <w:rPr>
          <w:rFonts w:hint="eastAsia" w:ascii="Times New Roman" w:hAnsi="Times New Roman"/>
          <w:b/>
          <w:bCs/>
          <w:kern w:val="0"/>
        </w:rPr>
        <w:t>重点</w:t>
      </w:r>
      <w:r>
        <w:rPr>
          <w:rFonts w:ascii="Times New Roman" w:hAnsi="Times New Roman"/>
          <w:b/>
          <w:bCs/>
          <w:kern w:val="0"/>
        </w:rPr>
        <w:t>布局煤层气</w:t>
      </w:r>
      <w:r>
        <w:rPr>
          <w:rFonts w:hint="eastAsia" w:ascii="Times New Roman" w:hAnsi="Times New Roman"/>
          <w:b/>
          <w:bCs/>
          <w:kern w:val="0"/>
        </w:rPr>
        <w:t>应用</w:t>
      </w:r>
      <w:r>
        <w:rPr>
          <w:rFonts w:ascii="Times New Roman" w:hAnsi="Times New Roman"/>
          <w:b/>
          <w:bCs/>
          <w:kern w:val="0"/>
        </w:rPr>
        <w:t>产业</w:t>
      </w:r>
      <w:r>
        <w:rPr>
          <w:rFonts w:hint="eastAsia" w:ascii="Times New Roman" w:hAnsi="Times New Roman"/>
          <w:b/>
          <w:bCs/>
          <w:kern w:val="0"/>
        </w:rPr>
        <w:t>。</w:t>
      </w:r>
      <w:r>
        <w:t>加强煤层气抽采和煤炭</w:t>
      </w:r>
      <w:r>
        <w:rPr>
          <w:rFonts w:hint="eastAsia"/>
        </w:rPr>
        <w:t>应用</w:t>
      </w:r>
      <w:r>
        <w:t>联动，加强煤层气关键技术攻关运用，建设“互联互通、外联内畅”的输气管道“一张网”。</w:t>
      </w:r>
      <w:r>
        <w:rPr>
          <w:rFonts w:hint="eastAsia" w:ascii="Times New Roman" w:hAnsi="Times New Roman"/>
          <w:kern w:val="0"/>
        </w:rPr>
        <w:t>引进</w:t>
      </w:r>
      <w:r>
        <w:rPr>
          <w:rFonts w:ascii="Times New Roman" w:hAnsi="Times New Roman"/>
          <w:kern w:val="0"/>
        </w:rPr>
        <w:t>煤层气</w:t>
      </w:r>
      <w:r>
        <w:rPr>
          <w:rFonts w:hint="eastAsia" w:ascii="Times New Roman" w:hAnsi="Times New Roman"/>
          <w:kern w:val="0"/>
        </w:rPr>
        <w:t>勘探、存储、运输等行业龙头企业，煤层气下游精细化工应用等产业，</w:t>
      </w:r>
      <w:r>
        <w:t>全力将台头化工园区打造成为煤层气精深高效转化利用的产业生态圈和集聚载体，推动煤层气从燃料到原料、材料、产品的华丽转身</w:t>
      </w:r>
      <w:r>
        <w:rPr>
          <w:rFonts w:hint="eastAsia"/>
        </w:rPr>
        <w:t>，在演礼产业园实施低浓度瓦斯发电项目</w:t>
      </w:r>
      <w:r>
        <w:t>。力争到2025年，煤层气</w:t>
      </w:r>
      <w:r>
        <w:rPr>
          <w:rFonts w:hint="eastAsia"/>
        </w:rPr>
        <w:t>综合利用</w:t>
      </w:r>
      <w:r>
        <w:t>产业总产值突破</w:t>
      </w:r>
      <w:r>
        <w:rPr>
          <w:rFonts w:hint="eastAsia"/>
        </w:rPr>
        <w:t>1</w:t>
      </w:r>
      <w:r>
        <w:t>00亿元</w:t>
      </w:r>
      <w:r>
        <w:rPr>
          <w:rFonts w:hint="eastAsia" w:ascii="Times New Roman" w:hAnsi="Times New Roman"/>
          <w:kern w:val="0"/>
        </w:rPr>
        <w:t>。</w:t>
      </w:r>
    </w:p>
    <w:p w14:paraId="33DB9CDC">
      <w:pPr>
        <w:ind w:firstLine="643"/>
      </w:pPr>
      <w:r>
        <w:rPr>
          <w:b/>
          <w:bCs/>
        </w:rPr>
        <w:t>推动光伏发电有序开发。</w:t>
      </w:r>
      <w:r>
        <w:t>持续扩大光伏产业产能，大力发展光伏组件，重点发展晶硅和薄膜为主的太阳能电池材料和铜铟镓硒、铜铟硫、碲化镉等新型薄膜光伏材料，推广碲化镉薄膜电池的应用新场景，开发功率型和容量型新能源关键材料，大力提高光伏组件生产线设备、全部配套附属工程的建设水平，推进高能效、低成本光伏材料产业化。鼓励利用闲置的荒山荒坡和综合开发的土地资源布局集中式光伏发电项目，鼓励工业企业、大型公建和城市、农村屋顶安装建设分布式光伏发电项目。</w:t>
      </w:r>
    </w:p>
    <w:p w14:paraId="222796A0">
      <w:pPr>
        <w:ind w:firstLine="640"/>
        <w:rPr>
          <w:rFonts w:ascii="Times New Roman" w:hAnsi="Times New Roman"/>
          <w:kern w:val="0"/>
        </w:rPr>
      </w:pPr>
      <w:r>
        <w:rPr>
          <w:rFonts w:hint="eastAsia" w:ascii="Times New Roman" w:hAnsi="Times New Roman"/>
          <w:kern w:val="0"/>
        </w:rPr>
        <w:t>面向国内京津冀、长三角、粤港澳大湾区和华中四大区域引进一批新能源项目。</w:t>
      </w:r>
    </w:p>
    <w:p w14:paraId="57BC9165">
      <w:pPr>
        <w:ind w:firstLine="560"/>
        <w:jc w:val="center"/>
        <w:rPr>
          <w:rFonts w:ascii="宋体" w:hAnsi="宋体" w:eastAsia="楷体"/>
          <w:sz w:val="28"/>
          <w:szCs w:val="28"/>
        </w:rPr>
      </w:pPr>
      <w:r>
        <w:rPr>
          <w:rFonts w:hint="eastAsia" w:ascii="宋体" w:hAnsi="宋体" w:eastAsia="楷体"/>
          <w:sz w:val="28"/>
          <w:szCs w:val="28"/>
        </w:rPr>
        <w:t>图表2新能源产业引进区域导向</w:t>
      </w:r>
    </w:p>
    <w:tbl>
      <w:tblPr>
        <w:tblStyle w:val="18"/>
        <w:tblpPr w:leftFromText="180" w:rightFromText="180" w:vertAnchor="text" w:horzAnchor="margin" w:tblpY="14"/>
        <w:tblW w:w="84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7"/>
        <w:gridCol w:w="6636"/>
      </w:tblGrid>
      <w:tr w14:paraId="085A6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1837" w:type="dxa"/>
            <w:shd w:val="clear" w:color="auto" w:fill="4F78BF"/>
            <w:vAlign w:val="center"/>
          </w:tcPr>
          <w:p w14:paraId="1BD8AC12">
            <w:pPr>
              <w:spacing w:line="440" w:lineRule="exact"/>
              <w:ind w:firstLine="0" w:firstLineChars="0"/>
              <w:rPr>
                <w:rFonts w:ascii="黑体" w:hAnsi="黑体" w:eastAsia="黑体"/>
                <w:color w:val="FFFFFF"/>
                <w:sz w:val="28"/>
                <w:szCs w:val="28"/>
              </w:rPr>
            </w:pPr>
            <w:r>
              <w:rPr>
                <w:rFonts w:hint="eastAsia" w:ascii="黑体" w:hAnsi="黑体" w:eastAsia="黑体"/>
                <w:color w:val="FFFFFF"/>
                <w:sz w:val="28"/>
                <w:szCs w:val="28"/>
              </w:rPr>
              <w:t>新能源产业</w:t>
            </w:r>
          </w:p>
        </w:tc>
        <w:tc>
          <w:tcPr>
            <w:tcW w:w="6636" w:type="dxa"/>
            <w:shd w:val="clear" w:color="auto" w:fill="4F78BF"/>
            <w:vAlign w:val="center"/>
          </w:tcPr>
          <w:p w14:paraId="3919FC68">
            <w:pPr>
              <w:spacing w:line="440" w:lineRule="exact"/>
              <w:ind w:firstLine="560"/>
              <w:jc w:val="center"/>
              <w:rPr>
                <w:rFonts w:ascii="黑体" w:hAnsi="黑体" w:eastAsia="黑体"/>
                <w:color w:val="FFFFFF"/>
                <w:sz w:val="28"/>
                <w:szCs w:val="28"/>
              </w:rPr>
            </w:pPr>
            <w:r>
              <w:rPr>
                <w:rFonts w:hint="eastAsia" w:ascii="黑体" w:hAnsi="黑体" w:eastAsia="黑体"/>
                <w:color w:val="FFFFFF"/>
                <w:sz w:val="28"/>
                <w:szCs w:val="28"/>
              </w:rPr>
              <w:t>重点引进产业方向</w:t>
            </w:r>
          </w:p>
        </w:tc>
      </w:tr>
      <w:tr w14:paraId="52389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6" w:hRule="atLeast"/>
        </w:trPr>
        <w:tc>
          <w:tcPr>
            <w:tcW w:w="1837" w:type="dxa"/>
            <w:vAlign w:val="center"/>
          </w:tcPr>
          <w:p w14:paraId="0BD77B16">
            <w:pPr>
              <w:spacing w:line="400" w:lineRule="exact"/>
              <w:ind w:firstLine="0" w:firstLineChars="0"/>
              <w:rPr>
                <w:rFonts w:hAnsi="仿宋"/>
                <w:sz w:val="28"/>
                <w:szCs w:val="28"/>
              </w:rPr>
            </w:pPr>
            <w:r>
              <w:rPr>
                <w:rFonts w:hAnsi="仿宋"/>
                <w:sz w:val="28"/>
                <w:szCs w:val="28"/>
              </w:rPr>
              <w:t>煤层气产业</w:t>
            </w:r>
          </w:p>
        </w:tc>
        <w:tc>
          <w:tcPr>
            <w:tcW w:w="6636" w:type="dxa"/>
            <w:vAlign w:val="center"/>
          </w:tcPr>
          <w:p w14:paraId="2F52B357">
            <w:pPr>
              <w:spacing w:line="400" w:lineRule="exact"/>
              <w:ind w:firstLine="0" w:firstLineChars="0"/>
              <w:jc w:val="left"/>
              <w:rPr>
                <w:rFonts w:hAnsi="仿宋"/>
                <w:sz w:val="28"/>
                <w:szCs w:val="28"/>
              </w:rPr>
            </w:pPr>
            <w:r>
              <w:rPr>
                <w:rFonts w:hAnsi="仿宋"/>
                <w:sz w:val="28"/>
                <w:szCs w:val="28"/>
              </w:rPr>
              <w:t>煤层气勘探</w:t>
            </w:r>
            <w:r>
              <w:rPr>
                <w:rFonts w:hint="eastAsia" w:hAnsi="仿宋"/>
                <w:sz w:val="28"/>
                <w:szCs w:val="28"/>
              </w:rPr>
              <w:t>、储运和综合利用产业，特别是煤层气下游如煤层气化工等利用产业</w:t>
            </w:r>
          </w:p>
        </w:tc>
      </w:tr>
      <w:tr w14:paraId="69137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7" w:type="dxa"/>
            <w:tcBorders>
              <w:top w:val="single" w:color="auto" w:sz="4" w:space="0"/>
              <w:bottom w:val="single" w:color="auto" w:sz="4" w:space="0"/>
            </w:tcBorders>
            <w:vAlign w:val="center"/>
          </w:tcPr>
          <w:p w14:paraId="5700D4F2">
            <w:pPr>
              <w:spacing w:line="400" w:lineRule="exact"/>
              <w:ind w:firstLine="0" w:firstLineChars="0"/>
              <w:rPr>
                <w:rFonts w:hAnsi="仿宋"/>
                <w:sz w:val="28"/>
                <w:szCs w:val="28"/>
              </w:rPr>
            </w:pPr>
            <w:r>
              <w:rPr>
                <w:rFonts w:hint="eastAsia" w:hAnsi="仿宋"/>
                <w:sz w:val="28"/>
                <w:szCs w:val="28"/>
              </w:rPr>
              <w:t>光伏产业</w:t>
            </w:r>
          </w:p>
        </w:tc>
        <w:tc>
          <w:tcPr>
            <w:tcW w:w="6636" w:type="dxa"/>
            <w:tcBorders>
              <w:top w:val="single" w:color="auto" w:sz="4" w:space="0"/>
              <w:bottom w:val="single" w:color="auto" w:sz="4" w:space="0"/>
            </w:tcBorders>
            <w:vAlign w:val="center"/>
          </w:tcPr>
          <w:p w14:paraId="3BFB5E18">
            <w:pPr>
              <w:pStyle w:val="16"/>
              <w:shd w:val="clear" w:color="auto" w:fill="FFFFFF"/>
              <w:ind w:firstLine="0" w:firstLineChars="0"/>
              <w:rPr>
                <w:rFonts w:hAnsi="仿宋"/>
                <w:sz w:val="28"/>
                <w:szCs w:val="28"/>
              </w:rPr>
            </w:pPr>
            <w:r>
              <w:rPr>
                <w:rFonts w:hint="eastAsia" w:ascii="仿宋" w:hAnsi="仿宋" w:eastAsia="仿宋" w:cs="仿宋_GB2312"/>
                <w:bCs/>
                <w:color w:val="000000"/>
                <w:kern w:val="2"/>
                <w:sz w:val="28"/>
                <w:szCs w:val="28"/>
              </w:rPr>
              <w:t>高效率高晶硅电池，研发示范推进碲化镉、铜铟镓硒和染料敏化等新型薄膜电池发展，积极开发高倍聚光组件；积极引进掌握核心智能技术、微网技术、优化聚光反射镜技术的企业</w:t>
            </w:r>
          </w:p>
        </w:tc>
      </w:tr>
      <w:tr w14:paraId="311C5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1837" w:type="dxa"/>
            <w:tcBorders>
              <w:top w:val="single" w:color="auto" w:sz="4" w:space="0"/>
              <w:bottom w:val="single" w:color="auto" w:sz="4" w:space="0"/>
            </w:tcBorders>
            <w:vAlign w:val="center"/>
          </w:tcPr>
          <w:p w14:paraId="537033E0">
            <w:pPr>
              <w:spacing w:line="400" w:lineRule="exact"/>
              <w:ind w:firstLine="0" w:firstLineChars="0"/>
              <w:rPr>
                <w:rFonts w:hAnsi="仿宋"/>
                <w:sz w:val="28"/>
                <w:szCs w:val="28"/>
              </w:rPr>
            </w:pPr>
            <w:r>
              <w:rPr>
                <w:rFonts w:hint="eastAsia" w:hAnsi="仿宋"/>
                <w:sz w:val="28"/>
                <w:szCs w:val="28"/>
              </w:rPr>
              <w:t>生物质能源</w:t>
            </w:r>
          </w:p>
        </w:tc>
        <w:tc>
          <w:tcPr>
            <w:tcW w:w="6636" w:type="dxa"/>
            <w:tcBorders>
              <w:top w:val="single" w:color="auto" w:sz="4" w:space="0"/>
              <w:bottom w:val="single" w:color="auto" w:sz="4" w:space="0"/>
            </w:tcBorders>
            <w:vAlign w:val="center"/>
          </w:tcPr>
          <w:p w14:paraId="50409AE5">
            <w:pPr>
              <w:pStyle w:val="16"/>
              <w:shd w:val="clear" w:color="auto" w:fill="FFFFFF"/>
              <w:ind w:firstLine="0" w:firstLineChars="0"/>
              <w:rPr>
                <w:rFonts w:ascii="仿宋" w:hAnsi="仿宋" w:eastAsia="仿宋" w:cs="仿宋_GB2312"/>
                <w:bCs/>
                <w:color w:val="000000"/>
                <w:kern w:val="2"/>
                <w:sz w:val="28"/>
                <w:szCs w:val="28"/>
              </w:rPr>
            </w:pPr>
            <w:r>
              <w:rPr>
                <w:rFonts w:ascii="仿宋_GB2312" w:hAnsi="仿宋" w:cs="仿宋_GB2312"/>
                <w:kern w:val="2"/>
                <w:sz w:val="28"/>
                <w:szCs w:val="28"/>
              </w:rPr>
              <w:t>开发以非粮作物、能源植物、动物脂肪、藻类等为燃料生产乙醇和生物柴油</w:t>
            </w:r>
          </w:p>
        </w:tc>
      </w:tr>
    </w:tbl>
    <w:p w14:paraId="53B36377">
      <w:pPr>
        <w:ind w:firstLine="560"/>
        <w:jc w:val="center"/>
        <w:rPr>
          <w:rFonts w:ascii="宋体" w:hAnsi="宋体" w:eastAsia="楷体"/>
          <w:sz w:val="28"/>
          <w:szCs w:val="28"/>
        </w:rPr>
      </w:pPr>
    </w:p>
    <w:p w14:paraId="7140FE27">
      <w:pPr>
        <w:pStyle w:val="4"/>
        <w:rPr>
          <w:rFonts w:ascii="黑体" w:hAnsi="黑体" w:eastAsia="黑体"/>
          <w:b/>
        </w:rPr>
      </w:pPr>
      <w:bookmarkStart w:id="52" w:name="_Toc597"/>
      <w:r>
        <w:rPr>
          <w:rFonts w:hint="eastAsia" w:ascii="黑体" w:hAnsi="黑体" w:eastAsia="黑体"/>
          <w:b/>
        </w:rPr>
        <w:t xml:space="preserve">第四节  </w:t>
      </w:r>
      <w:r>
        <w:rPr>
          <w:rFonts w:hint="eastAsia" w:ascii="黑体" w:hAnsi="黑体" w:eastAsia="黑体"/>
          <w:b/>
          <w:lang w:val="en-US" w:eastAsia="zh-CN"/>
        </w:rPr>
        <w:t>大力</w:t>
      </w:r>
      <w:r>
        <w:rPr>
          <w:rFonts w:hint="eastAsia" w:ascii="黑体" w:hAnsi="黑体" w:eastAsia="黑体"/>
          <w:b/>
        </w:rPr>
        <w:t>培育装备制造产业</w:t>
      </w:r>
      <w:bookmarkEnd w:id="52"/>
    </w:p>
    <w:p w14:paraId="544148A2">
      <w:pPr>
        <w:ind w:firstLine="640"/>
      </w:pPr>
      <w:r>
        <w:rPr>
          <w:rFonts w:hint="eastAsia"/>
        </w:rPr>
        <w:t>以装备制造与智能化制造作为先行产业，形成以</w:t>
      </w:r>
      <w:r>
        <w:rPr>
          <w:rFonts w:hint="eastAsia" w:ascii="仿宋" w:hAnsi="仿宋" w:eastAsia="仿宋" w:cs="仿宋"/>
          <w:color w:val="333333"/>
          <w:kern w:val="0"/>
        </w:rPr>
        <w:t>高端制造、煤层气、固废利用、环保、桑蚕等</w:t>
      </w:r>
      <w:r>
        <w:rPr>
          <w:rFonts w:hint="eastAsia"/>
        </w:rPr>
        <w:t>集研发、生产、维修为一体的新制造产业集群，在新装备上补短板创品牌。</w:t>
      </w:r>
    </w:p>
    <w:p w14:paraId="57EC619F">
      <w:pPr>
        <w:ind w:firstLine="643"/>
      </w:pPr>
      <w:r>
        <w:rPr>
          <w:b/>
          <w:bCs/>
        </w:rPr>
        <w:t>大力发展高端冶铸新装备。</w:t>
      </w:r>
      <w:r>
        <w:t>依托阳城传统冶铸产业基础，坚持绿色智能高端理念，顺应智能铸造时代趋势，加快发展智能铸造业，运用数字模拟、3D打印、机器人、ERP等技术对传统铸造企业进行重塑性改造，发展智能铸造技术和智能铸造系统，建设“数字化铸造厂”，推进信息化与铸造生产高度融合，大力开发合金、轻型、高端铸件组件，推进传统铸造业转型升级，实现技术数字化、工艺智能化、场景清洁化、产品品牌化、市场国际化。</w:t>
      </w:r>
      <w:r>
        <w:rPr>
          <w:rFonts w:hint="eastAsia"/>
        </w:rPr>
        <w:t>推进军民融合战略，招引第三代、第四代半导体材料，提高产品附加值，在演礼产业园布局建设杜仲深加工润滑油项目。</w:t>
      </w:r>
    </w:p>
    <w:p w14:paraId="2AEF6398">
      <w:pPr>
        <w:ind w:firstLine="643"/>
      </w:pPr>
      <w:r>
        <w:rPr>
          <w:rFonts w:hint="eastAsia"/>
          <w:b/>
          <w:bCs/>
        </w:rPr>
        <w:t>固废处理装备。</w:t>
      </w:r>
      <w:r>
        <w:rPr>
          <w:rFonts w:hint="eastAsia"/>
        </w:rPr>
        <w:t>研发和引进煤矸石生产超细纤维等高值化利用关键共性技术及成套装备、大宗固体废弃物破碎和筛分装备、工业固体废弃物衍生燃料技术及制造设备。围绕固废收集→分选→处理及资源化利用流程，构建大宗固废破碎和筛分设备等产业链。</w:t>
      </w:r>
    </w:p>
    <w:p w14:paraId="6E739478">
      <w:pPr>
        <w:ind w:firstLine="643"/>
      </w:pPr>
      <w:r>
        <w:rPr>
          <w:b/>
          <w:bCs/>
        </w:rPr>
        <w:t>煤层气装备。</w:t>
      </w:r>
      <w:r>
        <w:t>按照市委、市政府“两翼腾飞、三足鼎立”的战略部署，大力实施“气化阳城”战略，依托阳城丰富的煤层气资源，加快煤层气装备技术开发和服务，实现由技术引进向自主研发转变、技术跟随向技术领先转变、单个产品向成套装备转变，</w:t>
      </w:r>
      <w:r>
        <w:rPr>
          <w:rFonts w:hint="eastAsia" w:ascii="Times New Roman" w:hAnsi="Times New Roman"/>
          <w:kern w:val="0"/>
        </w:rPr>
        <w:t>以省内龙头企业为依托，通过技术引进，形成覆盖煤层气重点环节的系列化、国产化、成套化的装备体系。</w:t>
      </w:r>
      <w:r>
        <w:t>重点发展煤层气勘探、开发、液化、管输等煤层气装备，将阳城县打造成为全省重要的煤层气装备制造基地。</w:t>
      </w:r>
    </w:p>
    <w:p w14:paraId="55E22035">
      <w:pPr>
        <w:ind w:firstLine="643"/>
      </w:pPr>
      <w:r>
        <w:rPr>
          <w:rFonts w:hint="eastAsia"/>
          <w:b/>
          <w:bCs/>
        </w:rPr>
        <w:t>陶瓷装备。</w:t>
      </w:r>
      <w:r>
        <w:rPr>
          <w:rFonts w:hint="eastAsia"/>
          <w:kern w:val="0"/>
          <w:sz w:val="30"/>
          <w:szCs w:val="30"/>
        </w:rPr>
        <w:t>按照</w:t>
      </w:r>
      <w:r>
        <w:rPr>
          <w:kern w:val="0"/>
          <w:sz w:val="30"/>
          <w:szCs w:val="30"/>
        </w:rPr>
        <w:t>自动化、大型化、工业设计化、数字化、智能化</w:t>
      </w:r>
      <w:r>
        <w:rPr>
          <w:rFonts w:hint="eastAsia"/>
          <w:kern w:val="0"/>
          <w:sz w:val="30"/>
          <w:szCs w:val="30"/>
        </w:rPr>
        <w:t>的原则大力发展陶瓷装备业</w:t>
      </w:r>
      <w:r>
        <w:rPr>
          <w:kern w:val="0"/>
          <w:sz w:val="30"/>
          <w:szCs w:val="30"/>
        </w:rPr>
        <w:t>，</w:t>
      </w:r>
      <w:r>
        <w:rPr>
          <w:rFonts w:hint="eastAsia"/>
          <w:kern w:val="0"/>
          <w:sz w:val="30"/>
          <w:szCs w:val="30"/>
        </w:rPr>
        <w:t>坚持</w:t>
      </w:r>
      <w:r>
        <w:rPr>
          <w:kern w:val="0"/>
          <w:sz w:val="30"/>
          <w:szCs w:val="30"/>
        </w:rPr>
        <w:t>绿色制造、智能制造。</w:t>
      </w:r>
      <w:r>
        <w:rPr>
          <w:rFonts w:hint="eastAsia"/>
        </w:rPr>
        <w:t>发展陶瓷整线装备。整合引进陶瓷原料制备装备、成形设备、干燥施釉、烧成设备、抛光装备,发展提供整厂整线技术装备服务能力。引进发展陶瓷窑炉设备企业，运用工业互联网技术，按照节能减排、精益生产要求，引进先进技术，缩短烧窑周期。</w:t>
      </w:r>
    </w:p>
    <w:p w14:paraId="1B77A381">
      <w:pPr>
        <w:ind w:firstLine="560"/>
        <w:jc w:val="center"/>
        <w:rPr>
          <w:rFonts w:ascii="宋体" w:hAnsi="宋体" w:eastAsia="楷体"/>
          <w:sz w:val="28"/>
          <w:szCs w:val="28"/>
        </w:rPr>
      </w:pPr>
      <w:r>
        <w:rPr>
          <w:rFonts w:hint="eastAsia" w:ascii="宋体" w:hAnsi="宋体" w:eastAsia="楷体"/>
          <w:sz w:val="28"/>
          <w:szCs w:val="28"/>
        </w:rPr>
        <w:t>图表3高端装备制造业引进区域导向</w:t>
      </w:r>
    </w:p>
    <w:tbl>
      <w:tblPr>
        <w:tblStyle w:val="18"/>
        <w:tblpPr w:leftFromText="180" w:rightFromText="180" w:vertAnchor="text" w:horzAnchor="margin" w:tblpY="1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19"/>
        <w:gridCol w:w="6903"/>
      </w:tblGrid>
      <w:tr w14:paraId="3E05B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1619" w:type="dxa"/>
            <w:shd w:val="clear" w:color="auto" w:fill="4F78BF"/>
            <w:vAlign w:val="center"/>
          </w:tcPr>
          <w:p w14:paraId="1ECADB3A">
            <w:pPr>
              <w:spacing w:line="440" w:lineRule="exact"/>
              <w:ind w:firstLine="0" w:firstLineChars="0"/>
              <w:jc w:val="center"/>
              <w:rPr>
                <w:rFonts w:ascii="黑体" w:hAnsi="黑体" w:eastAsia="黑体"/>
                <w:color w:val="FFFFFF"/>
                <w:sz w:val="28"/>
                <w:szCs w:val="28"/>
              </w:rPr>
            </w:pPr>
            <w:r>
              <w:rPr>
                <w:rFonts w:hint="eastAsia" w:ascii="黑体" w:hAnsi="黑体" w:eastAsia="黑体"/>
                <w:color w:val="FFFFFF"/>
                <w:sz w:val="28"/>
                <w:szCs w:val="28"/>
              </w:rPr>
              <w:t>高端装备制造产业</w:t>
            </w:r>
          </w:p>
        </w:tc>
        <w:tc>
          <w:tcPr>
            <w:tcW w:w="6903" w:type="dxa"/>
            <w:shd w:val="clear" w:color="auto" w:fill="4F78BF"/>
            <w:vAlign w:val="center"/>
          </w:tcPr>
          <w:p w14:paraId="1C22DA21">
            <w:pPr>
              <w:spacing w:line="440" w:lineRule="exact"/>
              <w:ind w:firstLine="560"/>
              <w:jc w:val="center"/>
              <w:rPr>
                <w:rFonts w:ascii="黑体" w:hAnsi="黑体" w:eastAsia="黑体"/>
                <w:color w:val="FFFFFF"/>
                <w:sz w:val="28"/>
                <w:szCs w:val="28"/>
              </w:rPr>
            </w:pPr>
            <w:r>
              <w:rPr>
                <w:rFonts w:hint="eastAsia" w:ascii="黑体" w:hAnsi="黑体" w:eastAsia="黑体"/>
                <w:color w:val="FFFFFF"/>
                <w:sz w:val="28"/>
                <w:szCs w:val="28"/>
              </w:rPr>
              <w:t>重点引进产业方向</w:t>
            </w:r>
          </w:p>
        </w:tc>
      </w:tr>
      <w:tr w14:paraId="05ABA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1619" w:type="dxa"/>
            <w:tcBorders>
              <w:bottom w:val="single" w:color="auto" w:sz="4" w:space="0"/>
            </w:tcBorders>
            <w:vAlign w:val="center"/>
          </w:tcPr>
          <w:p w14:paraId="5F454522">
            <w:pPr>
              <w:spacing w:line="400" w:lineRule="exact"/>
              <w:ind w:firstLine="0" w:firstLineChars="0"/>
              <w:jc w:val="center"/>
              <w:rPr>
                <w:rFonts w:hAnsi="仿宋"/>
                <w:sz w:val="28"/>
                <w:szCs w:val="28"/>
              </w:rPr>
            </w:pPr>
            <w:r>
              <w:rPr>
                <w:rFonts w:hint="eastAsia" w:hAnsi="仿宋"/>
                <w:sz w:val="28"/>
                <w:szCs w:val="28"/>
              </w:rPr>
              <w:t>智能制造装备产业</w:t>
            </w:r>
          </w:p>
        </w:tc>
        <w:tc>
          <w:tcPr>
            <w:tcW w:w="6903" w:type="dxa"/>
            <w:tcBorders>
              <w:bottom w:val="single" w:color="auto" w:sz="4" w:space="0"/>
            </w:tcBorders>
            <w:vAlign w:val="center"/>
          </w:tcPr>
          <w:p w14:paraId="64C7F9F8">
            <w:pPr>
              <w:spacing w:line="400" w:lineRule="exact"/>
              <w:ind w:firstLine="0" w:firstLineChars="0"/>
              <w:jc w:val="left"/>
              <w:rPr>
                <w:rFonts w:hAnsi="仿宋"/>
                <w:sz w:val="28"/>
                <w:szCs w:val="28"/>
              </w:rPr>
            </w:pPr>
            <w:r>
              <w:rPr>
                <w:rFonts w:hint="eastAsia" w:hAnsi="仿宋"/>
                <w:sz w:val="28"/>
                <w:szCs w:val="28"/>
              </w:rPr>
              <w:t>加快引进发展大型自动化物流装备、自动引导车AGV等高端智能装备，以及以智能工厂、数字化车间、增材制造技术为代表的新业态新模式；积极引进矿山机器人、服务机器人、3D打印机、新型传感器、智能仪器仪表与控制系统等市场前景大、属于未来增长点的智能装备。</w:t>
            </w:r>
          </w:p>
        </w:tc>
      </w:tr>
      <w:tr w14:paraId="653A9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1619" w:type="dxa"/>
            <w:tcBorders>
              <w:top w:val="single" w:color="auto" w:sz="4" w:space="0"/>
              <w:bottom w:val="single" w:color="auto" w:sz="4" w:space="0"/>
            </w:tcBorders>
            <w:vAlign w:val="center"/>
          </w:tcPr>
          <w:p w14:paraId="54E407DE">
            <w:pPr>
              <w:spacing w:line="400" w:lineRule="exact"/>
              <w:ind w:firstLine="0" w:firstLineChars="0"/>
              <w:jc w:val="center"/>
              <w:rPr>
                <w:rFonts w:hAnsi="仿宋"/>
                <w:sz w:val="28"/>
                <w:szCs w:val="28"/>
              </w:rPr>
            </w:pPr>
            <w:r>
              <w:rPr>
                <w:rFonts w:hint="eastAsia" w:hAnsi="仿宋"/>
                <w:sz w:val="28"/>
                <w:szCs w:val="28"/>
              </w:rPr>
              <w:t>煤机装备</w:t>
            </w:r>
          </w:p>
        </w:tc>
        <w:tc>
          <w:tcPr>
            <w:tcW w:w="6903" w:type="dxa"/>
            <w:tcBorders>
              <w:top w:val="single" w:color="auto" w:sz="4" w:space="0"/>
              <w:bottom w:val="single" w:color="auto" w:sz="4" w:space="0"/>
            </w:tcBorders>
            <w:vAlign w:val="center"/>
          </w:tcPr>
          <w:p w14:paraId="1DBDC0D5">
            <w:pPr>
              <w:spacing w:line="400" w:lineRule="exact"/>
              <w:ind w:firstLine="0" w:firstLineChars="0"/>
              <w:jc w:val="left"/>
              <w:rPr>
                <w:rFonts w:hAnsi="仿宋"/>
                <w:sz w:val="28"/>
                <w:szCs w:val="28"/>
              </w:rPr>
            </w:pPr>
            <w:r>
              <w:rPr>
                <w:rFonts w:hint="eastAsia" w:hAnsi="仿宋"/>
                <w:sz w:val="28"/>
                <w:szCs w:val="28"/>
              </w:rPr>
              <w:t>重点面向高端煤机装备、绿色煤机装备、轻量化煤机装备领域，积极引进高端掘进机、超大功率大采高采煤机、特殊煤层采煤机、液压支架电液控制系统、智能集成供液系统、综采工作面自动化控制系统等，矿井安全装备及洗选设备、煤矿生产成套设备、输送设备、支护设备、采煤机、掘锚设备、全自动刨煤机、电机、钻机等，洗选环保设备等企业，面向河南、江苏等区域招商引资。</w:t>
            </w:r>
          </w:p>
        </w:tc>
      </w:tr>
      <w:tr w14:paraId="0BD87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619" w:type="dxa"/>
            <w:tcBorders>
              <w:top w:val="single" w:color="auto" w:sz="4" w:space="0"/>
              <w:bottom w:val="single" w:color="auto" w:sz="4" w:space="0"/>
            </w:tcBorders>
            <w:vAlign w:val="center"/>
          </w:tcPr>
          <w:p w14:paraId="122B2241">
            <w:pPr>
              <w:spacing w:line="400" w:lineRule="exact"/>
              <w:ind w:firstLine="0" w:firstLineChars="0"/>
              <w:jc w:val="center"/>
              <w:rPr>
                <w:rFonts w:hAnsi="仿宋"/>
                <w:sz w:val="28"/>
                <w:szCs w:val="28"/>
              </w:rPr>
            </w:pPr>
            <w:r>
              <w:rPr>
                <w:rFonts w:hAnsi="仿宋"/>
                <w:sz w:val="28"/>
                <w:szCs w:val="28"/>
              </w:rPr>
              <w:t>陶瓷装备</w:t>
            </w:r>
          </w:p>
        </w:tc>
        <w:tc>
          <w:tcPr>
            <w:tcW w:w="6903" w:type="dxa"/>
            <w:tcBorders>
              <w:top w:val="single" w:color="auto" w:sz="4" w:space="0"/>
              <w:bottom w:val="single" w:color="auto" w:sz="4" w:space="0"/>
            </w:tcBorders>
            <w:vAlign w:val="center"/>
          </w:tcPr>
          <w:p w14:paraId="069618F5">
            <w:pPr>
              <w:spacing w:line="400" w:lineRule="exact"/>
              <w:ind w:firstLine="0" w:firstLineChars="0"/>
              <w:jc w:val="left"/>
              <w:rPr>
                <w:rFonts w:hAnsi="仿宋"/>
                <w:sz w:val="28"/>
                <w:szCs w:val="28"/>
              </w:rPr>
            </w:pPr>
            <w:r>
              <w:rPr>
                <w:rFonts w:hint="eastAsia" w:hAnsi="仿宋"/>
                <w:sz w:val="28"/>
                <w:szCs w:val="28"/>
              </w:rPr>
              <w:t>按照自动化、大型化、工业设计化、数字化、智能化的原则大力发展陶瓷装备业，坚持绿色制造、智能制造。发展陶瓷整线装备。整合原料制备装备、成形设备、干燥施釉、烧成设备、抛光装备,发展提供整厂整线技术装备服务能力。</w:t>
            </w:r>
          </w:p>
        </w:tc>
      </w:tr>
    </w:tbl>
    <w:p w14:paraId="2AB7DC95">
      <w:pPr>
        <w:pStyle w:val="4"/>
        <w:rPr>
          <w:rFonts w:ascii="黑体" w:hAnsi="黑体" w:eastAsia="黑体"/>
        </w:rPr>
      </w:pPr>
      <w:bookmarkStart w:id="53" w:name="_Toc2816"/>
      <w:r>
        <w:rPr>
          <w:rFonts w:hint="eastAsia" w:ascii="黑体" w:hAnsi="黑体" w:eastAsia="黑体"/>
        </w:rPr>
        <w:t>第五节  围绕制造业发展现代</w:t>
      </w:r>
      <w:r>
        <w:rPr>
          <w:rFonts w:ascii="黑体" w:hAnsi="黑体" w:eastAsia="黑体"/>
        </w:rPr>
        <w:t>物流业</w:t>
      </w:r>
      <w:bookmarkEnd w:id="53"/>
    </w:p>
    <w:p w14:paraId="4BFCF05B">
      <w:pPr>
        <w:ind w:firstLine="640"/>
        <w:rPr>
          <w:rFonts w:ascii="Times New Roman" w:hAnsi="Times New Roman"/>
          <w:kern w:val="0"/>
        </w:rPr>
      </w:pPr>
      <w:r>
        <w:t>立足中原经济区、晋陕豫黄河金三角、晋东南城镇群融合发展区的区位优势，加快构建完善</w:t>
      </w:r>
      <w:r>
        <w:rPr>
          <w:rFonts w:hint="eastAsia"/>
        </w:rPr>
        <w:t>大宗</w:t>
      </w:r>
      <w:r>
        <w:t>工业品、农产品、生产资料等现代商品流通体系，夯实提升流通产业基础。</w:t>
      </w:r>
    </w:p>
    <w:p w14:paraId="5EBEE096">
      <w:pPr>
        <w:ind w:firstLine="643"/>
      </w:pPr>
      <w:r>
        <w:rPr>
          <w:rFonts w:hint="eastAsia"/>
          <w:b/>
          <w:bCs/>
        </w:rPr>
        <w:t>发展</w:t>
      </w:r>
      <w:r>
        <w:rPr>
          <w:b/>
          <w:bCs/>
        </w:rPr>
        <w:t>现代物流业。</w:t>
      </w:r>
      <w:r>
        <w:rPr>
          <w:rFonts w:hint="eastAsia" w:ascii="Times New Roman" w:hAnsi="Times New Roman"/>
          <w:kern w:val="0"/>
        </w:rPr>
        <w:t>发挥八甲口园区的交通优势，依托侯月铁路、县集运站等，发展仓储、运输、配送、流通、加工、服务和商贸于一体的现代物流产业，沿铁路线布局大型物流园和精密高端装备（铸造）产业园。推动区域内实体经济与物流业深度融合，</w:t>
      </w:r>
      <w:r>
        <w:t>加快培育壮大和引进运输服务龙头骨干企 业，深化“互联网+高效物流”，鼓励运输企业与物流、煤炭、 陶瓷、电力、商贸等上下游企业联动发展和跨界融合，加快重构物流运营模式。</w:t>
      </w:r>
    </w:p>
    <w:p w14:paraId="0759CA32">
      <w:pPr>
        <w:ind w:firstLine="643"/>
      </w:pPr>
      <w:r>
        <w:rPr>
          <w:b/>
          <w:bCs/>
        </w:rPr>
        <w:t>加强物流基础设施建设。</w:t>
      </w:r>
      <w:r>
        <w:t>大力推进阳城·苏州智慧产业园建设，发展集仓储、运输、配送、流通、加工、服务和商贸于一体的现代物流产业</w:t>
      </w:r>
      <w:r>
        <w:rPr>
          <w:rFonts w:hint="eastAsia"/>
        </w:rPr>
        <w:t>。</w:t>
      </w:r>
      <w:r>
        <w:t>新建一批专业物流中心、配送中心和现代物流园，加快铁路专用线建设和八芹线重载化改造，配合推进陵沁线阳高泉至演礼快速通道段扩宽改造工程，促进形成公铁衔接严密的综合运输网络，推动传统物流向现代物流转变。</w:t>
      </w:r>
    </w:p>
    <w:p w14:paraId="48FD1008">
      <w:pPr>
        <w:ind w:firstLine="643"/>
      </w:pPr>
      <w:r>
        <w:rPr>
          <w:b/>
          <w:bCs/>
        </w:rPr>
        <w:t>推动建立智慧物流。</w:t>
      </w:r>
      <w:r>
        <w:t>加快物流信息网络平台建设，加强物联网、智能终端、智能仓库等推广应用，大力发展“互联网+车货匹配”“互联网+合同物流”“互联网+货运”“互联网+库存管理”等新模式、新业态。推广应用条形码、电子数据交换、货物跟踪系统、配送需求计划、自动分拣等先进物流技术，提升物流技术装备的现代化水平。</w:t>
      </w:r>
    </w:p>
    <w:p w14:paraId="0F09B7DC">
      <w:pPr>
        <w:ind w:firstLine="643"/>
        <w:rPr>
          <w:rFonts w:ascii="Times New Roman" w:hAnsi="Times New Roman"/>
          <w:kern w:val="0"/>
        </w:rPr>
      </w:pPr>
      <w:r>
        <w:rPr>
          <w:b/>
          <w:bCs/>
        </w:rPr>
        <w:t>发展专业物流。</w:t>
      </w:r>
      <w:r>
        <w:t>发展以煤炭、</w:t>
      </w:r>
      <w:r>
        <w:rPr>
          <w:rFonts w:hint="eastAsia"/>
        </w:rPr>
        <w:t>煤层气</w:t>
      </w:r>
      <w:r>
        <w:t>等为主的</w:t>
      </w:r>
      <w:r>
        <w:rPr>
          <w:rFonts w:hint="eastAsia"/>
        </w:rPr>
        <w:t>专业</w:t>
      </w:r>
      <w:r>
        <w:t>物流。推动装备制造、陶瓷、建材、化工等制造业与物流业融合发展。推进农产品物流基地建设，建设具有集中采购和跨区域配送能力的农产品物流集散中心、综合性加工配送中心。加快发展冷链物流，建设适应市场需求的冷藏库、产地冷库、流通型冷库。利用好阳城县丰富中医药资源，大力发展医药物流。依托阳城县电商园区，发展电商物流。合理规划布局救灾物资储备库，建立平急结合的应急物流网络。</w:t>
      </w:r>
    </w:p>
    <w:p w14:paraId="6F620AE7">
      <w:pPr>
        <w:ind w:firstLine="560"/>
        <w:jc w:val="center"/>
        <w:rPr>
          <w:rFonts w:ascii="宋体" w:hAnsi="宋体" w:eastAsia="楷体"/>
          <w:sz w:val="28"/>
          <w:szCs w:val="28"/>
        </w:rPr>
      </w:pPr>
      <w:r>
        <w:rPr>
          <w:rFonts w:hint="eastAsia" w:ascii="宋体" w:hAnsi="宋体" w:eastAsia="楷体"/>
          <w:sz w:val="28"/>
          <w:szCs w:val="28"/>
        </w:rPr>
        <w:t>图表4 大物流引进导向</w:t>
      </w:r>
    </w:p>
    <w:tbl>
      <w:tblPr>
        <w:tblStyle w:val="18"/>
        <w:tblpPr w:leftFromText="180" w:rightFromText="180" w:vertAnchor="text" w:horzAnchor="margin" w:tblpY="1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3"/>
        <w:gridCol w:w="6969"/>
      </w:tblGrid>
      <w:tr w14:paraId="186B9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1553" w:type="dxa"/>
            <w:shd w:val="clear" w:color="auto" w:fill="4F78BF"/>
            <w:vAlign w:val="center"/>
          </w:tcPr>
          <w:p w14:paraId="6E933C83">
            <w:pPr>
              <w:spacing w:line="440" w:lineRule="exact"/>
              <w:ind w:firstLine="0" w:firstLineChars="0"/>
              <w:jc w:val="center"/>
              <w:rPr>
                <w:rFonts w:ascii="黑体" w:hAnsi="黑体" w:eastAsia="黑体"/>
                <w:color w:val="FFFFFF"/>
                <w:sz w:val="28"/>
                <w:szCs w:val="28"/>
              </w:rPr>
            </w:pPr>
            <w:r>
              <w:rPr>
                <w:rFonts w:hint="eastAsia" w:ascii="黑体" w:hAnsi="黑体" w:eastAsia="黑体"/>
                <w:color w:val="FFFFFF"/>
                <w:sz w:val="28"/>
                <w:szCs w:val="28"/>
              </w:rPr>
              <w:t>大物流</w:t>
            </w:r>
          </w:p>
        </w:tc>
        <w:tc>
          <w:tcPr>
            <w:tcW w:w="6969" w:type="dxa"/>
            <w:shd w:val="clear" w:color="auto" w:fill="4F78BF"/>
            <w:vAlign w:val="center"/>
          </w:tcPr>
          <w:p w14:paraId="552E8108">
            <w:pPr>
              <w:spacing w:line="440" w:lineRule="exact"/>
              <w:ind w:firstLine="560"/>
              <w:jc w:val="center"/>
              <w:rPr>
                <w:rFonts w:ascii="黑体" w:hAnsi="黑体" w:eastAsia="黑体"/>
                <w:color w:val="FFFFFF"/>
                <w:sz w:val="28"/>
                <w:szCs w:val="28"/>
              </w:rPr>
            </w:pPr>
            <w:r>
              <w:rPr>
                <w:rFonts w:hint="eastAsia" w:ascii="黑体" w:hAnsi="黑体" w:eastAsia="黑体"/>
                <w:color w:val="FFFFFF"/>
                <w:sz w:val="28"/>
                <w:szCs w:val="28"/>
              </w:rPr>
              <w:t>重点引进产业方向</w:t>
            </w:r>
          </w:p>
        </w:tc>
      </w:tr>
      <w:tr w14:paraId="533A8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8" w:hRule="atLeast"/>
        </w:trPr>
        <w:tc>
          <w:tcPr>
            <w:tcW w:w="1553" w:type="dxa"/>
            <w:vAlign w:val="center"/>
          </w:tcPr>
          <w:p w14:paraId="0196CE37">
            <w:pPr>
              <w:spacing w:line="400" w:lineRule="exact"/>
              <w:ind w:firstLine="0" w:firstLineChars="0"/>
              <w:jc w:val="center"/>
              <w:rPr>
                <w:rFonts w:ascii="宋体" w:hAnsi="宋体" w:eastAsia="楷体"/>
                <w:sz w:val="28"/>
                <w:szCs w:val="28"/>
              </w:rPr>
            </w:pPr>
            <w:r>
              <w:rPr>
                <w:rFonts w:ascii="宋体" w:hAnsi="宋体" w:eastAsia="楷体"/>
                <w:sz w:val="28"/>
                <w:szCs w:val="28"/>
              </w:rPr>
              <w:t>专业物流</w:t>
            </w:r>
          </w:p>
        </w:tc>
        <w:tc>
          <w:tcPr>
            <w:tcW w:w="6969" w:type="dxa"/>
            <w:vAlign w:val="center"/>
          </w:tcPr>
          <w:p w14:paraId="5C383A40">
            <w:pPr>
              <w:pStyle w:val="16"/>
              <w:shd w:val="clear" w:color="auto" w:fill="FFFFFF"/>
              <w:spacing w:before="330" w:beforeAutospacing="0" w:after="0" w:afterAutospacing="0" w:line="360" w:lineRule="atLeast"/>
              <w:ind w:firstLine="0" w:firstLineChars="0"/>
              <w:jc w:val="both"/>
              <w:rPr>
                <w:rFonts w:eastAsia="楷体" w:cs="仿宋_GB2312"/>
                <w:kern w:val="2"/>
                <w:sz w:val="28"/>
                <w:szCs w:val="28"/>
              </w:rPr>
            </w:pPr>
            <w:r>
              <w:rPr>
                <w:rFonts w:hint="eastAsia" w:eastAsia="楷体" w:cs="仿宋_GB2312"/>
                <w:kern w:val="2"/>
                <w:sz w:val="28"/>
                <w:szCs w:val="28"/>
              </w:rPr>
              <w:t>煤层气勘探开发、煤矿井下抽采、工程技术服务、煤层气压缩、液化、管输、煤层气物流</w:t>
            </w:r>
          </w:p>
        </w:tc>
      </w:tr>
      <w:tr w14:paraId="7089F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6" w:hRule="atLeast"/>
        </w:trPr>
        <w:tc>
          <w:tcPr>
            <w:tcW w:w="1553" w:type="dxa"/>
            <w:vAlign w:val="center"/>
          </w:tcPr>
          <w:p w14:paraId="3A1690FC">
            <w:pPr>
              <w:spacing w:line="400" w:lineRule="exact"/>
              <w:ind w:firstLine="0" w:firstLineChars="0"/>
              <w:jc w:val="center"/>
              <w:rPr>
                <w:rFonts w:ascii="宋体" w:hAnsi="宋体" w:eastAsia="楷体"/>
                <w:sz w:val="28"/>
                <w:szCs w:val="28"/>
              </w:rPr>
            </w:pPr>
            <w:r>
              <w:rPr>
                <w:rFonts w:ascii="宋体" w:hAnsi="宋体" w:eastAsia="楷体"/>
                <w:sz w:val="28"/>
                <w:szCs w:val="28"/>
              </w:rPr>
              <w:t>物流载体</w:t>
            </w:r>
            <w:r>
              <w:rPr>
                <w:rFonts w:hint="eastAsia" w:ascii="宋体" w:hAnsi="宋体" w:eastAsia="楷体"/>
                <w:sz w:val="28"/>
                <w:szCs w:val="28"/>
              </w:rPr>
              <w:t>基础设施</w:t>
            </w:r>
          </w:p>
        </w:tc>
        <w:tc>
          <w:tcPr>
            <w:tcW w:w="6969" w:type="dxa"/>
            <w:vAlign w:val="center"/>
          </w:tcPr>
          <w:p w14:paraId="4958A9E8">
            <w:pPr>
              <w:spacing w:line="400" w:lineRule="exact"/>
              <w:ind w:firstLine="0" w:firstLineChars="0"/>
              <w:jc w:val="left"/>
              <w:rPr>
                <w:rFonts w:ascii="宋体" w:hAnsi="宋体" w:eastAsia="楷体"/>
                <w:sz w:val="28"/>
                <w:szCs w:val="28"/>
              </w:rPr>
            </w:pPr>
            <w:r>
              <w:rPr>
                <w:rFonts w:hint="eastAsia" w:ascii="宋体" w:hAnsi="宋体" w:eastAsia="楷体"/>
                <w:sz w:val="28"/>
                <w:szCs w:val="28"/>
              </w:rPr>
              <w:t>依托现有重大物流载体，优化物流园区布局和基础设施建设。依托交通枢纽区，加快建设和改造提升一批货运枢纽型、生产服务型、商贸服务型、综合服务型物流园区</w:t>
            </w:r>
          </w:p>
        </w:tc>
      </w:tr>
      <w:tr w14:paraId="3B2AC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0" w:hRule="atLeast"/>
        </w:trPr>
        <w:tc>
          <w:tcPr>
            <w:tcW w:w="1553" w:type="dxa"/>
            <w:tcBorders>
              <w:top w:val="single" w:color="auto" w:sz="4" w:space="0"/>
              <w:bottom w:val="single" w:color="auto" w:sz="4" w:space="0"/>
            </w:tcBorders>
            <w:vAlign w:val="center"/>
          </w:tcPr>
          <w:p w14:paraId="653D5825">
            <w:pPr>
              <w:spacing w:line="400" w:lineRule="exact"/>
              <w:ind w:firstLine="0" w:firstLineChars="0"/>
              <w:jc w:val="center"/>
              <w:rPr>
                <w:rFonts w:ascii="宋体" w:hAnsi="宋体" w:eastAsia="楷体"/>
                <w:sz w:val="28"/>
                <w:szCs w:val="28"/>
              </w:rPr>
            </w:pPr>
            <w:r>
              <w:rPr>
                <w:rFonts w:ascii="宋体" w:hAnsi="宋体" w:eastAsia="楷体"/>
                <w:sz w:val="28"/>
                <w:szCs w:val="28"/>
              </w:rPr>
              <w:t>物流</w:t>
            </w:r>
          </w:p>
          <w:p w14:paraId="42C142EB">
            <w:pPr>
              <w:spacing w:line="400" w:lineRule="exact"/>
              <w:ind w:firstLine="0" w:firstLineChars="0"/>
              <w:jc w:val="center"/>
              <w:rPr>
                <w:rFonts w:ascii="宋体" w:hAnsi="宋体" w:eastAsia="楷体"/>
                <w:sz w:val="28"/>
                <w:szCs w:val="28"/>
              </w:rPr>
            </w:pPr>
            <w:r>
              <w:rPr>
                <w:rFonts w:ascii="宋体" w:hAnsi="宋体" w:eastAsia="楷体"/>
                <w:sz w:val="28"/>
                <w:szCs w:val="28"/>
              </w:rPr>
              <w:t>信息化</w:t>
            </w:r>
          </w:p>
        </w:tc>
        <w:tc>
          <w:tcPr>
            <w:tcW w:w="6969" w:type="dxa"/>
            <w:tcBorders>
              <w:top w:val="single" w:color="auto" w:sz="4" w:space="0"/>
              <w:bottom w:val="single" w:color="auto" w:sz="4" w:space="0"/>
            </w:tcBorders>
            <w:vAlign w:val="center"/>
          </w:tcPr>
          <w:p w14:paraId="6B921908">
            <w:pPr>
              <w:spacing w:line="400" w:lineRule="exact"/>
              <w:ind w:firstLine="0" w:firstLineChars="0"/>
              <w:jc w:val="left"/>
              <w:rPr>
                <w:rFonts w:ascii="宋体" w:hAnsi="宋体" w:eastAsia="楷体"/>
                <w:sz w:val="28"/>
                <w:szCs w:val="28"/>
              </w:rPr>
            </w:pPr>
            <w:r>
              <w:rPr>
                <w:rFonts w:hint="eastAsia" w:ascii="宋体" w:hAnsi="宋体" w:eastAsia="楷体"/>
                <w:sz w:val="28"/>
                <w:szCs w:val="28"/>
              </w:rPr>
              <w:t>积极推进智慧物流公共信息平台建设，加强EDI、GPS等先进技术的应用；推进云计算、物联网、北斗导航及地理信息等技术在物流智能化管理方面的应用</w:t>
            </w:r>
            <w:r>
              <w:rPr>
                <w:rFonts w:ascii="宋体" w:hAnsi="宋体" w:eastAsia="楷体"/>
                <w:sz w:val="28"/>
                <w:szCs w:val="28"/>
              </w:rPr>
              <w:t>，</w:t>
            </w:r>
            <w:r>
              <w:rPr>
                <w:rFonts w:hint="eastAsia" w:ascii="宋体" w:hAnsi="宋体" w:eastAsia="楷体"/>
                <w:sz w:val="28"/>
                <w:szCs w:val="28"/>
              </w:rPr>
              <w:t>建立物流信息系统对接和共享机制，利用条形码、电子数据交换、货物跟踪系统、配送需求计划、自动分拣等先进物流技术提升物流产业管理水平</w:t>
            </w:r>
          </w:p>
        </w:tc>
      </w:tr>
    </w:tbl>
    <w:p w14:paraId="69D8ABFD">
      <w:pPr>
        <w:pStyle w:val="4"/>
        <w:rPr>
          <w:rFonts w:ascii="黑体" w:hAnsi="黑体" w:eastAsia="黑体"/>
        </w:rPr>
      </w:pPr>
      <w:bookmarkStart w:id="54" w:name="_Toc31691"/>
      <w:r>
        <w:rPr>
          <w:rFonts w:hint="eastAsia" w:ascii="黑体" w:hAnsi="黑体" w:eastAsia="黑体"/>
        </w:rPr>
        <w:t>第六节  用好资源禀赋发展</w:t>
      </w:r>
      <w:r>
        <w:rPr>
          <w:rFonts w:ascii="黑体" w:hAnsi="黑体" w:eastAsia="黑体"/>
        </w:rPr>
        <w:t>大健康产业</w:t>
      </w:r>
      <w:bookmarkEnd w:id="54"/>
    </w:p>
    <w:p w14:paraId="48669979">
      <w:pPr>
        <w:ind w:firstLine="640"/>
        <w:rPr>
          <w:rFonts w:ascii="Times New Roman" w:hAnsi="Times New Roman"/>
          <w:kern w:val="0"/>
        </w:rPr>
      </w:pPr>
      <w:r>
        <w:rPr>
          <w:rFonts w:hint="eastAsia" w:ascii="Times New Roman" w:hAnsi="Times New Roman"/>
          <w:kern w:val="0"/>
        </w:rPr>
        <w:t>围绕健康工程、中医药战略，重点突出生物医药工业、中医药产业、医疗服务业、特色功能食品四大领域，积极引进国内外知名的制药企业、医药流通企业、食品加工企业和多样化的健康服务机构，建设一批天然药物和健康产品优质原料基地、生物医药和大健康产品研发生产基地、生物医药和大健康产品商贸物流基地、医疗保健服务基地等，推动开发区生物医药和大健康产业跨越发展。支持医药原料、医疗设备、功能食品等企业发展。</w:t>
      </w:r>
    </w:p>
    <w:p w14:paraId="79E5FB04">
      <w:pPr>
        <w:spacing w:line="480" w:lineRule="auto"/>
        <w:ind w:firstLine="569" w:firstLineChars="177"/>
        <w:rPr>
          <w:b/>
          <w:bCs/>
        </w:rPr>
      </w:pPr>
      <w:bookmarkStart w:id="55" w:name="_Toc16351"/>
      <w:bookmarkStart w:id="56" w:name="_Toc8022"/>
      <w:r>
        <w:rPr>
          <w:b/>
          <w:bCs/>
        </w:rPr>
        <w:t>打造生物医药产业基地</w:t>
      </w:r>
      <w:bookmarkEnd w:id="55"/>
      <w:bookmarkEnd w:id="56"/>
      <w:r>
        <w:rPr>
          <w:b/>
          <w:bCs/>
        </w:rPr>
        <w:t>。</w:t>
      </w:r>
      <w:r>
        <w:t>充分利用本地丰富的中草药资源，依托山茱萸、潞党参、连翘、蓝莓、鹿茸、桑叶枝果等等资源，以抗肿瘤、免疫调节药物及血液制剂为方向，加大研发力度，加强技术攻关，建立生物医药集聚区，推动从低端原料药向高端制剂的转变发展。着力引进生物技术企业、大型制药公司等，发展抗肿瘤、免疫调节药物及血液制剂药物，提高基地产业整体竞争力，打造医药原料药科研基地、医药原料药技术创新主体、医药原料药高端人才聚集地、中国医药原料药生产环保示范基地以及国内大宗含硫化物医药原料药及中间体主要生产供应基地。</w:t>
      </w:r>
    </w:p>
    <w:p w14:paraId="3BB39021">
      <w:pPr>
        <w:ind w:firstLine="643"/>
      </w:pPr>
      <w:r>
        <w:rPr>
          <w:b/>
          <w:bCs/>
        </w:rPr>
        <w:t>加快发展中医药健康产业。</w:t>
      </w:r>
      <w:r>
        <w:t>依托阳城县现有中草药资源优势，重点开发山茱萸、党参、灵芝等名贵中药材，引进 3-5 家知名药企进行研发并生产系列药品，并以阳城县自主品牌在全国连锁销售</w:t>
      </w:r>
      <w:r>
        <w:rPr>
          <w:rFonts w:hint="eastAsia"/>
        </w:rPr>
        <w:t>，支持国药中药材深加工项目</w:t>
      </w:r>
      <w:r>
        <w:t>。促进中医技术与康复医学融合，鼓励社会力量举办具有中医特色的康复、护理服务机构，推动各级各类医疗机构开展中医特色康复医疗、训练指导、康复护理等服务。培养中医药康养服务品牌，在药食同源功能产品、植物药萃取、生物制药等行业培育和引进一批企业，加快建设阳城县大健康产业园。</w:t>
      </w:r>
    </w:p>
    <w:p w14:paraId="0D67F716">
      <w:pPr>
        <w:pStyle w:val="6"/>
        <w:ind w:firstLine="643"/>
      </w:pPr>
      <w:bookmarkStart w:id="57" w:name="_Toc11696"/>
      <w:bookmarkStart w:id="58" w:name="_Toc3514"/>
      <w:r>
        <w:rPr>
          <w:b/>
          <w:bCs/>
        </w:rPr>
        <w:t>打造</w:t>
      </w:r>
      <w:r>
        <w:rPr>
          <w:rFonts w:hint="eastAsia"/>
          <w:b/>
          <w:bCs/>
        </w:rPr>
        <w:t>医疗服务</w:t>
      </w:r>
      <w:r>
        <w:rPr>
          <w:b/>
          <w:bCs/>
        </w:rPr>
        <w:t>业</w:t>
      </w:r>
      <w:bookmarkEnd w:id="57"/>
      <w:bookmarkEnd w:id="58"/>
      <w:r>
        <w:rPr>
          <w:b/>
          <w:bCs/>
        </w:rPr>
        <w:t>基地。</w:t>
      </w:r>
      <w:r>
        <w:t>依托大健康基地的建设和中国科学院深圳先进技术研究院及科</w:t>
      </w:r>
      <w:r>
        <w:rPr>
          <w:rFonts w:hint="eastAsia"/>
        </w:rPr>
        <w:t>研</w:t>
      </w:r>
      <w:r>
        <w:t>院所的合作，重点抓好阳城科技产业园生物技术联合实验室、山西瑞亚力生化诊断试剂等一大批项目的引进和落地建设。抓紧在药食同源功能产品、植物药萃取、生物制药等行业培育和引进一批企业，推动在细胞技术、基因检测</w:t>
      </w:r>
      <w:r>
        <w:rPr>
          <w:rFonts w:hint="eastAsia"/>
        </w:rPr>
        <w:t>、</w:t>
      </w:r>
      <w:r>
        <w:t>生命健康、生物科技以及医美管理领域拓展，奠定大健康产业园基础。</w:t>
      </w:r>
    </w:p>
    <w:p w14:paraId="4860FAE2">
      <w:pPr>
        <w:pStyle w:val="34"/>
        <w:ind w:firstLine="643" w:firstLineChars="200"/>
        <w:rPr>
          <w:rFonts w:ascii="Times New Roman" w:hAnsi="Times New Roman"/>
          <w:kern w:val="0"/>
          <w:sz w:val="32"/>
        </w:rPr>
      </w:pPr>
      <w:r>
        <w:rPr>
          <w:rFonts w:hint="eastAsia" w:ascii="Times New Roman" w:hAnsi="Times New Roman"/>
          <w:b/>
          <w:bCs/>
          <w:kern w:val="0"/>
          <w:sz w:val="32"/>
        </w:rPr>
        <w:t>建设特色功能食品加工基地。</w:t>
      </w:r>
      <w:r>
        <w:rPr>
          <w:rFonts w:hint="eastAsia" w:ascii="Times New Roman" w:hAnsi="Times New Roman"/>
          <w:kern w:val="0"/>
          <w:sz w:val="32"/>
        </w:rPr>
        <w:t>依托阳城周边农产品资源优势，紧密衔接乡村振兴战略，引进高端技术，在特色农产品精细加工、高端加工上做文章，鼓励深度开发加工保健品，针对阳城产小米、杂粮、特色水果等，开发适应广泛群体口味的特色功能食品和绿色食品，鼓励征弘食品扩建果蔬深加工项目，支持泰信、温氏等企业建设畜牧产品深加工基地，</w:t>
      </w:r>
      <w:r>
        <w:rPr>
          <w:rFonts w:hint="eastAsia" w:hAnsi="宋体" w:cs="宋体"/>
          <w:sz w:val="32"/>
        </w:rPr>
        <w:t>等</w:t>
      </w:r>
      <w:r>
        <w:rPr>
          <w:rFonts w:hint="eastAsia" w:ascii="Times New Roman" w:hAnsi="Times New Roman"/>
          <w:kern w:val="0"/>
          <w:sz w:val="32"/>
        </w:rPr>
        <w:t>形成完备的产业链，稳步推进中欧蓝莓产业园项目达产。</w:t>
      </w:r>
    </w:p>
    <w:p w14:paraId="6132B7C5">
      <w:pPr>
        <w:spacing w:line="600" w:lineRule="exact"/>
        <w:ind w:firstLine="643"/>
      </w:pPr>
      <w:r>
        <w:rPr>
          <w:rFonts w:hint="eastAsia" w:hAnsi="宋体" w:cs="宋体"/>
          <w:b/>
          <w:bCs/>
        </w:rPr>
        <w:t>培育现代丝麻产业链。</w:t>
      </w:r>
      <w:r>
        <w:rPr>
          <w:rFonts w:hint="eastAsia" w:hAnsi="宋体" w:cs="宋体"/>
        </w:rPr>
        <w:t>依托山西绿洲公司“绿洲大麻”品牌优势和技术优势，结合阳城桑蚕产业优势，</w:t>
      </w:r>
      <w:r>
        <w:rPr>
          <w:rFonts w:hint="eastAsia" w:hAnsi="宋体" w:cs="宋体"/>
          <w:shd w:val="clear" w:color="auto" w:fill="FFFFFF"/>
          <w:lang w:bidi="ar"/>
        </w:rPr>
        <w:t>构建缫丝织被、育菌制茶、蚕丝深加工等全产业链，</w:t>
      </w:r>
      <w:r>
        <w:rPr>
          <w:rFonts w:hint="eastAsia" w:hAnsi="宋体" w:cs="宋体"/>
        </w:rPr>
        <w:t>发展丝麻制品、丝麻加工</w:t>
      </w:r>
      <w:r>
        <w:rPr>
          <w:rFonts w:hint="eastAsia" w:hAnsi="宋体" w:cs="宋体"/>
          <w:shd w:val="clear" w:color="auto" w:fill="FFFFFF"/>
          <w:lang w:bidi="ar"/>
        </w:rPr>
        <w:t>，</w:t>
      </w:r>
      <w:r>
        <w:rPr>
          <w:rFonts w:hint="eastAsia" w:hAnsi="宋体" w:cs="宋体"/>
        </w:rPr>
        <w:t>延长产业链条，推动丝麻产业向高应用场景、高附加值、高艺术品发展。</w:t>
      </w:r>
    </w:p>
    <w:p w14:paraId="7C69C39D">
      <w:pPr>
        <w:ind w:firstLine="560"/>
        <w:jc w:val="center"/>
        <w:rPr>
          <w:rFonts w:ascii="宋体" w:hAnsi="宋体" w:eastAsia="楷体"/>
          <w:sz w:val="28"/>
          <w:szCs w:val="28"/>
        </w:rPr>
      </w:pPr>
      <w:r>
        <w:rPr>
          <w:rFonts w:hint="eastAsia" w:ascii="宋体" w:hAnsi="宋体" w:eastAsia="楷体"/>
          <w:sz w:val="28"/>
          <w:szCs w:val="28"/>
        </w:rPr>
        <w:t>图表5大健康产业引进区域导向</w:t>
      </w:r>
    </w:p>
    <w:tbl>
      <w:tblPr>
        <w:tblStyle w:val="18"/>
        <w:tblpPr w:leftFromText="180" w:rightFromText="180" w:vertAnchor="text" w:horzAnchor="margin" w:tblpY="14"/>
        <w:tblW w:w="84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7"/>
        <w:gridCol w:w="6636"/>
      </w:tblGrid>
      <w:tr w14:paraId="1347E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5" w:hRule="atLeast"/>
        </w:trPr>
        <w:tc>
          <w:tcPr>
            <w:tcW w:w="1837" w:type="dxa"/>
            <w:shd w:val="clear" w:color="auto" w:fill="4F78BF"/>
            <w:vAlign w:val="center"/>
          </w:tcPr>
          <w:p w14:paraId="3F35754D">
            <w:pPr>
              <w:spacing w:line="440" w:lineRule="exact"/>
              <w:ind w:firstLine="0" w:firstLineChars="0"/>
              <w:rPr>
                <w:rFonts w:ascii="黑体" w:hAnsi="黑体" w:eastAsia="黑体"/>
                <w:color w:val="FFFFFF"/>
                <w:sz w:val="28"/>
                <w:szCs w:val="28"/>
              </w:rPr>
            </w:pPr>
            <w:r>
              <w:rPr>
                <w:rFonts w:hint="eastAsia" w:ascii="黑体" w:hAnsi="黑体" w:eastAsia="黑体"/>
                <w:color w:val="FFFFFF"/>
                <w:sz w:val="28"/>
                <w:szCs w:val="28"/>
              </w:rPr>
              <w:t>大健康产业</w:t>
            </w:r>
          </w:p>
        </w:tc>
        <w:tc>
          <w:tcPr>
            <w:tcW w:w="6636" w:type="dxa"/>
            <w:shd w:val="clear" w:color="auto" w:fill="4F78BF"/>
            <w:vAlign w:val="center"/>
          </w:tcPr>
          <w:p w14:paraId="0112E42F">
            <w:pPr>
              <w:spacing w:line="440" w:lineRule="exact"/>
              <w:ind w:firstLine="560"/>
              <w:jc w:val="center"/>
              <w:rPr>
                <w:rFonts w:ascii="黑体" w:hAnsi="黑体" w:eastAsia="黑体"/>
                <w:color w:val="FFFFFF"/>
                <w:sz w:val="28"/>
                <w:szCs w:val="28"/>
              </w:rPr>
            </w:pPr>
            <w:r>
              <w:rPr>
                <w:rFonts w:hint="eastAsia" w:ascii="黑体" w:hAnsi="黑体" w:eastAsia="黑体"/>
                <w:color w:val="FFFFFF"/>
                <w:sz w:val="28"/>
                <w:szCs w:val="28"/>
              </w:rPr>
              <w:t>重点引进产业方向</w:t>
            </w:r>
          </w:p>
        </w:tc>
      </w:tr>
      <w:tr w14:paraId="1FA7B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6" w:hRule="atLeast"/>
        </w:trPr>
        <w:tc>
          <w:tcPr>
            <w:tcW w:w="1837" w:type="dxa"/>
            <w:vAlign w:val="center"/>
          </w:tcPr>
          <w:p w14:paraId="30EFF82B">
            <w:pPr>
              <w:spacing w:line="400" w:lineRule="exact"/>
              <w:ind w:firstLine="0" w:firstLineChars="0"/>
              <w:rPr>
                <w:rFonts w:ascii="宋体" w:hAnsi="宋体" w:eastAsia="楷体"/>
                <w:bCs/>
                <w:sz w:val="28"/>
                <w:szCs w:val="28"/>
              </w:rPr>
            </w:pPr>
            <w:r>
              <w:rPr>
                <w:rFonts w:ascii="宋体" w:hAnsi="宋体" w:eastAsia="楷体"/>
                <w:bCs/>
                <w:sz w:val="28"/>
                <w:szCs w:val="28"/>
              </w:rPr>
              <w:t>特色医药</w:t>
            </w:r>
          </w:p>
        </w:tc>
        <w:tc>
          <w:tcPr>
            <w:tcW w:w="6636" w:type="dxa"/>
            <w:vAlign w:val="center"/>
          </w:tcPr>
          <w:p w14:paraId="29B3DC2B">
            <w:pPr>
              <w:spacing w:line="400" w:lineRule="exact"/>
              <w:ind w:firstLine="0" w:firstLineChars="0"/>
              <w:jc w:val="left"/>
              <w:rPr>
                <w:rFonts w:ascii="宋体" w:hAnsi="宋体" w:eastAsia="楷体"/>
                <w:bCs/>
                <w:sz w:val="28"/>
                <w:szCs w:val="28"/>
              </w:rPr>
            </w:pPr>
            <w:r>
              <w:rPr>
                <w:rFonts w:hint="eastAsia" w:ascii="宋体" w:hAnsi="宋体" w:eastAsia="楷体"/>
                <w:bCs/>
                <w:sz w:val="28"/>
                <w:szCs w:val="28"/>
              </w:rPr>
              <w:t>发挥硫化物优势，重点培育含硫医药原料药及其中间体的合成企业，包括奥美拉唑，半托拉唑、恩杂鲁胺、叔丁基亚磺酰胺、叔丁基噻二唑等医药企业</w:t>
            </w:r>
          </w:p>
        </w:tc>
      </w:tr>
      <w:tr w14:paraId="1D351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7" w:type="dxa"/>
            <w:tcBorders>
              <w:top w:val="single" w:color="auto" w:sz="4" w:space="0"/>
              <w:bottom w:val="single" w:color="auto" w:sz="4" w:space="0"/>
            </w:tcBorders>
            <w:vAlign w:val="center"/>
          </w:tcPr>
          <w:p w14:paraId="0E035E38">
            <w:pPr>
              <w:spacing w:line="400" w:lineRule="exact"/>
              <w:ind w:firstLine="0" w:firstLineChars="0"/>
              <w:rPr>
                <w:rFonts w:ascii="宋体" w:hAnsi="宋体" w:eastAsia="楷体"/>
                <w:bCs/>
                <w:sz w:val="28"/>
                <w:szCs w:val="28"/>
              </w:rPr>
            </w:pPr>
            <w:r>
              <w:rPr>
                <w:rFonts w:hint="eastAsia" w:ascii="宋体" w:hAnsi="宋体" w:eastAsia="楷体"/>
                <w:bCs/>
                <w:sz w:val="28"/>
                <w:szCs w:val="28"/>
              </w:rPr>
              <w:t>中医产业</w:t>
            </w:r>
          </w:p>
        </w:tc>
        <w:tc>
          <w:tcPr>
            <w:tcW w:w="6636" w:type="dxa"/>
            <w:tcBorders>
              <w:top w:val="single" w:color="auto" w:sz="4" w:space="0"/>
              <w:bottom w:val="single" w:color="auto" w:sz="4" w:space="0"/>
            </w:tcBorders>
            <w:vAlign w:val="center"/>
          </w:tcPr>
          <w:p w14:paraId="3FECE81E">
            <w:pPr>
              <w:spacing w:line="400" w:lineRule="exact"/>
              <w:ind w:firstLine="0" w:firstLineChars="0"/>
              <w:jc w:val="left"/>
              <w:rPr>
                <w:rFonts w:ascii="宋体" w:hAnsi="宋体" w:eastAsia="楷体"/>
                <w:bCs/>
                <w:sz w:val="28"/>
                <w:szCs w:val="28"/>
              </w:rPr>
            </w:pPr>
            <w:r>
              <w:rPr>
                <w:rFonts w:hint="eastAsia" w:ascii="宋体" w:hAnsi="宋体" w:eastAsia="楷体"/>
                <w:bCs/>
                <w:sz w:val="28"/>
                <w:szCs w:val="28"/>
              </w:rPr>
              <w:t>加强中药、天然药物、生物技术药物、化学药、医疗器械和保健产品等领域的招商引资。重点引进行业领军企业、掌握关键技术的科技型企业、国家重点实验室平台等企业和机构。以诊断治疗、康复保健、健康管理、健康体验、养老养生等领域为重点，引进国内外知名的医疗服务机构和多样化的健康服务品牌，推动构建集医疗、康复、保健、养老、养生等为一体的大健康产业体系</w:t>
            </w:r>
          </w:p>
        </w:tc>
      </w:tr>
      <w:tr w14:paraId="4B796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1837" w:type="dxa"/>
            <w:tcBorders>
              <w:top w:val="single" w:color="auto" w:sz="4" w:space="0"/>
              <w:bottom w:val="single" w:color="auto" w:sz="4" w:space="0"/>
            </w:tcBorders>
            <w:vAlign w:val="center"/>
          </w:tcPr>
          <w:p w14:paraId="15113193">
            <w:pPr>
              <w:spacing w:line="400" w:lineRule="exact"/>
              <w:ind w:firstLine="0" w:firstLineChars="0"/>
              <w:rPr>
                <w:rFonts w:ascii="宋体" w:hAnsi="宋体" w:eastAsia="楷体"/>
                <w:bCs/>
                <w:sz w:val="28"/>
                <w:szCs w:val="28"/>
              </w:rPr>
            </w:pPr>
            <w:r>
              <w:rPr>
                <w:rFonts w:ascii="宋体" w:hAnsi="宋体" w:eastAsia="楷体"/>
                <w:bCs/>
                <w:sz w:val="28"/>
                <w:szCs w:val="28"/>
              </w:rPr>
              <w:t>功能食品</w:t>
            </w:r>
          </w:p>
        </w:tc>
        <w:tc>
          <w:tcPr>
            <w:tcW w:w="6636" w:type="dxa"/>
            <w:tcBorders>
              <w:top w:val="single" w:color="auto" w:sz="4" w:space="0"/>
              <w:bottom w:val="single" w:color="auto" w:sz="4" w:space="0"/>
            </w:tcBorders>
            <w:vAlign w:val="center"/>
          </w:tcPr>
          <w:p w14:paraId="2847A50E">
            <w:pPr>
              <w:spacing w:line="400" w:lineRule="exact"/>
              <w:ind w:firstLine="0" w:firstLineChars="0"/>
              <w:jc w:val="left"/>
              <w:rPr>
                <w:rFonts w:ascii="宋体" w:hAnsi="宋体" w:eastAsia="楷体"/>
                <w:bCs/>
                <w:sz w:val="28"/>
                <w:szCs w:val="28"/>
              </w:rPr>
            </w:pPr>
            <w:r>
              <w:rPr>
                <w:rFonts w:hint="eastAsia" w:ascii="宋体" w:hAnsi="宋体" w:eastAsia="楷体"/>
                <w:bCs/>
                <w:sz w:val="28"/>
                <w:szCs w:val="28"/>
              </w:rPr>
              <w:t>针对阳城特色中药材，如山茱萸、党参、灵芝等，阳城小米、杂粮、特色水果等，开发功能保健食品</w:t>
            </w:r>
          </w:p>
        </w:tc>
      </w:tr>
    </w:tbl>
    <w:p w14:paraId="5172FAA6">
      <w:pPr>
        <w:ind w:left="640" w:firstLine="0" w:firstLineChars="0"/>
      </w:pPr>
    </w:p>
    <w:p w14:paraId="10C100AA">
      <w:pPr>
        <w:pStyle w:val="4"/>
        <w:rPr>
          <w:rFonts w:ascii="黑体" w:hAnsi="黑体" w:eastAsia="黑体"/>
        </w:rPr>
      </w:pPr>
      <w:bookmarkStart w:id="59" w:name="_Toc9267"/>
      <w:bookmarkStart w:id="60" w:name="_Toc449018749"/>
      <w:bookmarkStart w:id="61" w:name="_Toc21942"/>
      <w:bookmarkStart w:id="62" w:name="_Toc10143"/>
      <w:bookmarkStart w:id="63" w:name="_Toc18828"/>
      <w:bookmarkStart w:id="64" w:name="_Toc20013"/>
      <w:bookmarkStart w:id="65" w:name="_Toc29985"/>
      <w:bookmarkStart w:id="66" w:name="_Toc3014"/>
      <w:bookmarkStart w:id="67" w:name="_Toc2920"/>
      <w:bookmarkStart w:id="68" w:name="_Toc22110"/>
      <w:r>
        <w:rPr>
          <w:rFonts w:hint="eastAsia" w:ascii="黑体" w:hAnsi="黑体" w:eastAsia="黑体"/>
        </w:rPr>
        <w:t>第七节  加快“六大平台”建设</w:t>
      </w:r>
      <w:bookmarkEnd w:id="59"/>
    </w:p>
    <w:p w14:paraId="58B9E79C">
      <w:pPr>
        <w:ind w:firstLine="640"/>
      </w:pPr>
      <w:r>
        <w:rPr>
          <w:rFonts w:hint="eastAsia"/>
        </w:rPr>
        <w:t>聚焦企业全生命周期发展和重点要素保障，加强项目谋划储备，加快项目建设进度，坚持过程管理，强化跟踪落实和考核督导，做实项目工作的有效机制、结合阳城开发区发展实际重点建设六大服务平台。</w:t>
      </w:r>
    </w:p>
    <w:p w14:paraId="1BB6DB50">
      <w:pPr>
        <w:ind w:firstLine="643"/>
        <w:rPr>
          <w:rFonts w:ascii="楷体" w:hAnsi="楷体" w:eastAsia="楷体"/>
          <w:b/>
        </w:rPr>
      </w:pPr>
      <w:r>
        <w:rPr>
          <w:rFonts w:hint="eastAsia" w:ascii="楷体" w:hAnsi="楷体" w:eastAsia="楷体"/>
          <w:b/>
        </w:rPr>
        <w:t>一、项目落地服务平台（“承诺制+标准地+全代办”）</w:t>
      </w:r>
    </w:p>
    <w:p w14:paraId="498E6A90">
      <w:pPr>
        <w:widowControl/>
        <w:ind w:firstLine="640"/>
        <w:jc w:val="left"/>
      </w:pPr>
      <w:r>
        <w:rPr>
          <w:rFonts w:hint="eastAsia"/>
        </w:rPr>
        <w:t>持续深化“标准地+承诺制+全代办”改革，为企业全声明周期提供全方位的专业服务。</w:t>
      </w:r>
      <w:r>
        <w:t>准确把握改革的关键环节，完善制度流程，</w:t>
      </w:r>
      <w:r>
        <w:rPr>
          <w:rFonts w:hint="eastAsia"/>
        </w:rPr>
        <w:t>加强部门</w:t>
      </w:r>
      <w:r>
        <w:t>联动、配套支撑，</w:t>
      </w:r>
      <w:r>
        <w:rPr>
          <w:rFonts w:hint="eastAsia"/>
        </w:rPr>
        <w:t>优化</w:t>
      </w:r>
      <w:r>
        <w:t>政策扶持体系，充分发挥扶持政策的合力和引导作用</w:t>
      </w:r>
      <w:r>
        <w:rPr>
          <w:rFonts w:hint="eastAsia"/>
        </w:rPr>
        <w:t>。</w:t>
      </w:r>
    </w:p>
    <w:p w14:paraId="3C8F3116">
      <w:pPr>
        <w:widowControl/>
        <w:ind w:firstLine="643"/>
        <w:jc w:val="left"/>
      </w:pPr>
      <w:r>
        <w:rPr>
          <w:rFonts w:hint="eastAsia"/>
          <w:b/>
          <w:bCs/>
        </w:rPr>
        <w:t>深化</w:t>
      </w:r>
      <w:r>
        <w:rPr>
          <w:b/>
          <w:bCs/>
        </w:rPr>
        <w:t>“标准地”改革</w:t>
      </w:r>
      <w:r>
        <w:rPr>
          <w:rFonts w:hint="eastAsia"/>
          <w:b/>
          <w:bCs/>
        </w:rPr>
        <w:t>。</w:t>
      </w:r>
      <w:r>
        <w:t>充分领会“标准地”改革的深刻内涵，全力打造工业投资项目“全承诺、零审批、拿地即开工”新路径，</w:t>
      </w:r>
      <w:r>
        <w:rPr>
          <w:rFonts w:hint="eastAsia"/>
        </w:rPr>
        <w:t>对区内新材料、新能源、新装备和精细化工等</w:t>
      </w:r>
      <w:r>
        <w:t>主导产业，按照高质量发展、土地节约集约导向要求制定“标准地”出让控制性指标体系，明确</w:t>
      </w:r>
      <w:r>
        <w:rPr>
          <w:rFonts w:hint="eastAsia"/>
        </w:rPr>
        <w:t>设置</w:t>
      </w:r>
      <w:r>
        <w:t>标准，加大基础设施建设投入，拟出让“标准地”地块做到“九通一平”。</w:t>
      </w:r>
      <w:r>
        <w:rPr>
          <w:rFonts w:hint="eastAsia"/>
        </w:rPr>
        <w:t>力争3年内</w:t>
      </w:r>
      <w:r>
        <w:t>实现开发区产业用地中“标准地”出让宗地数不低于</w:t>
      </w:r>
      <w:r>
        <w:rPr>
          <w:rFonts w:hint="eastAsia"/>
        </w:rPr>
        <w:t>8</w:t>
      </w:r>
      <w:r>
        <w:t>0%。</w:t>
      </w:r>
    </w:p>
    <w:p w14:paraId="72AB26CA">
      <w:pPr>
        <w:widowControl/>
        <w:ind w:firstLine="643"/>
        <w:jc w:val="left"/>
        <w:rPr>
          <w:rFonts w:eastAsia="微软雅黑"/>
        </w:rPr>
      </w:pPr>
      <w:r>
        <w:rPr>
          <w:rFonts w:hint="eastAsia"/>
          <w:b/>
          <w:bCs/>
          <w:color w:val="000000"/>
        </w:rPr>
        <w:t>细化“承诺制”改革。</w:t>
      </w:r>
      <w:r>
        <w:rPr>
          <w:rFonts w:hint="eastAsia"/>
          <w:color w:val="000000"/>
        </w:rPr>
        <w:t>通过制定改革方案、优化审批流程、简化审批材料、强化批后监管、企业信用承诺事项即出具批文、推进并联办、平台办等措施，协调项目一体化推进。横向上，打破部门界限，锁紧部门职责，变“交接棒”为“齐步走”，提高抓项目的协同性，手续办理征拆同步推进，纵向上，贯通招引、落地、建设、投产、运营各个环节，变“谋一隅”为“谋全局”，确保只要企业签订承诺书，马上可以开工建设。</w:t>
      </w:r>
    </w:p>
    <w:p w14:paraId="5E327CC5">
      <w:pPr>
        <w:widowControl/>
        <w:ind w:firstLine="643"/>
        <w:jc w:val="left"/>
      </w:pPr>
      <w:r>
        <w:rPr>
          <w:rFonts w:hint="eastAsia"/>
          <w:b/>
          <w:bCs/>
          <w:color w:val="000000"/>
        </w:rPr>
        <w:t>强化“全代办”改革。</w:t>
      </w:r>
      <w:r>
        <w:t>推行全程领办代办，完善专业化服务体系，</w:t>
      </w:r>
      <w:r>
        <w:rPr>
          <w:rFonts w:hint="eastAsia"/>
        </w:rPr>
        <w:t>建立专职领办代办</w:t>
      </w:r>
      <w:r>
        <w:t>员服务</w:t>
      </w:r>
      <w:r>
        <w:rPr>
          <w:rFonts w:hint="eastAsia"/>
        </w:rPr>
        <w:t>队伍，通过提前介入上门帮代、对接需求全程帮代、重点项目重点帮代“三项帮代”打造领办代办服务体系，24小时提供优质服务，推动企业以小时为单位加速落地开工。</w:t>
      </w:r>
    </w:p>
    <w:p w14:paraId="710D37C2">
      <w:pPr>
        <w:pStyle w:val="17"/>
        <w:ind w:firstLine="643"/>
        <w:rPr>
          <w:rFonts w:ascii="仿宋_GB2312" w:eastAsia="仿宋_GB2312"/>
          <w:b w:val="0"/>
          <w:bCs w:val="0"/>
        </w:rPr>
      </w:pPr>
      <w:r>
        <w:rPr>
          <w:rFonts w:hint="eastAsia" w:ascii="仿宋_GB2312" w:eastAsia="仿宋_GB2312"/>
        </w:rPr>
        <w:t>招引和培育市场主体。</w:t>
      </w:r>
      <w:r>
        <w:rPr>
          <w:rFonts w:hint="eastAsia" w:ascii="仿宋_GB2312" w:eastAsia="仿宋_GB2312"/>
          <w:b w:val="0"/>
          <w:bCs w:val="0"/>
        </w:rPr>
        <w:t>实施“企业招引工程”、“企业壮大工程”和“企业培育工程”，在多种措施招大引强的同时，启动企业并表计划、种子计划、梯度培育计划等各项子计划，培育助推本土企业做大做强。</w:t>
      </w:r>
    </w:p>
    <w:p w14:paraId="0E4AA77E">
      <w:pPr>
        <w:ind w:firstLine="643"/>
        <w:rPr>
          <w:rFonts w:ascii="楷体" w:hAnsi="楷体" w:eastAsia="楷体"/>
          <w:b/>
        </w:rPr>
      </w:pPr>
      <w:r>
        <w:rPr>
          <w:rFonts w:hint="eastAsia" w:ascii="楷体" w:hAnsi="楷体" w:eastAsia="楷体"/>
          <w:b/>
        </w:rPr>
        <w:t>二、产业金融服务平台</w:t>
      </w:r>
    </w:p>
    <w:p w14:paraId="5FEDEEE2">
      <w:pPr>
        <w:ind w:firstLine="640"/>
      </w:pPr>
      <w:r>
        <w:rPr>
          <w:rFonts w:hint="eastAsia"/>
        </w:rPr>
        <w:t>构建全方位、多角度、立体化的新型金融服务平台，促进金融资源与企业有效对接，建立金融服务咨询智库，鼓励高校、企业、协会、专业社团等介入服务平台，加强多方深层合作为企业提供融资咨询、人才培训等各项服务。</w:t>
      </w:r>
    </w:p>
    <w:p w14:paraId="7D2337D3">
      <w:pPr>
        <w:ind w:firstLine="643"/>
      </w:pPr>
      <w:r>
        <w:rPr>
          <w:rFonts w:hint="eastAsia"/>
          <w:b/>
          <w:bCs/>
        </w:rPr>
        <w:t>做大做强阳城开投公司（投融资平台）。</w:t>
      </w:r>
      <w:r>
        <w:t>发挥国有资金的撬动作用，联合社会资本</w:t>
      </w:r>
      <w:r>
        <w:rPr>
          <w:rFonts w:hint="eastAsia"/>
        </w:rPr>
        <w:t>设立</w:t>
      </w:r>
      <w:r>
        <w:t>产业</w:t>
      </w:r>
      <w:r>
        <w:rPr>
          <w:rFonts w:hint="eastAsia"/>
        </w:rPr>
        <w:t>引导</w:t>
      </w:r>
      <w:r>
        <w:t>基金或投资公司，</w:t>
      </w:r>
      <w:r>
        <w:rPr>
          <w:rFonts w:hint="eastAsia"/>
        </w:rPr>
        <w:t>整合县域资源注入资产，力争三年达到AA信用评级和法定发债级别。设立产业投资基金，</w:t>
      </w:r>
      <w:r>
        <w:t>按照“拨款变投资、资金变基金”的思路，充分发挥财政资金引导作用，打造“基金+项目+园区”的一体化生态链。</w:t>
      </w:r>
      <w:r>
        <w:rPr>
          <w:rFonts w:hint="eastAsia"/>
        </w:rPr>
        <w:t>发挥产业引导</w:t>
      </w:r>
      <w:r>
        <w:t>基金参与投资</w:t>
      </w:r>
      <w:r>
        <w:rPr>
          <w:rFonts w:hint="eastAsia"/>
        </w:rPr>
        <w:t>的作用</w:t>
      </w:r>
      <w:r>
        <w:t>，采取阶段参股、跟进投资等方式，提升产业</w:t>
      </w:r>
      <w:r>
        <w:rPr>
          <w:rFonts w:hint="eastAsia"/>
        </w:rPr>
        <w:t>引导</w:t>
      </w:r>
      <w:r>
        <w:t>基金的使用效率。</w:t>
      </w:r>
    </w:p>
    <w:p w14:paraId="1FBCD3F7">
      <w:pPr>
        <w:ind w:firstLine="643"/>
      </w:pPr>
      <w:r>
        <w:rPr>
          <w:rFonts w:hint="eastAsia"/>
          <w:b/>
          <w:bCs/>
        </w:rPr>
        <w:t>建立</w:t>
      </w:r>
      <w:r>
        <w:rPr>
          <w:b/>
          <w:bCs/>
        </w:rPr>
        <w:t>政策性担保体系。</w:t>
      </w:r>
      <w:r>
        <w:t>加强政策性融资担保体系建设，</w:t>
      </w:r>
      <w:r>
        <w:rPr>
          <w:rFonts w:hint="eastAsia"/>
        </w:rPr>
        <w:t>建立开发区融资担保机构，</w:t>
      </w:r>
      <w:r>
        <w:t>以中小微企业为服务对象，构建</w:t>
      </w:r>
      <w:r>
        <w:rPr>
          <w:rFonts w:hint="eastAsia"/>
        </w:rPr>
        <w:t>担</w:t>
      </w:r>
      <w:r>
        <w:t>保机构、省级再担保机构、银行和</w:t>
      </w:r>
      <w:r>
        <w:rPr>
          <w:rFonts w:hint="eastAsia"/>
        </w:rPr>
        <w:t>管委会</w:t>
      </w:r>
      <w:r>
        <w:t xml:space="preserve">按比例承担代偿风险的共担机制。构建“融资担保+”创新机制，打造企业融资服务新平台。 </w:t>
      </w:r>
    </w:p>
    <w:p w14:paraId="32941072">
      <w:pPr>
        <w:ind w:firstLine="643"/>
      </w:pPr>
      <w:r>
        <w:rPr>
          <w:b/>
          <w:bCs/>
        </w:rPr>
        <w:t>打造创新型金融产品</w:t>
      </w:r>
      <w:r>
        <w:rPr>
          <w:rFonts w:hint="eastAsia"/>
          <w:b/>
          <w:bCs/>
        </w:rPr>
        <w:t>。</w:t>
      </w:r>
      <w:r>
        <w:rPr>
          <w:rFonts w:hint="eastAsia"/>
        </w:rPr>
        <w:t>加强管委会、银行、担保机构、金融租赁公司等金融机构和企业对接合作</w:t>
      </w:r>
      <w:r>
        <w:t>，促进金融机构发挥服务实体经济的重要作用</w:t>
      </w:r>
      <w:r>
        <w:rPr>
          <w:rFonts w:hint="eastAsia"/>
        </w:rPr>
        <w:t>，</w:t>
      </w:r>
      <w:r>
        <w:t>大力推动“创新贷”、“政保贷”、“税融通” 等创新型金融产品在</w:t>
      </w:r>
      <w:r>
        <w:rPr>
          <w:rFonts w:hint="eastAsia"/>
        </w:rPr>
        <w:t>阳城开发</w:t>
      </w:r>
      <w:r>
        <w:t>区先行先试，充分发挥</w:t>
      </w:r>
      <w:r>
        <w:rPr>
          <w:rFonts w:hint="eastAsia"/>
        </w:rPr>
        <w:t>金融服务平台的</w:t>
      </w:r>
      <w:r>
        <w:t>桥梁和纽带作用，分类别、分产业、分专业为企业提供专场、一对一的融资对接</w:t>
      </w:r>
      <w:r>
        <w:rPr>
          <w:rFonts w:hint="eastAsia"/>
        </w:rPr>
        <w:t>。</w:t>
      </w:r>
    </w:p>
    <w:p w14:paraId="45661775">
      <w:pPr>
        <w:pStyle w:val="17"/>
        <w:ind w:firstLine="643"/>
        <w:rPr>
          <w:rFonts w:ascii="仿宋_GB2312" w:eastAsia="仿宋_GB2312"/>
          <w:b w:val="0"/>
          <w:bCs w:val="0"/>
        </w:rPr>
      </w:pPr>
      <w:r>
        <w:rPr>
          <w:rFonts w:hint="eastAsia" w:ascii="仿宋_GB2312" w:eastAsia="仿宋_GB2312"/>
        </w:rPr>
        <w:t>建立企业上市培养机制。</w:t>
      </w:r>
      <w:r>
        <w:rPr>
          <w:rFonts w:hint="eastAsia" w:ascii="仿宋_GB2312" w:eastAsia="仿宋_GB2312"/>
          <w:b w:val="0"/>
          <w:bCs w:val="0"/>
        </w:rPr>
        <w:t>做好企业上市改制辅导和培育工作，鼓励企业上市融资，支持符合条件的企业发行企业债、公司债，扩大资金来源。引导和鼓励创业企业在创业板、“新三板”、区域股权市场挂牌融资，利用多层次资本市场加快推进“个转企、小升规、规改股、股上市”工作。</w:t>
      </w:r>
    </w:p>
    <w:p w14:paraId="0B122C6E">
      <w:pPr>
        <w:ind w:firstLine="643"/>
        <w:rPr>
          <w:rFonts w:ascii="楷体" w:hAnsi="楷体" w:eastAsia="楷体"/>
          <w:b/>
        </w:rPr>
      </w:pPr>
      <w:r>
        <w:rPr>
          <w:rFonts w:hint="eastAsia" w:ascii="楷体" w:hAnsi="楷体" w:eastAsia="楷体"/>
          <w:b/>
        </w:rPr>
        <w:t>三、生产要素保障平台</w:t>
      </w:r>
    </w:p>
    <w:p w14:paraId="03FCA842">
      <w:pPr>
        <w:ind w:firstLine="640"/>
        <w:rPr>
          <w:rFonts w:ascii="Times New Roman" w:hAnsi="Times New Roman" w:eastAsia="仿宋" w:cs="Times New Roman"/>
          <w:b/>
        </w:rPr>
      </w:pPr>
      <w:r>
        <w:rPr>
          <w:rFonts w:hint="eastAsia" w:ascii="Times New Roman" w:hAnsi="Times New Roman" w:eastAsia="仿宋" w:cs="Times New Roman"/>
          <w:bCs/>
        </w:rPr>
        <w:t>优选组合原料、气、电、热等生产要素，逐步形成开发区要素保障自供体系，全面降低企业生产成本。</w:t>
      </w:r>
    </w:p>
    <w:p w14:paraId="079AB656">
      <w:pPr>
        <w:ind w:firstLine="643"/>
        <w:rPr>
          <w:rFonts w:ascii="Times New Roman" w:hAnsi="Times New Roman" w:eastAsia="仿宋" w:cs="Times New Roman"/>
        </w:rPr>
      </w:pPr>
      <w:r>
        <w:rPr>
          <w:rFonts w:hint="eastAsia" w:ascii="Times New Roman" w:hAnsi="Times New Roman" w:eastAsia="仿宋" w:cs="Times New Roman"/>
          <w:b/>
        </w:rPr>
        <w:t>打造</w:t>
      </w:r>
      <w:r>
        <w:rPr>
          <w:rFonts w:ascii="Times New Roman" w:hAnsi="Times New Roman" w:eastAsia="仿宋" w:cs="Times New Roman"/>
          <w:b/>
        </w:rPr>
        <w:t>原料</w:t>
      </w:r>
      <w:r>
        <w:rPr>
          <w:rFonts w:hint="eastAsia" w:ascii="Times New Roman" w:hAnsi="Times New Roman" w:eastAsia="仿宋" w:cs="Times New Roman"/>
          <w:b/>
        </w:rPr>
        <w:t>供应体系</w:t>
      </w:r>
      <w:r>
        <w:rPr>
          <w:rFonts w:ascii="Times New Roman" w:hAnsi="Times New Roman" w:eastAsia="仿宋" w:cs="Times New Roman"/>
          <w:b/>
        </w:rPr>
        <w:t>。</w:t>
      </w:r>
      <w:r>
        <w:rPr>
          <w:rFonts w:hint="eastAsia" w:ascii="Times New Roman" w:hAnsi="Times New Roman" w:eastAsia="仿宋" w:cs="Times New Roman"/>
          <w:bCs/>
        </w:rPr>
        <w:t>精准掌握周边200公里陶土、粉煤灰、煤矸石、园区用地、用水、用电等产业所需资源分布和储备、开采开发能力，</w:t>
      </w:r>
      <w:r>
        <w:rPr>
          <w:rFonts w:ascii="Times New Roman" w:hAnsi="Times New Roman" w:eastAsia="仿宋" w:cs="Times New Roman"/>
        </w:rPr>
        <w:t>鼓励和支持</w:t>
      </w:r>
      <w:r>
        <w:rPr>
          <w:rFonts w:hint="eastAsia" w:ascii="Times New Roman" w:hAnsi="Times New Roman" w:eastAsia="仿宋" w:cs="Times New Roman"/>
        </w:rPr>
        <w:t>国有企业和社会资本</w:t>
      </w:r>
      <w:r>
        <w:rPr>
          <w:rFonts w:ascii="Times New Roman" w:hAnsi="Times New Roman" w:eastAsia="仿宋" w:cs="Times New Roman"/>
        </w:rPr>
        <w:t>规模化、系列化开采</w:t>
      </w:r>
      <w:r>
        <w:rPr>
          <w:rFonts w:hint="eastAsia" w:ascii="Times New Roman" w:hAnsi="Times New Roman" w:eastAsia="仿宋" w:cs="Times New Roman"/>
        </w:rPr>
        <w:t>与</w:t>
      </w:r>
      <w:r>
        <w:rPr>
          <w:rFonts w:ascii="Times New Roman" w:hAnsi="Times New Roman" w:eastAsia="仿宋" w:cs="Times New Roman"/>
        </w:rPr>
        <w:t>加工陶土资源，</w:t>
      </w:r>
      <w:r>
        <w:rPr>
          <w:rFonts w:hint="eastAsia" w:ascii="Times New Roman" w:hAnsi="Times New Roman" w:eastAsia="仿宋" w:cs="Times New Roman"/>
        </w:rPr>
        <w:t>稳固原料供应源头，最大限度实现原料供应本土化，掌握重点供应链的主动权。建设集开采陈化、集中收储供应为一体的原料供应基地，</w:t>
      </w:r>
      <w:r>
        <w:rPr>
          <w:rFonts w:ascii="Times New Roman" w:hAnsi="Times New Roman" w:eastAsia="仿宋" w:cs="Times New Roman"/>
        </w:rPr>
        <w:t>靠近矿山建立原料标准化加工基地，初期标准化原料以单一矿产为主，随着专业化水平提高，标准化原料逐渐向配合料方向发展，按生产厂家</w:t>
      </w:r>
      <w:r>
        <w:rPr>
          <w:rFonts w:hint="eastAsia" w:ascii="Times New Roman" w:hAnsi="Times New Roman" w:eastAsia="仿宋" w:cs="Times New Roman"/>
        </w:rPr>
        <w:t>需求</w:t>
      </w:r>
      <w:r>
        <w:rPr>
          <w:rFonts w:ascii="Times New Roman" w:hAnsi="Times New Roman" w:eastAsia="仿宋" w:cs="Times New Roman"/>
        </w:rPr>
        <w:t>配比直接供应配合料。</w:t>
      </w:r>
      <w:r>
        <w:rPr>
          <w:rFonts w:hint="eastAsia" w:ascii="Times New Roman" w:hAnsi="Times New Roman" w:eastAsia="仿宋" w:cs="Times New Roman"/>
        </w:rPr>
        <w:t>采用小量汽车封闭运送，大量管道定点输送的模式，科学配比供应，降低生产成本，实现用矸不见矸的生产闭环，达到环保A类标准。</w:t>
      </w:r>
    </w:p>
    <w:p w14:paraId="635C6C28">
      <w:pPr>
        <w:pStyle w:val="6"/>
        <w:ind w:firstLine="643"/>
        <w:rPr>
          <w:rFonts w:ascii="Times New Roman" w:hAnsi="Times New Roman" w:eastAsia="仿宋" w:cs="Times New Roman"/>
        </w:rPr>
      </w:pPr>
      <w:r>
        <w:rPr>
          <w:rFonts w:hint="eastAsia" w:ascii="Times New Roman" w:hAnsi="Times New Roman" w:eastAsia="仿宋" w:cs="Times New Roman"/>
          <w:b/>
          <w:bCs/>
        </w:rPr>
        <w:t>打造集约能源供应格局。</w:t>
      </w:r>
      <w:r>
        <w:rPr>
          <w:rFonts w:hint="eastAsia" w:ascii="Times New Roman" w:hAnsi="Times New Roman" w:eastAsia="仿宋" w:cs="Times New Roman"/>
        </w:rPr>
        <w:t>探索推进晋煤能源自备电厂事宜，同时积极联盟产电或售电公司，全面有序推进降低企业电价。以市场为导向，建立公平、公正、有序的气源供应格局，引入战略竞争合作伙伴，开辟多元化、多渠道供气合作途径。针对陶瓷产业不同生产工艺和环节，区别供气，有效控制气源价格。</w:t>
      </w:r>
    </w:p>
    <w:p w14:paraId="60420A91">
      <w:pPr>
        <w:ind w:firstLine="643"/>
        <w:rPr>
          <w:rFonts w:ascii="Times New Roman" w:hAnsi="Times New Roman" w:eastAsia="仿宋" w:cs="Times New Roman"/>
        </w:rPr>
      </w:pPr>
      <w:r>
        <w:rPr>
          <w:rFonts w:hint="eastAsia" w:ascii="Times New Roman" w:hAnsi="Times New Roman" w:eastAsia="仿宋" w:cs="Times New Roman"/>
          <w:b/>
          <w:bCs/>
        </w:rPr>
        <w:t>打造</w:t>
      </w:r>
      <w:r>
        <w:rPr>
          <w:rFonts w:ascii="Times New Roman" w:hAnsi="Times New Roman" w:eastAsia="仿宋" w:cs="Times New Roman"/>
          <w:b/>
          <w:bCs/>
        </w:rPr>
        <w:t>水资源综合利用体系</w:t>
      </w:r>
      <w:r>
        <w:rPr>
          <w:rFonts w:hint="eastAsia" w:ascii="Times New Roman" w:hAnsi="Times New Roman" w:eastAsia="仿宋" w:cs="Times New Roman"/>
          <w:b/>
          <w:bCs/>
        </w:rPr>
        <w:t>。</w:t>
      </w:r>
      <w:r>
        <w:rPr>
          <w:rFonts w:hint="eastAsia" w:ascii="Times New Roman" w:hAnsi="Times New Roman" w:eastAsia="仿宋" w:cs="Times New Roman"/>
        </w:rPr>
        <w:t>对现代陶瓷产业、新能源</w:t>
      </w:r>
      <w:r>
        <w:rPr>
          <w:rFonts w:ascii="Times New Roman" w:hAnsi="Times New Roman" w:eastAsia="仿宋" w:cs="Times New Roman"/>
        </w:rPr>
        <w:t>产业、新材料产业</w:t>
      </w:r>
      <w:r>
        <w:rPr>
          <w:rFonts w:hint="eastAsia" w:ascii="Times New Roman" w:hAnsi="Times New Roman" w:eastAsia="仿宋" w:cs="Times New Roman"/>
        </w:rPr>
        <w:t>以及现代物流等产业</w:t>
      </w:r>
      <w:r>
        <w:rPr>
          <w:rFonts w:ascii="Times New Roman" w:hAnsi="Times New Roman" w:eastAsia="仿宋" w:cs="Times New Roman"/>
        </w:rPr>
        <w:t>的废水要坚持“分质回用、内部消化”的原则，通过初级处理、二级处理和深度处理最终达到回用或排放的要求。生产性服务产业生活污水经城市污水处理后实现中水回用，最终实现循环再利用。</w:t>
      </w:r>
    </w:p>
    <w:p w14:paraId="5656D58C">
      <w:pPr>
        <w:ind w:firstLine="643"/>
        <w:rPr>
          <w:rFonts w:ascii="楷体" w:hAnsi="楷体" w:eastAsia="楷体"/>
          <w:b/>
        </w:rPr>
      </w:pPr>
      <w:r>
        <w:rPr>
          <w:rFonts w:hint="eastAsia" w:ascii="楷体" w:hAnsi="楷体" w:eastAsia="楷体"/>
          <w:b/>
        </w:rPr>
        <w:t>四、创新人才培育平台</w:t>
      </w:r>
    </w:p>
    <w:p w14:paraId="1613A287">
      <w:pPr>
        <w:ind w:firstLine="640"/>
      </w:pPr>
      <w:r>
        <w:rPr>
          <w:rFonts w:hint="eastAsia"/>
        </w:rPr>
        <w:t>以把人才的创新精神、创业意识和创新创业能力最终转化为成果，实现内部教研和外部需求的均衡发展为目标，分层、聚类地开展创新人才培育平台建设。</w:t>
      </w:r>
    </w:p>
    <w:p w14:paraId="11D80E22">
      <w:pPr>
        <w:ind w:firstLine="643"/>
        <w:rPr>
          <w:rFonts w:ascii="仿宋" w:hAnsi="仿宋" w:eastAsia="仿宋"/>
          <w:bCs/>
        </w:rPr>
      </w:pPr>
      <w:r>
        <w:rPr>
          <w:rFonts w:eastAsia="仿宋" w:cs="仿宋" w:asciiTheme="majorHAnsi" w:hAnsiTheme="majorHAnsi"/>
          <w:b/>
          <w:bCs/>
          <w:color w:val="000000" w:themeColor="text1"/>
        </w:rPr>
        <w:t>促进</w:t>
      </w:r>
      <w:r>
        <w:rPr>
          <w:rFonts w:hint="eastAsia" w:eastAsia="仿宋" w:cs="仿宋" w:asciiTheme="majorHAnsi" w:hAnsiTheme="majorHAnsi"/>
          <w:b/>
          <w:bCs/>
          <w:color w:val="000000" w:themeColor="text1"/>
        </w:rPr>
        <w:t>“</w:t>
      </w:r>
      <w:r>
        <w:rPr>
          <w:rFonts w:eastAsia="仿宋" w:cs="仿宋" w:asciiTheme="majorHAnsi" w:hAnsiTheme="majorHAnsi"/>
          <w:b/>
          <w:bCs/>
          <w:color w:val="000000" w:themeColor="text1"/>
        </w:rPr>
        <w:t>双招双引</w:t>
      </w:r>
      <w:r>
        <w:rPr>
          <w:rFonts w:hint="eastAsia" w:eastAsia="仿宋" w:cs="仿宋" w:asciiTheme="majorHAnsi" w:hAnsiTheme="majorHAnsi"/>
          <w:b/>
          <w:bCs/>
          <w:color w:val="000000" w:themeColor="text1"/>
        </w:rPr>
        <w:t>”</w:t>
      </w:r>
      <w:r>
        <w:rPr>
          <w:rFonts w:eastAsia="仿宋" w:cs="仿宋" w:asciiTheme="majorHAnsi" w:hAnsiTheme="majorHAnsi"/>
          <w:b/>
          <w:bCs/>
          <w:color w:val="000000" w:themeColor="text1"/>
        </w:rPr>
        <w:t>协同</w:t>
      </w:r>
      <w:r>
        <w:rPr>
          <w:rFonts w:hint="eastAsia" w:eastAsia="仿宋" w:cs="仿宋" w:asciiTheme="majorHAnsi" w:hAnsiTheme="majorHAnsi"/>
          <w:b/>
          <w:bCs/>
          <w:color w:val="000000" w:themeColor="text1"/>
        </w:rPr>
        <w:t>发展。</w:t>
      </w:r>
      <w:r>
        <w:rPr>
          <w:rFonts w:eastAsia="仿宋" w:cs="仿宋" w:asciiTheme="majorHAnsi" w:hAnsiTheme="majorHAnsi"/>
          <w:color w:val="000000" w:themeColor="text1"/>
        </w:rPr>
        <w:t>推进招商引资和招才引智协同运行，在</w:t>
      </w:r>
      <w:r>
        <w:rPr>
          <w:rFonts w:hint="eastAsia" w:eastAsia="仿宋" w:cs="仿宋" w:asciiTheme="majorHAnsi" w:hAnsiTheme="majorHAnsi"/>
          <w:color w:val="000000" w:themeColor="text1"/>
        </w:rPr>
        <w:t>招商引资</w:t>
      </w:r>
      <w:r>
        <w:rPr>
          <w:rFonts w:eastAsia="仿宋" w:cs="仿宋" w:asciiTheme="majorHAnsi" w:hAnsiTheme="majorHAnsi"/>
          <w:color w:val="000000" w:themeColor="text1"/>
        </w:rPr>
        <w:t>的同时，积极引进优秀人才，加强投资、项目融通与推进人才、创新并举，高标准实施重点产业和关键领域人才培养专项计划，打造人才集聚区和区域性人才高地。围绕产业链布局人才链，定期编制发布</w:t>
      </w:r>
      <w:r>
        <w:rPr>
          <w:rFonts w:hint="eastAsia" w:eastAsia="仿宋" w:cs="仿宋" w:asciiTheme="majorHAnsi" w:hAnsiTheme="majorHAnsi"/>
          <w:color w:val="000000" w:themeColor="text1"/>
        </w:rPr>
        <w:t>“</w:t>
      </w:r>
      <w:r>
        <w:rPr>
          <w:rFonts w:eastAsia="仿宋" w:cs="仿宋" w:asciiTheme="majorHAnsi" w:hAnsiTheme="majorHAnsi"/>
          <w:color w:val="000000" w:themeColor="text1"/>
        </w:rPr>
        <w:t>急需紧缺人才需求目录</w:t>
      </w:r>
      <w:r>
        <w:rPr>
          <w:rFonts w:hint="eastAsia" w:eastAsia="仿宋" w:cs="仿宋" w:asciiTheme="majorHAnsi" w:hAnsiTheme="majorHAnsi"/>
          <w:color w:val="000000" w:themeColor="text1"/>
        </w:rPr>
        <w:t>”</w:t>
      </w:r>
      <w:r>
        <w:rPr>
          <w:rFonts w:eastAsia="仿宋" w:cs="仿宋" w:asciiTheme="majorHAnsi" w:hAnsiTheme="majorHAnsi"/>
          <w:color w:val="000000" w:themeColor="text1"/>
        </w:rPr>
        <w:t>，探索人才供给与需求精准匹配，聚焦重点产业引进人</w:t>
      </w:r>
      <w:r>
        <w:rPr>
          <w:rFonts w:hint="eastAsia" w:ascii="仿宋" w:hAnsi="仿宋" w:eastAsia="仿宋" w:cs="仿宋"/>
          <w:color w:val="000000" w:themeColor="text1"/>
        </w:rPr>
        <w:t>才或国内外500</w:t>
      </w:r>
      <w:r>
        <w:rPr>
          <w:rFonts w:eastAsia="仿宋" w:cs="仿宋" w:asciiTheme="majorHAnsi" w:hAnsiTheme="majorHAnsi"/>
          <w:color w:val="000000" w:themeColor="text1"/>
        </w:rPr>
        <w:t>强企业高管。深化</w:t>
      </w:r>
      <w:r>
        <w:rPr>
          <w:rFonts w:hint="eastAsia" w:eastAsia="仿宋" w:cs="仿宋" w:asciiTheme="majorHAnsi" w:hAnsiTheme="majorHAnsi"/>
          <w:color w:val="000000" w:themeColor="text1"/>
        </w:rPr>
        <w:t>“</w:t>
      </w:r>
      <w:r>
        <w:rPr>
          <w:rFonts w:hint="eastAsia" w:ascii="仿宋" w:hAnsi="仿宋" w:eastAsia="仿宋" w:cs="仿宋"/>
          <w:color w:val="000000" w:themeColor="text1"/>
        </w:rPr>
        <w:t>人才+项目+资本”协同引才模式，建立“人才+项目”</w:t>
      </w:r>
      <w:r>
        <w:rPr>
          <w:rFonts w:eastAsia="仿宋" w:cs="仿宋" w:asciiTheme="majorHAnsi" w:hAnsiTheme="majorHAnsi"/>
          <w:color w:val="000000" w:themeColor="text1"/>
        </w:rPr>
        <w:t>评审机制，重点引进产业发展类高端人才。</w:t>
      </w:r>
      <w:r>
        <w:rPr>
          <w:rFonts w:hint="eastAsia" w:eastAsia="仿宋" w:cs="仿宋" w:asciiTheme="majorHAnsi" w:hAnsiTheme="majorHAnsi"/>
        </w:rPr>
        <w:t>深入推进</w:t>
      </w:r>
      <w:r>
        <w:rPr>
          <w:rFonts w:hint="eastAsia" w:ascii="仿宋" w:hAnsi="仿宋" w:eastAsia="仿宋"/>
          <w:bCs/>
        </w:rPr>
        <w:t>省校合作十二大基地建设，引导高层次人才就业创业，实现精准引才、温暖留才、以才引商。</w:t>
      </w:r>
    </w:p>
    <w:p w14:paraId="75E59CE3">
      <w:pPr>
        <w:ind w:firstLine="643"/>
        <w:rPr>
          <w:rFonts w:ascii="仿宋" w:hAnsi="仿宋" w:eastAsia="仿宋"/>
          <w:bCs/>
          <w:color w:val="000000"/>
        </w:rPr>
      </w:pPr>
      <w:r>
        <w:rPr>
          <w:rFonts w:hint="eastAsia"/>
          <w:b/>
          <w:bCs/>
          <w:color w:val="000000" w:themeColor="text1"/>
        </w:rPr>
        <w:t>积极培育本土人才。</w:t>
      </w:r>
      <w:r>
        <w:rPr>
          <w:rFonts w:hint="eastAsia"/>
          <w:color w:val="000000" w:themeColor="text1"/>
        </w:rPr>
        <w:t>加强创新型、应用型、技能型人才培养，引导推动人才培养、产业发展和创新活动全过程的有机衔接，</w:t>
      </w:r>
      <w:r>
        <w:rPr>
          <w:rFonts w:hint="eastAsia"/>
        </w:rPr>
        <w:t>落实山西省“人人持证、技能社会”政策，探</w:t>
      </w:r>
      <w:r>
        <w:rPr>
          <w:rFonts w:hint="eastAsia"/>
          <w:color w:val="000000" w:themeColor="text1"/>
        </w:rPr>
        <w:t>索建立产教融合培养模式</w:t>
      </w:r>
      <w:r>
        <w:rPr>
          <w:rFonts w:hint="eastAsia"/>
          <w:b/>
          <w:bCs/>
          <w:color w:val="000000" w:themeColor="text1"/>
        </w:rPr>
        <w:t>。</w:t>
      </w:r>
      <w:r>
        <w:rPr>
          <w:rFonts w:eastAsia="仿宋" w:cs="仿宋" w:asciiTheme="majorHAnsi" w:hAnsiTheme="majorHAnsi"/>
          <w:color w:val="000000" w:themeColor="text1"/>
        </w:rPr>
        <w:t>培育壮大人力资源市场，引进国内外知名人力资源服务企业，鼓励引导各类市场主体大力开展多样化招才引智活动。树立</w:t>
      </w:r>
      <w:r>
        <w:rPr>
          <w:rFonts w:hint="eastAsia" w:eastAsia="仿宋" w:cs="仿宋" w:asciiTheme="majorHAnsi" w:hAnsiTheme="majorHAnsi"/>
          <w:color w:val="000000" w:themeColor="text1"/>
        </w:rPr>
        <w:t>“</w:t>
      </w:r>
      <w:r>
        <w:rPr>
          <w:rFonts w:eastAsia="仿宋" w:cs="仿宋" w:asciiTheme="majorHAnsi" w:hAnsiTheme="majorHAnsi"/>
          <w:color w:val="000000" w:themeColor="text1"/>
        </w:rPr>
        <w:t>不求所有</w:t>
      </w:r>
      <w:r>
        <w:rPr>
          <w:rFonts w:hint="eastAsia" w:eastAsia="仿宋" w:cs="仿宋" w:asciiTheme="majorHAnsi" w:hAnsiTheme="majorHAnsi"/>
          <w:color w:val="000000" w:themeColor="text1"/>
        </w:rPr>
        <w:t>，</w:t>
      </w:r>
      <w:r>
        <w:rPr>
          <w:rFonts w:eastAsia="仿宋" w:cs="仿宋" w:asciiTheme="majorHAnsi" w:hAnsiTheme="majorHAnsi"/>
          <w:color w:val="000000" w:themeColor="text1"/>
        </w:rPr>
        <w:t>但为所用</w:t>
      </w:r>
      <w:r>
        <w:rPr>
          <w:rFonts w:hint="eastAsia" w:eastAsia="仿宋" w:cs="仿宋" w:asciiTheme="majorHAnsi" w:hAnsiTheme="majorHAnsi"/>
          <w:color w:val="000000" w:themeColor="text1"/>
        </w:rPr>
        <w:t>”</w:t>
      </w:r>
      <w:r>
        <w:rPr>
          <w:rFonts w:eastAsia="仿宋" w:cs="仿宋" w:asciiTheme="majorHAnsi" w:hAnsiTheme="majorHAnsi"/>
          <w:color w:val="000000" w:themeColor="text1"/>
        </w:rPr>
        <w:t>的柔性引才思维</w:t>
      </w:r>
      <w:r>
        <w:rPr>
          <w:rFonts w:hint="eastAsia" w:ascii="仿宋" w:hAnsi="仿宋" w:eastAsia="仿宋"/>
          <w:bCs/>
          <w:color w:val="000000"/>
        </w:rPr>
        <w:t>，支持企业在北京、上海等国内一线城市和先进城市建设研发服务中心，支持在大城市建立阳城开发区“人才驿站”。构建</w:t>
      </w:r>
      <w:r>
        <w:rPr>
          <w:rFonts w:ascii="仿宋" w:hAnsi="仿宋" w:eastAsia="仿宋"/>
          <w:bCs/>
          <w:color w:val="000000"/>
        </w:rPr>
        <w:t>海外留创园，加大对归国留学人员创新创业的</w:t>
      </w:r>
      <w:r>
        <w:rPr>
          <w:rFonts w:hint="eastAsia" w:ascii="仿宋" w:hAnsi="仿宋" w:eastAsia="仿宋"/>
          <w:bCs/>
          <w:color w:val="000000"/>
        </w:rPr>
        <w:t>招引</w:t>
      </w:r>
      <w:r>
        <w:rPr>
          <w:rFonts w:ascii="仿宋" w:hAnsi="仿宋" w:eastAsia="仿宋"/>
          <w:bCs/>
          <w:color w:val="000000"/>
        </w:rPr>
        <w:t>扶持力度，提升服务，创优环境。</w:t>
      </w:r>
    </w:p>
    <w:p w14:paraId="6FE71A88">
      <w:pPr>
        <w:ind w:firstLine="643"/>
        <w:rPr>
          <w:rFonts w:ascii="仿宋" w:hAnsi="仿宋" w:eastAsia="仿宋" w:cs="仿宋"/>
        </w:rPr>
      </w:pPr>
      <w:r>
        <w:rPr>
          <w:rFonts w:hint="eastAsia" w:ascii="仿宋" w:hAnsi="仿宋" w:eastAsia="仿宋" w:cs="仿宋"/>
          <w:b/>
          <w:bCs/>
          <w:color w:val="000000" w:themeColor="text1"/>
        </w:rPr>
        <w:t>共建校友招商引才基地。</w:t>
      </w:r>
      <w:r>
        <w:rPr>
          <w:rFonts w:hint="eastAsia" w:ascii="仿宋" w:hAnsi="仿宋" w:eastAsia="仿宋" w:cs="仿宋"/>
          <w:color w:val="000000" w:themeColor="text1"/>
        </w:rPr>
        <w:t>抓住阳城开发区首批入选校友招商引才特色园区机遇，在</w:t>
      </w:r>
      <w:r>
        <w:rPr>
          <w:rFonts w:hint="eastAsia" w:ascii="仿宋" w:hAnsi="仿宋" w:eastAsia="仿宋" w:cs="仿宋"/>
        </w:rPr>
        <w:t>省校共建“12大基地”的深度战略合作机制下，将共建“校友招商引才基地”作为招商引才的重要抓手。推动成立校友联盟，有重点分层次，与相关院校成立校友联盟招商平台，整合校友资源，搭建招商引资信息、资源共享平台。通过新建或与现有产业园区共建等模式，设立一批校友经济产业园，为校友来并开展政产学研用合作提供空间载体和配套服务。围绕主导产业，着力引进一批标识度高、牵引性强的校友企业项目，打造校友经济发展高地。不定期举办“校友企业家阳城行”等校友招商引才推介活动，吸引校友来阳城投资兴业。</w:t>
      </w:r>
    </w:p>
    <w:p w14:paraId="75DC8141">
      <w:pPr>
        <w:ind w:firstLine="643"/>
        <w:rPr>
          <w:rFonts w:ascii="楷体" w:hAnsi="楷体" w:eastAsia="楷体"/>
          <w:b/>
        </w:rPr>
      </w:pPr>
      <w:r>
        <w:rPr>
          <w:rFonts w:hint="eastAsia" w:ascii="楷体" w:hAnsi="楷体" w:eastAsia="楷体"/>
          <w:b/>
        </w:rPr>
        <w:t>五、产业会展服务平台</w:t>
      </w:r>
    </w:p>
    <w:p w14:paraId="15D636B4">
      <w:pPr>
        <w:ind w:firstLine="640"/>
        <w:rPr>
          <w:rFonts w:eastAsia="仿宋" w:asciiTheme="majorHAnsi" w:hAnsiTheme="majorHAnsi"/>
          <w:b/>
          <w:color w:val="000000" w:themeColor="text1"/>
        </w:rPr>
      </w:pPr>
      <w:r>
        <w:rPr>
          <w:rFonts w:hint="eastAsia" w:eastAsia="仿宋" w:asciiTheme="majorHAnsi" w:hAnsiTheme="majorHAnsi"/>
          <w:bCs/>
          <w:color w:val="000000" w:themeColor="text1"/>
        </w:rPr>
        <w:t>以会展为载体，以产业服务为基础，以年度产业白皮书发布、年度产业论坛等为抓手，持续地向市场传播阳城开发区的产业价值，持续聚拢产业资源。</w:t>
      </w:r>
    </w:p>
    <w:p w14:paraId="13CEF3BB">
      <w:pPr>
        <w:ind w:firstLine="643"/>
        <w:rPr>
          <w:rFonts w:eastAsia="仿宋" w:asciiTheme="majorHAnsi" w:hAnsiTheme="majorHAnsi"/>
          <w:bCs/>
          <w:color w:val="000000" w:themeColor="text1"/>
        </w:rPr>
      </w:pPr>
      <w:r>
        <w:rPr>
          <w:rFonts w:eastAsia="仿宋" w:asciiTheme="majorHAnsi" w:hAnsiTheme="majorHAnsi"/>
          <w:b/>
          <w:color w:val="000000" w:themeColor="text1"/>
        </w:rPr>
        <w:t>升级会展招商。</w:t>
      </w:r>
      <w:r>
        <w:rPr>
          <w:rFonts w:hint="eastAsia" w:eastAsia="仿宋" w:asciiTheme="majorHAnsi" w:hAnsiTheme="majorHAnsi"/>
          <w:bCs/>
          <w:color w:val="000000" w:themeColor="text1"/>
        </w:rPr>
        <w:t>围绕阳城主导产业，</w:t>
      </w:r>
      <w:r>
        <w:rPr>
          <w:rFonts w:eastAsia="仿宋" w:asciiTheme="majorHAnsi" w:hAnsiTheme="majorHAnsi"/>
          <w:bCs/>
          <w:color w:val="000000" w:themeColor="text1"/>
        </w:rPr>
        <w:t>积极引进和举办国家级、行业性会议和展览，力求在会展质量上有所突破</w:t>
      </w:r>
      <w:r>
        <w:rPr>
          <w:rFonts w:hint="eastAsia" w:eastAsia="仿宋" w:asciiTheme="majorHAnsi" w:hAnsiTheme="majorHAnsi"/>
          <w:bCs/>
          <w:color w:val="000000" w:themeColor="text1"/>
        </w:rPr>
        <w:t>，</w:t>
      </w:r>
      <w:r>
        <w:rPr>
          <w:rFonts w:eastAsia="仿宋" w:asciiTheme="majorHAnsi" w:hAnsiTheme="majorHAnsi"/>
          <w:bCs/>
          <w:color w:val="000000" w:themeColor="text1"/>
        </w:rPr>
        <w:t>发展会展经济</w:t>
      </w:r>
      <w:r>
        <w:rPr>
          <w:rFonts w:hint="eastAsia" w:eastAsia="仿宋" w:asciiTheme="majorHAnsi" w:hAnsiTheme="majorHAnsi"/>
          <w:bCs/>
          <w:color w:val="000000" w:themeColor="text1"/>
        </w:rPr>
        <w:t>，</w:t>
      </w:r>
      <w:r>
        <w:rPr>
          <w:rFonts w:eastAsia="仿宋" w:asciiTheme="majorHAnsi" w:hAnsiTheme="majorHAnsi"/>
          <w:bCs/>
          <w:color w:val="000000" w:themeColor="text1"/>
        </w:rPr>
        <w:t>积极引导会展企业创新引进和自办展会的形式，线上线下相结合，整合更多新技术、新资源，着力培育2-3个特色鲜明、成长性好、竞争力强的自办展会，发挥会展经济对经济</w:t>
      </w:r>
      <w:r>
        <w:rPr>
          <w:rFonts w:hint="eastAsia" w:eastAsia="仿宋" w:asciiTheme="majorHAnsi" w:hAnsiTheme="majorHAnsi"/>
          <w:bCs/>
          <w:color w:val="000000" w:themeColor="text1"/>
        </w:rPr>
        <w:t>转型</w:t>
      </w:r>
      <w:r>
        <w:rPr>
          <w:rFonts w:eastAsia="仿宋" w:asciiTheme="majorHAnsi" w:hAnsiTheme="majorHAnsi"/>
          <w:bCs/>
          <w:color w:val="000000" w:themeColor="text1"/>
        </w:rPr>
        <w:t>的推动效应，促进经济高质量发展。</w:t>
      </w:r>
    </w:p>
    <w:p w14:paraId="1F345CF7">
      <w:pPr>
        <w:ind w:firstLine="643"/>
      </w:pPr>
      <w:r>
        <w:rPr>
          <w:rFonts w:hint="eastAsia"/>
          <w:b/>
          <w:bCs/>
        </w:rPr>
        <w:t>发挥陶瓷会展优势。</w:t>
      </w:r>
      <w:r>
        <w:rPr>
          <w:rFonts w:hint="eastAsia"/>
        </w:rPr>
        <w:t>实施“走出去”战略，以为企业、构筑畅通信息桥梁为目标，运营现代智能信息技术，搭建会展信息化服务平台。建立网络管理系统，实现在展览会市场推广、销售管理、客户服务、产品展示、数据采集和管理、决策支持等领域网上信息化的应用，通过会展业信息化进一步提升展览会的综合竞争力；建立会展展示系统，运用3D扫描仪、VR、创建虚拟空间模型等虚拟现实技术，增强会展的可视性与交互性。</w:t>
      </w:r>
    </w:p>
    <w:p w14:paraId="1C637B31">
      <w:pPr>
        <w:spacing w:line="575" w:lineRule="exact"/>
        <w:ind w:firstLine="643"/>
        <w:rPr>
          <w:rFonts w:asciiTheme="majorHAnsi" w:hAnsiTheme="majorHAnsi"/>
          <w:color w:val="000000" w:themeColor="text1"/>
        </w:rPr>
      </w:pPr>
      <w:r>
        <w:rPr>
          <w:rFonts w:hint="eastAsia" w:ascii="楷体" w:hAnsi="楷体" w:eastAsia="楷体"/>
          <w:b/>
        </w:rPr>
        <w:t>六、开发区运营建设平台</w:t>
      </w:r>
    </w:p>
    <w:p w14:paraId="697359D0">
      <w:pPr>
        <w:ind w:firstLine="640"/>
        <w:rPr>
          <w:color w:val="000000" w:themeColor="text1"/>
        </w:rPr>
      </w:pPr>
      <w:r>
        <w:rPr>
          <w:rFonts w:asciiTheme="majorHAnsi" w:hAnsiTheme="majorHAnsi"/>
          <w:color w:val="000000" w:themeColor="text1"/>
        </w:rPr>
        <w:t>深</w:t>
      </w:r>
      <w:r>
        <w:rPr>
          <w:rFonts w:hint="eastAsia"/>
          <w:color w:val="000000" w:themeColor="text1"/>
        </w:rPr>
        <w:t>化开发区“三化三制”改革，实行管运分离，大胆创新园区开发、建设和管理模式，用市场化手段发挥资本聚集产业、产业促进资本的作用。</w:t>
      </w:r>
    </w:p>
    <w:p w14:paraId="33C85E1B">
      <w:pPr>
        <w:ind w:firstLine="643"/>
        <w:rPr>
          <w:color w:val="000000" w:themeColor="text1"/>
        </w:rPr>
      </w:pPr>
      <w:r>
        <w:rPr>
          <w:rFonts w:hint="eastAsia"/>
          <w:b/>
          <w:bCs/>
          <w:color w:val="000000" w:themeColor="text1"/>
        </w:rPr>
        <w:t>打造建设“园中园”。</w:t>
      </w:r>
      <w:r>
        <w:rPr>
          <w:rFonts w:hint="eastAsia"/>
          <w:color w:val="000000" w:themeColor="text1"/>
        </w:rPr>
        <w:t>以“区域集聚化、园区集群化、产城一体化”为目标，把园中园作为产业聚集的重要载体和招商引资的主战场，坚持“产业集中、企业集群、土地集约、要素集聚”的原则，推动树立“以园招商、以商建园、以园聚企，以企促园”的园区发展理念，准确定位园区主导产业，突出园区全产业链招商，有针对性的引进承接重点产业链、配套链，带动上下游企业和关联企业聚集，推进中金寰华产业园项目实施，集中力量打造一批专业化、特色化产业园区和现代产业基地。</w:t>
      </w:r>
    </w:p>
    <w:p w14:paraId="365F1079">
      <w:pPr>
        <w:ind w:firstLine="643"/>
        <w:rPr>
          <w:color w:val="000000" w:themeColor="text1"/>
        </w:rPr>
      </w:pPr>
      <w:r>
        <w:rPr>
          <w:rFonts w:hint="eastAsia"/>
          <w:b/>
          <w:bCs/>
          <w:color w:val="000000" w:themeColor="text1"/>
        </w:rPr>
        <w:t>创新园区运营模式。</w:t>
      </w:r>
      <w:r>
        <w:rPr>
          <w:rFonts w:hint="eastAsia"/>
          <w:color w:val="000000" w:themeColor="text1"/>
        </w:rPr>
        <w:t>积极引进大企业、大集团、大资本建设“园中园”，打造园区招商引资的综合优势，</w:t>
      </w:r>
      <w:r>
        <w:rPr>
          <w:rFonts w:hint="eastAsia" w:ascii="仿宋" w:hAnsi="仿宋" w:eastAsia="仿宋" w:cs="仿宋"/>
          <w:color w:val="000000" w:themeColor="text1"/>
        </w:rPr>
        <w:t>推进园区招商从拼土地、拼资源向依靠产业链及优质项目招商转变</w:t>
      </w:r>
      <w:r>
        <w:rPr>
          <w:rFonts w:hint="eastAsia"/>
          <w:color w:val="000000" w:themeColor="text1"/>
        </w:rPr>
        <w:t>。引进金融机构、大型企业集团、社会组织和其他投资机构参与园区开发、园区项目建设与运营、股权投资等多方面的合作，构建体制顺畅、渠道多元的园区投融资体系。构建科学、专业、高效的招商组织架构，细化岗位设置，明确职责分配，加强专业招商能力。根据园区发展目标，制定园区总体招商规划和阶段性招商进度计划，统一协调配置园区招商资源。</w:t>
      </w:r>
    </w:p>
    <w:p w14:paraId="29A61B96">
      <w:pPr>
        <w:pStyle w:val="17"/>
        <w:ind w:firstLine="643"/>
      </w:pPr>
      <w:r>
        <w:rPr>
          <w:rFonts w:hint="eastAsia" w:ascii="仿宋_GB2312" w:eastAsia="仿宋_GB2312"/>
        </w:rPr>
        <w:t>成立园区建设平台。</w:t>
      </w:r>
      <w:r>
        <w:rPr>
          <w:rFonts w:hint="eastAsia" w:ascii="仿宋_GB2312" w:eastAsia="仿宋_GB2312"/>
          <w:b w:val="0"/>
          <w:bCs w:val="0"/>
        </w:rPr>
        <w:t>在有条件园区实施“产城融合”开发模式，</w:t>
      </w:r>
      <w:r>
        <w:rPr>
          <w:rFonts w:hint="eastAsia" w:ascii="仿宋_GB2312" w:eastAsia="仿宋_GB2312"/>
          <w:b w:val="0"/>
        </w:rPr>
        <w:t>选择建设领域的优秀机构，以股权合作、购买服务等方式组建园区开发公司，联手一批行业内排名前列的规划、设计、造价、监理等中介机构，实施同步跟跑，不断提升公司本身的市场化盈利能力。</w:t>
      </w:r>
      <w:r>
        <w:rPr>
          <w:rFonts w:hint="eastAsia" w:ascii="仿宋_GB2312" w:eastAsia="仿宋_GB2312"/>
          <w:b w:val="0"/>
          <w:bCs w:val="0"/>
        </w:rPr>
        <w:t>通过厂房代建、租售结合、限期回购的方式，盘活工业地产，拓宽开发区发展资金渠道。</w:t>
      </w:r>
    </w:p>
    <w:p w14:paraId="5D375CAE">
      <w:pPr>
        <w:widowControl/>
        <w:ind w:firstLine="0" w:firstLineChars="0"/>
        <w:jc w:val="left"/>
      </w:pPr>
      <w:r>
        <w:br w:type="page"/>
      </w:r>
    </w:p>
    <w:p w14:paraId="30156564">
      <w:pPr>
        <w:pStyle w:val="3"/>
        <w:rPr>
          <w:sz w:val="36"/>
          <w:szCs w:val="36"/>
        </w:rPr>
      </w:pPr>
      <w:bookmarkStart w:id="69" w:name="_Toc10513"/>
      <w:bookmarkStart w:id="70" w:name="_Toc78803886"/>
      <w:r>
        <w:rPr>
          <w:rFonts w:hint="eastAsia"/>
          <w:sz w:val="36"/>
          <w:szCs w:val="36"/>
        </w:rPr>
        <w:t>第五章  高水平招商引资，开拓合作共赢新局面</w:t>
      </w:r>
      <w:bookmarkEnd w:id="69"/>
      <w:bookmarkEnd w:id="70"/>
    </w:p>
    <w:p w14:paraId="23F076F7">
      <w:pPr>
        <w:ind w:firstLine="640"/>
      </w:pPr>
      <w:r>
        <w:rPr>
          <w:rFonts w:hint="eastAsia"/>
        </w:rPr>
        <w:t>牢牢抓住国家战略实施机遇，主动顺应新一轮科技革命和产业变革，抓住“一带一路”、中部高质量发展、黄河流域生态保护和高质量发展和晋陕豫黄河金三角区域合作的深度互动格局，坚持“引进来”与“走出去”并重，加速推进融入全国乃至全球产业分工进程。高水平建设重大开放平台，增强对外通达能力，对标一流营商环境，提升全面开放能级，提升招商引资水平和效能，建设全省一流的园区开放新高地。</w:t>
      </w:r>
    </w:p>
    <w:p w14:paraId="5EF97A8F">
      <w:pPr>
        <w:pStyle w:val="4"/>
        <w:rPr>
          <w:rFonts w:ascii="黑体" w:hAnsi="黑体" w:eastAsia="黑体"/>
        </w:rPr>
      </w:pPr>
      <w:bookmarkStart w:id="71" w:name="_Toc5351"/>
      <w:bookmarkStart w:id="72" w:name="_Toc78803887"/>
      <w:r>
        <w:rPr>
          <w:rFonts w:hint="eastAsia" w:ascii="黑体" w:hAnsi="黑体" w:eastAsia="黑体"/>
        </w:rPr>
        <w:t>第一节  高起点谋划推进招商引资</w:t>
      </w:r>
      <w:bookmarkEnd w:id="71"/>
      <w:bookmarkEnd w:id="72"/>
    </w:p>
    <w:p w14:paraId="24C2F384">
      <w:pPr>
        <w:ind w:firstLine="640"/>
        <w:rPr>
          <w:color w:val="000000"/>
        </w:rPr>
      </w:pPr>
      <w:r>
        <w:rPr>
          <w:rFonts w:hint="eastAsia"/>
          <w:color w:val="000000"/>
        </w:rPr>
        <w:t>将招商引资作为建设产业高地的首要任务，大力提升产业链供应链现代化水平。瞄准世界500强、中国500强、民营企业500强和大型国企、央企、行业龙头企业（区域总部或项目公司），着力招大引强，通过重大产业项目引进，补短板、强链条，培育一批新型产业集群，推动产业升级、经济转型。</w:t>
      </w:r>
    </w:p>
    <w:p w14:paraId="00CA673F">
      <w:pPr>
        <w:spacing w:line="600" w:lineRule="exact"/>
        <w:ind w:firstLine="630" w:firstLineChars="196"/>
      </w:pPr>
      <w:r>
        <w:rPr>
          <w:rFonts w:hint="eastAsia"/>
          <w:b/>
          <w:bCs/>
        </w:rPr>
        <w:t>完善招引机制。</w:t>
      </w:r>
      <w:r>
        <w:rPr>
          <w:rFonts w:hint="eastAsia"/>
        </w:rPr>
        <w:t>形成收集资料、专家咨询、会商谈判、法律审核、签约落地的项目招引机制，把专家决策咨询环节嵌入到招引流程，使重要项目进门时先由专家进行评判，谈判过程法律顾问全程跟踪，保障签约合同符合政策，经得住检验。</w:t>
      </w:r>
    </w:p>
    <w:p w14:paraId="25DA404D">
      <w:pPr>
        <w:spacing w:line="600" w:lineRule="exact"/>
        <w:ind w:firstLine="630" w:firstLineChars="196"/>
        <w:rPr>
          <w:highlight w:val="yellow"/>
        </w:rPr>
      </w:pPr>
      <w:r>
        <w:rPr>
          <w:rFonts w:hint="eastAsia"/>
          <w:b/>
          <w:bCs/>
        </w:rPr>
        <w:t>完善落地机制。</w:t>
      </w:r>
      <w:r>
        <w:rPr>
          <w:rFonts w:hint="eastAsia"/>
        </w:rPr>
        <w:t>从企业入区开始，一个项目配备一个项目经理组，一手托着企业需求，一手拉住部门职责，全生命跟踪，终身陪跑，通过“三单一图”（任务通知单、部门对接单、督查督办单和项目流程图），明确项目招引、手续办理、要素保障、投产运营等4个环节的领办代办主体，打通环节壁垒，凝聚部门合力，保障项目引得进来、落得下去，发展得好。</w:t>
      </w:r>
    </w:p>
    <w:p w14:paraId="31BBCECA">
      <w:pPr>
        <w:spacing w:line="600" w:lineRule="exact"/>
        <w:ind w:firstLine="630" w:firstLineChars="196"/>
      </w:pPr>
      <w:r>
        <w:rPr>
          <w:rFonts w:hint="eastAsia"/>
          <w:b/>
          <w:bCs/>
        </w:rPr>
        <w:t>实施“四条路径”推进招商精准化。实施以根寻链。</w:t>
      </w:r>
      <w:r>
        <w:rPr>
          <w:rFonts w:hint="eastAsia"/>
        </w:rPr>
        <w:t>依托龙头链主企业开枝散叶，围绕龙头企业项目，招引其上下游企业集聚到阳城开发区。</w:t>
      </w:r>
      <w:r>
        <w:rPr>
          <w:rFonts w:hint="eastAsia"/>
          <w:b/>
          <w:bCs/>
        </w:rPr>
        <w:t>实施“引孵培壮”。</w:t>
      </w:r>
      <w:r>
        <w:rPr>
          <w:rFonts w:hint="eastAsia"/>
        </w:rPr>
        <w:t>在新材料等重点产业，以陶瓷、中药材等行业协会为牵引，细分产业链，引种-孵化-培育-壮大，以龙头企业带动产业，培育上游、中游、下游的产业链集群。</w:t>
      </w:r>
      <w:r>
        <w:rPr>
          <w:rFonts w:hint="eastAsia"/>
          <w:b/>
          <w:bCs/>
        </w:rPr>
        <w:t>实施平台导入。</w:t>
      </w:r>
      <w:r>
        <w:rPr>
          <w:rFonts w:hint="eastAsia"/>
        </w:rPr>
        <w:t>组建新材料和研究院，引入关键技术，打通“研发—生产—应用、技术—产品—产业”两个创新链条，引进权威技术，将距市场一步之遥的技术成果，通过研究院孵化、转化和产业化，为开发区提供项目源头活水。</w:t>
      </w:r>
      <w:r>
        <w:rPr>
          <w:rFonts w:hint="eastAsia"/>
          <w:b/>
          <w:bCs/>
        </w:rPr>
        <w:t>实施飞地育成。</w:t>
      </w:r>
      <w:r>
        <w:rPr>
          <w:rFonts w:hint="eastAsia"/>
        </w:rPr>
        <w:t>在长三角、粤港澳等发达地区地设立孵化空间，项目注册在阳城开发区，研发培育在沿海技术发达地区，项目成熟后，规模化生产基地将落地阳城开发区。同时，利用孵化空间，在长三角、粤港澳招聘一批高素质招商人才，实施年薪制和末尾淘汰制，形成激励和竞争机制，打造一支开发区在飞地专业招商队伍。</w:t>
      </w:r>
    </w:p>
    <w:p w14:paraId="1EC0E678">
      <w:pPr>
        <w:ind w:firstLine="640"/>
      </w:pPr>
    </w:p>
    <w:p w14:paraId="5FC29A93">
      <w:pPr>
        <w:pStyle w:val="4"/>
        <w:spacing w:line="575" w:lineRule="exact"/>
        <w:ind w:firstLine="640" w:firstLineChars="200"/>
        <w:rPr>
          <w:rFonts w:ascii="黑体" w:hAnsi="黑体" w:eastAsia="黑体"/>
          <w:b/>
          <w:bCs/>
        </w:rPr>
      </w:pPr>
      <w:bookmarkStart w:id="73" w:name="_Toc64363204"/>
      <w:bookmarkStart w:id="74" w:name="_Toc78803888"/>
      <w:bookmarkStart w:id="75" w:name="_Toc17414"/>
      <w:r>
        <w:rPr>
          <w:rFonts w:hint="eastAsia" w:ascii="黑体" w:hAnsi="黑体" w:eastAsia="黑体"/>
        </w:rPr>
        <w:t xml:space="preserve">第二节  </w:t>
      </w:r>
      <w:r>
        <w:rPr>
          <w:rFonts w:hint="eastAsia" w:ascii="黑体" w:hAnsi="黑体" w:eastAsia="黑体"/>
          <w:b/>
          <w:bCs/>
        </w:rPr>
        <w:t>“五链耦合”壮大优势产业集群</w:t>
      </w:r>
      <w:bookmarkEnd w:id="73"/>
      <w:bookmarkEnd w:id="74"/>
      <w:bookmarkEnd w:id="75"/>
      <w:bookmarkStart w:id="76" w:name="_Toc302308947"/>
      <w:bookmarkStart w:id="77" w:name="_Toc325266484"/>
    </w:p>
    <w:p w14:paraId="04A27BED">
      <w:pPr>
        <w:spacing w:line="575" w:lineRule="exact"/>
        <w:ind w:firstLine="640"/>
        <w:rPr>
          <w:rFonts w:eastAsia="仿宋" w:asciiTheme="majorHAnsi" w:hAnsiTheme="majorHAnsi"/>
          <w:color w:val="000000" w:themeColor="text1"/>
        </w:rPr>
      </w:pPr>
      <w:r>
        <w:rPr>
          <w:rFonts w:eastAsia="仿宋" w:asciiTheme="majorHAnsi" w:hAnsiTheme="majorHAnsi"/>
          <w:color w:val="000000" w:themeColor="text1"/>
        </w:rPr>
        <w:t>坚持把产业生态培育作为重要抓手，聚焦战略性新兴产业集群重点发力，促进产业链、创新链、供应链、要素链、价值链</w:t>
      </w:r>
      <w:r>
        <w:rPr>
          <w:rFonts w:hint="eastAsia" w:eastAsia="仿宋" w:asciiTheme="majorHAnsi" w:hAnsiTheme="majorHAnsi"/>
          <w:color w:val="000000" w:themeColor="text1"/>
        </w:rPr>
        <w:t>“</w:t>
      </w:r>
      <w:r>
        <w:rPr>
          <w:rFonts w:eastAsia="仿宋" w:asciiTheme="majorHAnsi" w:hAnsiTheme="majorHAnsi"/>
          <w:color w:val="000000" w:themeColor="text1"/>
        </w:rPr>
        <w:t>五链耦合</w:t>
      </w:r>
      <w:r>
        <w:rPr>
          <w:rFonts w:hint="eastAsia" w:eastAsia="仿宋" w:asciiTheme="majorHAnsi" w:hAnsiTheme="majorHAnsi"/>
          <w:color w:val="000000" w:themeColor="text1"/>
        </w:rPr>
        <w:t>”</w:t>
      </w:r>
      <w:r>
        <w:rPr>
          <w:rFonts w:eastAsia="仿宋" w:asciiTheme="majorHAnsi" w:hAnsiTheme="majorHAnsi"/>
          <w:color w:val="000000" w:themeColor="text1"/>
        </w:rPr>
        <w:t>，打造千亿级优势产业集群。</w:t>
      </w:r>
      <w:bookmarkEnd w:id="76"/>
    </w:p>
    <w:p w14:paraId="398DB064">
      <w:pPr>
        <w:ind w:firstLine="643"/>
        <w:rPr>
          <w:bCs/>
        </w:rPr>
      </w:pPr>
      <w:bookmarkStart w:id="78" w:name="_Toc64363205"/>
      <w:bookmarkStart w:id="79" w:name="_Toc26749"/>
      <w:bookmarkStart w:id="80" w:name="_Toc23109"/>
      <w:r>
        <w:rPr>
          <w:rFonts w:eastAsia="仿宋" w:cs="仿宋" w:asciiTheme="majorHAnsi" w:hAnsiTheme="majorHAnsi"/>
          <w:b/>
          <w:bCs/>
          <w:color w:val="000000" w:themeColor="text1"/>
        </w:rPr>
        <w:t>聚力延链补链强链，形成良好产业生态</w:t>
      </w:r>
      <w:bookmarkEnd w:id="78"/>
      <w:bookmarkEnd w:id="79"/>
      <w:r>
        <w:rPr>
          <w:rFonts w:hint="eastAsia" w:eastAsia="仿宋" w:cs="仿宋" w:asciiTheme="majorHAnsi" w:hAnsiTheme="majorHAnsi"/>
          <w:b/>
          <w:bCs/>
          <w:color w:val="000000" w:themeColor="text1"/>
        </w:rPr>
        <w:t>。</w:t>
      </w:r>
      <w:r>
        <w:rPr>
          <w:rFonts w:eastAsia="仿宋" w:asciiTheme="majorHAnsi" w:hAnsiTheme="majorHAnsi"/>
          <w:bCs/>
          <w:color w:val="000000" w:themeColor="text1"/>
        </w:rPr>
        <w:t>围绕</w:t>
      </w:r>
      <w:r>
        <w:rPr>
          <w:rFonts w:hint="eastAsia" w:eastAsia="仿宋" w:asciiTheme="majorHAnsi" w:hAnsiTheme="majorHAnsi"/>
          <w:bCs/>
          <w:color w:val="000000" w:themeColor="text1"/>
        </w:rPr>
        <w:t>首位产业部署</w:t>
      </w:r>
      <w:r>
        <w:rPr>
          <w:rFonts w:eastAsia="仿宋" w:asciiTheme="majorHAnsi" w:hAnsiTheme="majorHAnsi"/>
          <w:bCs/>
          <w:color w:val="000000" w:themeColor="text1"/>
        </w:rPr>
        <w:t>产业链创新链，着力构建更加稳定的供应链，打造更优产业生态。结合产业图谱梳理现有主导产业，支持</w:t>
      </w:r>
      <w:r>
        <w:rPr>
          <w:rFonts w:hint="eastAsia" w:eastAsia="仿宋" w:asciiTheme="majorHAnsi" w:hAnsiTheme="majorHAnsi"/>
          <w:bCs/>
          <w:color w:val="000000" w:themeColor="text1"/>
        </w:rPr>
        <w:t>区内</w:t>
      </w:r>
      <w:r>
        <w:rPr>
          <w:rFonts w:eastAsia="仿宋" w:asciiTheme="majorHAnsi" w:hAnsiTheme="majorHAnsi"/>
          <w:bCs/>
          <w:color w:val="000000" w:themeColor="text1"/>
        </w:rPr>
        <w:t>产业链龙头企业发展，围绕产业链关键环节，聚焦行业敏感要素需求，前瞻分析、精准招引产业研究院、国家级科研团队和行业头部独角兽创新企业，深化政产学研用投协同发展，全力构建产业生态圈、打造产业生态链。</w:t>
      </w:r>
      <w:bookmarkEnd w:id="80"/>
    </w:p>
    <w:p w14:paraId="231E3BB3">
      <w:pPr>
        <w:ind w:firstLine="643"/>
        <w:rPr>
          <w:rFonts w:ascii="仿宋" w:hAnsi="仿宋" w:eastAsia="仿宋" w:cs="仿宋"/>
          <w:bCs/>
          <w:color w:val="000000" w:themeColor="text1"/>
        </w:rPr>
      </w:pPr>
      <w:bookmarkStart w:id="81" w:name="_Toc64363206"/>
      <w:bookmarkStart w:id="82" w:name="_Toc16409"/>
      <w:bookmarkStart w:id="83" w:name="_Toc14763"/>
      <w:r>
        <w:rPr>
          <w:rFonts w:hint="eastAsia" w:ascii="仿宋" w:hAnsi="仿宋" w:eastAsia="仿宋" w:cs="仿宋"/>
          <w:b/>
          <w:bCs/>
          <w:color w:val="000000" w:themeColor="text1"/>
        </w:rPr>
        <w:t>推进</w:t>
      </w:r>
      <w:bookmarkEnd w:id="77"/>
      <w:r>
        <w:rPr>
          <w:rFonts w:eastAsia="仿宋" w:cs="仿宋" w:asciiTheme="majorHAnsi" w:hAnsiTheme="majorHAnsi"/>
          <w:b/>
          <w:bCs/>
          <w:color w:val="000000" w:themeColor="text1"/>
        </w:rPr>
        <w:t>全产业链招商，形成集群发展态势</w:t>
      </w:r>
      <w:bookmarkEnd w:id="81"/>
      <w:bookmarkEnd w:id="82"/>
      <w:r>
        <w:rPr>
          <w:rFonts w:hint="eastAsia" w:eastAsia="仿宋" w:cs="仿宋" w:asciiTheme="majorHAnsi" w:hAnsiTheme="majorHAnsi"/>
          <w:b/>
          <w:bCs/>
          <w:color w:val="000000" w:themeColor="text1"/>
        </w:rPr>
        <w:t>。</w:t>
      </w:r>
      <w:r>
        <w:rPr>
          <w:rFonts w:hint="eastAsia" w:ascii="仿宋" w:hAnsi="仿宋" w:eastAsia="仿宋" w:cs="仿宋"/>
          <w:bCs/>
          <w:color w:val="000000" w:themeColor="text1"/>
        </w:rPr>
        <w:t>结合全市产业优势基础和发展需要，梳理产业链缺失环节，统筹编制产业链招商地图和路线图，紧密围绕产业链上中下游全链条针对性开展招商工作。以阳城开投公司为合作主体，围绕“强龙头、补链条、建集群”，重点开展针对国内外行业龙头企业、新领军企业和细分节点企业的产业定向招商，形成“土地+标准厂房+资金+技术”合作模式，逐步聚集产业链上下游企业，形成产业集群发展态势。注重引大、引优、引强，注重产业链关联项目的整体引进，在重点产业上谋求突破，打造产业链完整、创新能力强、带动作用大的产业基地。</w:t>
      </w:r>
      <w:bookmarkEnd w:id="83"/>
    </w:p>
    <w:p w14:paraId="5247C181">
      <w:pPr>
        <w:pStyle w:val="16"/>
        <w:widowControl w:val="0"/>
        <w:shd w:val="clear" w:color="auto" w:fill="FFFFFF"/>
        <w:spacing w:before="0" w:beforeAutospacing="0" w:after="0" w:afterAutospacing="0"/>
        <w:ind w:firstLine="480"/>
        <w:rPr>
          <w:rFonts w:eastAsia="仿宋" w:cs="仿宋" w:asciiTheme="majorHAnsi" w:hAnsiTheme="majorHAnsi"/>
          <w:bCs/>
          <w:color w:val="000000" w:themeColor="text1"/>
        </w:rPr>
      </w:pPr>
    </w:p>
    <w:p w14:paraId="4C01B3C8">
      <w:pPr>
        <w:ind w:firstLine="643"/>
        <w:rPr>
          <w:bCs/>
          <w:color w:val="000000" w:themeColor="text1"/>
        </w:rPr>
      </w:pPr>
      <w:bookmarkStart w:id="84" w:name="_Toc16717"/>
      <w:bookmarkStart w:id="85" w:name="_Toc64363207"/>
      <w:bookmarkStart w:id="86" w:name="_Toc24794"/>
      <w:r>
        <w:rPr>
          <w:rFonts w:hint="eastAsia" w:ascii="仿宋" w:hAnsi="仿宋" w:eastAsia="仿宋" w:cs="仿宋"/>
          <w:b/>
          <w:bCs/>
          <w:color w:val="000000" w:themeColor="text1"/>
        </w:rPr>
        <w:t>推动实施</w:t>
      </w:r>
      <w:r>
        <w:rPr>
          <w:rFonts w:hint="eastAsia" w:eastAsia="仿宋" w:cs="仿宋" w:asciiTheme="majorHAnsi" w:hAnsiTheme="majorHAnsi"/>
          <w:b/>
          <w:bCs/>
          <w:color w:val="000000" w:themeColor="text1"/>
        </w:rPr>
        <w:t>“</w:t>
      </w:r>
      <w:r>
        <w:rPr>
          <w:rFonts w:eastAsia="仿宋" w:cs="仿宋" w:asciiTheme="majorHAnsi" w:hAnsiTheme="majorHAnsi"/>
          <w:b/>
          <w:bCs/>
          <w:color w:val="000000" w:themeColor="text1"/>
        </w:rPr>
        <w:t>链长制</w:t>
      </w:r>
      <w:r>
        <w:rPr>
          <w:rFonts w:hint="eastAsia" w:eastAsia="仿宋" w:cs="仿宋" w:asciiTheme="majorHAnsi" w:hAnsiTheme="majorHAnsi"/>
          <w:b/>
          <w:bCs/>
          <w:color w:val="000000" w:themeColor="text1"/>
        </w:rPr>
        <w:t>”</w:t>
      </w:r>
      <w:r>
        <w:rPr>
          <w:rFonts w:eastAsia="仿宋" w:cs="仿宋" w:asciiTheme="majorHAnsi" w:hAnsiTheme="majorHAnsi"/>
          <w:b/>
          <w:bCs/>
          <w:color w:val="000000" w:themeColor="text1"/>
        </w:rPr>
        <w:t>，形成联动工作模式</w:t>
      </w:r>
      <w:bookmarkEnd w:id="84"/>
      <w:bookmarkEnd w:id="85"/>
      <w:r>
        <w:rPr>
          <w:rFonts w:hint="eastAsia" w:eastAsia="仿宋" w:cs="仿宋" w:asciiTheme="majorHAnsi" w:hAnsiTheme="majorHAnsi"/>
          <w:b/>
          <w:bCs/>
          <w:color w:val="000000" w:themeColor="text1"/>
        </w:rPr>
        <w:t>。</w:t>
      </w:r>
      <w:r>
        <w:rPr>
          <w:rFonts w:hint="eastAsia"/>
          <w:bCs/>
          <w:color w:val="000000" w:themeColor="text1"/>
        </w:rPr>
        <w:t>筛选一批产业规模实力强、产业链条完善、龙头企业支撑突出、发展空间大的重点产业链，由开发区领导同志担任产业链链长，按照“一位领导、一个牵头部门、一位局级负责同志、一个工作方案、一套支持政策”工作模式，协力推进产业链发展。针对产业类、研发科技类、城乡建设类、民生类项目细分产业方向，围绕各自链条推进“专家库”“项目库”建设和项目招引，全面掌握产业链重点企业、重点项目、重点平台、关键共性技术、制约瓶颈等情况。研究制定产业链图、技术路线图、应用领域图、区域分布图，实施产业链“四图”作业；制定做优做强做大产业链工作计划，统筹推进产业链企业发展、招商引资、项目建设、人才引进、技术创新等重大事项，建立产业链发展日常调度通报和工作协调机制。</w:t>
      </w:r>
      <w:bookmarkEnd w:id="86"/>
    </w:p>
    <w:p w14:paraId="531BAD76">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hint="eastAsia" w:ascii="楷体" w:hAnsi="楷体" w:eastAsia="楷体" w:cs="Calibri"/>
          <w:sz w:val="28"/>
          <w:szCs w:val="28"/>
        </w:rPr>
        <w:t>专栏5：头部企业招商引资专项行动</w:t>
      </w:r>
    </w:p>
    <w:p w14:paraId="357CB6D6">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hint="eastAsia" w:ascii="楷体" w:hAnsi="楷体" w:eastAsia="楷体" w:cs="Calibri"/>
          <w:sz w:val="28"/>
          <w:szCs w:val="28"/>
        </w:rPr>
        <w:t>1.</w:t>
      </w:r>
      <w:r>
        <w:rPr>
          <w:rFonts w:ascii="楷体" w:hAnsi="楷体" w:eastAsia="楷体" w:cs="Calibri"/>
          <w:sz w:val="28"/>
          <w:szCs w:val="28"/>
        </w:rPr>
        <w:t>独角兽企业专项招商引资工程；</w:t>
      </w:r>
    </w:p>
    <w:p w14:paraId="04849977">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hint="eastAsia" w:ascii="楷体" w:hAnsi="楷体" w:eastAsia="楷体" w:cs="Calibri"/>
          <w:sz w:val="28"/>
          <w:szCs w:val="28"/>
        </w:rPr>
        <w:t>2.</w:t>
      </w:r>
      <w:r>
        <w:rPr>
          <w:rFonts w:ascii="楷体" w:hAnsi="楷体" w:eastAsia="楷体" w:cs="Calibri"/>
          <w:sz w:val="28"/>
          <w:szCs w:val="28"/>
        </w:rPr>
        <w:t>瞪羚企业专项招商引资工程；</w:t>
      </w:r>
    </w:p>
    <w:p w14:paraId="58AC5A3D">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hint="eastAsia" w:ascii="楷体" w:hAnsi="楷体" w:eastAsia="楷体" w:cs="Calibri"/>
          <w:sz w:val="28"/>
          <w:szCs w:val="28"/>
        </w:rPr>
        <w:t>3.央企区域总部</w:t>
      </w:r>
      <w:r>
        <w:rPr>
          <w:rFonts w:ascii="楷体" w:hAnsi="楷体" w:eastAsia="楷体" w:cs="Calibri"/>
          <w:sz w:val="28"/>
          <w:szCs w:val="28"/>
        </w:rPr>
        <w:t>专项招商引资工程；</w:t>
      </w:r>
    </w:p>
    <w:p w14:paraId="0D8FA420">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hint="eastAsia" w:ascii="楷体" w:hAnsi="楷体" w:eastAsia="楷体" w:cs="Calibri"/>
          <w:sz w:val="28"/>
          <w:szCs w:val="28"/>
        </w:rPr>
        <w:t>4.</w:t>
      </w:r>
      <w:r>
        <w:rPr>
          <w:rFonts w:ascii="楷体" w:hAnsi="楷体" w:eastAsia="楷体" w:cs="Calibri"/>
          <w:sz w:val="28"/>
          <w:szCs w:val="28"/>
        </w:rPr>
        <w:t>产业链龙头企业专项招商引资工程；</w:t>
      </w:r>
    </w:p>
    <w:p w14:paraId="5203437C">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hint="eastAsia" w:ascii="楷体" w:hAnsi="楷体" w:eastAsia="楷体" w:cs="Calibri"/>
          <w:sz w:val="28"/>
          <w:szCs w:val="28"/>
        </w:rPr>
        <w:t>5.补链环节重点企业</w:t>
      </w:r>
      <w:r>
        <w:rPr>
          <w:rFonts w:ascii="楷体" w:hAnsi="楷体" w:eastAsia="楷体" w:cs="Calibri"/>
          <w:sz w:val="28"/>
          <w:szCs w:val="28"/>
        </w:rPr>
        <w:t>招商引资工程；</w:t>
      </w:r>
    </w:p>
    <w:p w14:paraId="70C85AB0">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hint="eastAsia" w:ascii="楷体" w:hAnsi="楷体" w:eastAsia="楷体" w:cs="Calibri"/>
          <w:sz w:val="28"/>
          <w:szCs w:val="28"/>
        </w:rPr>
        <w:t>6.外资企业</w:t>
      </w:r>
      <w:r>
        <w:rPr>
          <w:rFonts w:ascii="楷体" w:hAnsi="楷体" w:eastAsia="楷体" w:cs="Calibri"/>
          <w:sz w:val="28"/>
          <w:szCs w:val="28"/>
        </w:rPr>
        <w:t>招商引资工程；</w:t>
      </w:r>
    </w:p>
    <w:p w14:paraId="13EF5FF3">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p>
    <w:p w14:paraId="6BD6073C">
      <w:pPr>
        <w:pStyle w:val="4"/>
        <w:spacing w:line="575" w:lineRule="exact"/>
        <w:ind w:firstLine="640" w:firstLineChars="200"/>
        <w:rPr>
          <w:rFonts w:cs="楷体" w:asciiTheme="majorHAnsi" w:hAnsiTheme="majorHAnsi"/>
          <w:color w:val="000000" w:themeColor="text1"/>
        </w:rPr>
      </w:pPr>
      <w:bookmarkStart w:id="87" w:name="_Toc30965"/>
      <w:bookmarkStart w:id="88" w:name="_Toc78803889"/>
      <w:bookmarkStart w:id="89" w:name="_Toc64363218"/>
      <w:bookmarkStart w:id="90" w:name="_Toc455379866"/>
      <w:r>
        <w:rPr>
          <w:rFonts w:hint="eastAsia" w:ascii="黑体" w:hAnsi="黑体" w:eastAsia="黑体"/>
        </w:rPr>
        <w:t>第三节  全面优化招商方式</w:t>
      </w:r>
      <w:bookmarkEnd w:id="87"/>
      <w:bookmarkEnd w:id="88"/>
      <w:bookmarkEnd w:id="89"/>
      <w:bookmarkEnd w:id="90"/>
    </w:p>
    <w:p w14:paraId="43ABED6C">
      <w:pPr>
        <w:ind w:firstLine="640"/>
        <w:rPr>
          <w:rFonts w:eastAsia="仿宋" w:asciiTheme="majorHAnsi" w:hAnsiTheme="majorHAnsi"/>
          <w:bCs/>
          <w:color w:val="000000" w:themeColor="text1"/>
        </w:rPr>
      </w:pPr>
      <w:bookmarkStart w:id="91" w:name="_Toc281209847"/>
      <w:r>
        <w:rPr>
          <w:rFonts w:hint="eastAsia" w:eastAsia="仿宋" w:asciiTheme="majorHAnsi" w:hAnsiTheme="majorHAnsi"/>
          <w:bCs/>
          <w:color w:val="000000" w:themeColor="text1"/>
        </w:rPr>
        <w:t>坚持把创新模式作为招商引资工作的动力和引擎，以市场化运作机制和专业化招商手段破解项目引进难题，发挥资本撬动作用，升级完善传统招商方式，构建一体化大招商格局。</w:t>
      </w:r>
    </w:p>
    <w:p w14:paraId="622E0FA7">
      <w:pPr>
        <w:ind w:firstLine="643"/>
        <w:rPr>
          <w:rFonts w:eastAsia="仿宋" w:asciiTheme="majorHAnsi" w:hAnsiTheme="majorHAnsi"/>
          <w:color w:val="000000" w:themeColor="text1"/>
        </w:rPr>
      </w:pPr>
      <w:bookmarkStart w:id="92" w:name="_Toc64363219"/>
      <w:bookmarkStart w:id="93" w:name="_Toc6037"/>
      <w:bookmarkStart w:id="94" w:name="_Toc21275"/>
      <w:r>
        <w:rPr>
          <w:rFonts w:hint="eastAsia" w:ascii="仿宋" w:hAnsi="仿宋" w:eastAsia="仿宋" w:cs="仿宋"/>
          <w:b/>
          <w:bCs/>
          <w:color w:val="000000" w:themeColor="text1"/>
        </w:rPr>
        <w:t>推广市</w:t>
      </w:r>
      <w:r>
        <w:rPr>
          <w:rFonts w:eastAsia="仿宋" w:cs="仿宋" w:asciiTheme="majorHAnsi" w:hAnsiTheme="majorHAnsi"/>
          <w:b/>
          <w:bCs/>
          <w:color w:val="000000" w:themeColor="text1"/>
        </w:rPr>
        <w:t>场化招商，提高专业化运作水平</w:t>
      </w:r>
      <w:bookmarkEnd w:id="92"/>
      <w:bookmarkEnd w:id="93"/>
      <w:r>
        <w:rPr>
          <w:rFonts w:hint="eastAsia" w:eastAsia="仿宋" w:cs="仿宋" w:asciiTheme="majorHAnsi" w:hAnsiTheme="majorHAnsi"/>
          <w:b/>
          <w:bCs/>
          <w:color w:val="000000" w:themeColor="text1"/>
        </w:rPr>
        <w:t>。</w:t>
      </w:r>
      <w:r>
        <w:rPr>
          <w:rFonts w:eastAsia="仿宋" w:asciiTheme="majorHAnsi" w:hAnsiTheme="majorHAnsi"/>
          <w:color w:val="000000" w:themeColor="text1"/>
        </w:rPr>
        <w:t>鼓励各类中介机构参与招商引资，提高招商引资效率和优化资源配置。大力推广市场化招商引资，通过企业或社会中介机构延伸招商引资职能，进一步提高招商引资专业化程度。积极推进中介招商、委托招商、代理招商及以商招商，完善市场化招商引资的采购机制、激励机制、考核机制。</w:t>
      </w:r>
      <w:bookmarkEnd w:id="94"/>
    </w:p>
    <w:p w14:paraId="351F3D2F">
      <w:pPr>
        <w:spacing w:line="575" w:lineRule="exact"/>
        <w:ind w:firstLine="643"/>
        <w:rPr>
          <w:rFonts w:eastAsia="仿宋" w:asciiTheme="majorHAnsi" w:hAnsiTheme="majorHAnsi"/>
          <w:color w:val="000000" w:themeColor="text1"/>
        </w:rPr>
      </w:pPr>
      <w:bookmarkStart w:id="95" w:name="_Toc29745"/>
      <w:bookmarkStart w:id="96" w:name="_Toc64363220"/>
      <w:r>
        <w:rPr>
          <w:rFonts w:hint="eastAsia" w:ascii="仿宋" w:hAnsi="仿宋" w:eastAsia="仿宋" w:cs="仿宋"/>
          <w:b/>
          <w:bCs/>
          <w:color w:val="000000" w:themeColor="text1"/>
        </w:rPr>
        <w:t>开</w:t>
      </w:r>
      <w:r>
        <w:rPr>
          <w:rFonts w:eastAsia="仿宋" w:cs="仿宋" w:asciiTheme="majorHAnsi" w:hAnsiTheme="majorHAnsi"/>
          <w:b/>
          <w:bCs/>
          <w:color w:val="000000" w:themeColor="text1"/>
        </w:rPr>
        <w:t>展社会化招商，丰富项目来源渠道</w:t>
      </w:r>
      <w:bookmarkEnd w:id="95"/>
      <w:bookmarkEnd w:id="96"/>
      <w:r>
        <w:rPr>
          <w:rFonts w:hint="eastAsia" w:eastAsia="仿宋" w:cs="仿宋" w:asciiTheme="majorHAnsi" w:hAnsiTheme="majorHAnsi"/>
          <w:b/>
          <w:bCs/>
          <w:color w:val="000000" w:themeColor="text1"/>
        </w:rPr>
        <w:t>。</w:t>
      </w:r>
      <w:r>
        <w:rPr>
          <w:rFonts w:eastAsia="仿宋" w:asciiTheme="majorHAnsi" w:hAnsiTheme="majorHAnsi"/>
          <w:color w:val="000000" w:themeColor="text1"/>
        </w:rPr>
        <w:t>借助省市驻外机构、商协会、专业机构，逐步建立辐射全国的招商引资联络中心，集合驻外机构、商协会、专业机构等智慧力量，搜集项目信息，挖掘潜在项目。主动对接异地驻并商（协）会和异地山西商（协）会，提供我</w:t>
      </w:r>
      <w:r>
        <w:rPr>
          <w:rFonts w:hint="eastAsia" w:eastAsia="仿宋" w:asciiTheme="majorHAnsi" w:hAnsiTheme="majorHAnsi"/>
          <w:color w:val="000000" w:themeColor="text1"/>
        </w:rPr>
        <w:t>区</w:t>
      </w:r>
      <w:r>
        <w:rPr>
          <w:rFonts w:eastAsia="仿宋" w:asciiTheme="majorHAnsi" w:hAnsiTheme="majorHAnsi"/>
          <w:color w:val="000000" w:themeColor="text1"/>
        </w:rPr>
        <w:t>招商引资宣传资料，以此为支点扩大招商引资宣传辐射范围，形成招商宣传的强大阵势，做好推介宣传，讲好</w:t>
      </w:r>
      <w:r>
        <w:rPr>
          <w:rFonts w:hint="eastAsia" w:eastAsia="仿宋" w:asciiTheme="majorHAnsi" w:hAnsiTheme="majorHAnsi"/>
          <w:color w:val="000000" w:themeColor="text1"/>
        </w:rPr>
        <w:t>阳城</w:t>
      </w:r>
      <w:r>
        <w:rPr>
          <w:rFonts w:eastAsia="仿宋" w:asciiTheme="majorHAnsi" w:hAnsiTheme="majorHAnsi"/>
          <w:color w:val="000000" w:themeColor="text1"/>
        </w:rPr>
        <w:t>故事，有针对性聘请招商引资顾问，打造驻外招商平台，在重点地区开展驻点招商、跟踪式招商。</w:t>
      </w:r>
      <w:bookmarkStart w:id="97" w:name="_Toc22817"/>
      <w:bookmarkStart w:id="98" w:name="_Toc64363221"/>
    </w:p>
    <w:p w14:paraId="1D9BF1CE">
      <w:pPr>
        <w:spacing w:line="575" w:lineRule="exact"/>
        <w:ind w:firstLine="643"/>
        <w:rPr>
          <w:rFonts w:eastAsia="仿宋" w:asciiTheme="majorHAnsi" w:hAnsiTheme="majorHAnsi"/>
          <w:bCs/>
          <w:color w:val="000000" w:themeColor="text1"/>
        </w:rPr>
      </w:pPr>
      <w:r>
        <w:rPr>
          <w:rFonts w:hint="eastAsia" w:ascii="仿宋" w:hAnsi="仿宋" w:eastAsia="仿宋" w:cs="仿宋"/>
          <w:b/>
          <w:bCs/>
          <w:color w:val="000000" w:themeColor="text1"/>
        </w:rPr>
        <w:t>强化金融保障</w:t>
      </w:r>
      <w:r>
        <w:rPr>
          <w:rFonts w:eastAsia="仿宋" w:cs="仿宋" w:asciiTheme="majorHAnsi" w:hAnsiTheme="majorHAnsi"/>
          <w:b/>
          <w:bCs/>
          <w:color w:val="000000" w:themeColor="text1"/>
        </w:rPr>
        <w:t>，发挥资本撬动作用</w:t>
      </w:r>
      <w:bookmarkEnd w:id="97"/>
      <w:bookmarkEnd w:id="98"/>
      <w:r>
        <w:rPr>
          <w:rFonts w:hint="eastAsia" w:eastAsia="仿宋" w:cs="仿宋" w:asciiTheme="majorHAnsi" w:hAnsiTheme="majorHAnsi"/>
          <w:b/>
          <w:bCs/>
          <w:color w:val="000000" w:themeColor="text1"/>
        </w:rPr>
        <w:t>。</w:t>
      </w:r>
      <w:r>
        <w:rPr>
          <w:rFonts w:eastAsia="仿宋" w:asciiTheme="majorHAnsi" w:hAnsiTheme="majorHAnsi"/>
          <w:bCs/>
          <w:color w:val="000000" w:themeColor="text1"/>
        </w:rPr>
        <w:t>一是</w:t>
      </w:r>
      <w:r>
        <w:rPr>
          <w:rFonts w:hint="eastAsia" w:eastAsia="仿宋" w:asciiTheme="majorHAnsi" w:hAnsiTheme="majorHAnsi"/>
          <w:bCs/>
          <w:color w:val="000000" w:themeColor="text1"/>
        </w:rPr>
        <w:t>积极引进</w:t>
      </w:r>
      <w:r>
        <w:rPr>
          <w:rFonts w:eastAsia="仿宋" w:asciiTheme="majorHAnsi" w:hAnsiTheme="majorHAnsi"/>
          <w:bCs/>
          <w:color w:val="000000" w:themeColor="text1"/>
        </w:rPr>
        <w:t>各类金融机构落户，加快优质金融资源和要素集聚</w:t>
      </w:r>
      <w:r>
        <w:rPr>
          <w:rFonts w:hint="eastAsia" w:eastAsia="仿宋" w:asciiTheme="majorHAnsi" w:hAnsiTheme="majorHAnsi"/>
          <w:bCs/>
          <w:color w:val="000000" w:themeColor="text1"/>
        </w:rPr>
        <w:t>，助力产业发展</w:t>
      </w:r>
      <w:r>
        <w:rPr>
          <w:rFonts w:eastAsia="仿宋" w:asciiTheme="majorHAnsi" w:hAnsiTheme="majorHAnsi"/>
          <w:bCs/>
          <w:color w:val="000000" w:themeColor="text1"/>
        </w:rPr>
        <w:t>。二是创新金融招商工作，加强与金融机构的对接，提供股权、债权的保障，促进招商项目快速落地，扶持现有企业发展壮大。</w:t>
      </w:r>
      <w:r>
        <w:rPr>
          <w:rFonts w:hint="eastAsia" w:eastAsia="仿宋" w:asciiTheme="majorHAnsi" w:hAnsiTheme="majorHAnsi"/>
          <w:bCs/>
          <w:color w:val="000000" w:themeColor="text1"/>
        </w:rPr>
        <w:t>三是</w:t>
      </w:r>
      <w:r>
        <w:rPr>
          <w:rFonts w:eastAsia="仿宋" w:asciiTheme="majorHAnsi" w:hAnsiTheme="majorHAnsi"/>
          <w:bCs/>
          <w:color w:val="000000" w:themeColor="text1"/>
        </w:rPr>
        <w:t>大力推进基金招商。发挥国有资金的作用，联合社会资本成立产业基金或投资公司，以股权投资为</w:t>
      </w:r>
      <w:r>
        <w:rPr>
          <w:rFonts w:hint="eastAsia" w:eastAsia="仿宋" w:asciiTheme="majorHAnsi" w:hAnsiTheme="majorHAnsi"/>
          <w:bCs/>
          <w:color w:val="000000" w:themeColor="text1"/>
        </w:rPr>
        <w:t>牵引</w:t>
      </w:r>
      <w:r>
        <w:rPr>
          <w:rFonts w:eastAsia="仿宋" w:asciiTheme="majorHAnsi" w:hAnsiTheme="majorHAnsi"/>
          <w:bCs/>
          <w:color w:val="000000" w:themeColor="text1"/>
        </w:rPr>
        <w:t>吸引优质企业入驻。结合实际研究制定扶持引进股权投资机构优惠政策，加大政府产业引导基金的支持比重，积极开展股权招商，引导社会资本建立股权投资基金，采取阶段参股、跟进投资等方式，提升政府产业基金的使用效率。</w:t>
      </w:r>
      <w:bookmarkStart w:id="99" w:name="_Toc64363222"/>
      <w:bookmarkStart w:id="100" w:name="_Toc1586"/>
    </w:p>
    <w:p w14:paraId="4F92AB28">
      <w:pPr>
        <w:spacing w:line="575" w:lineRule="exact"/>
        <w:ind w:firstLine="643"/>
        <w:rPr>
          <w:rFonts w:eastAsia="仿宋" w:asciiTheme="majorHAnsi" w:hAnsiTheme="majorHAnsi"/>
          <w:color w:val="000000" w:themeColor="text1"/>
        </w:rPr>
      </w:pPr>
      <w:r>
        <w:rPr>
          <w:rFonts w:eastAsia="仿宋" w:cs="仿宋" w:asciiTheme="majorHAnsi" w:hAnsiTheme="majorHAnsi"/>
          <w:b/>
          <w:bCs/>
          <w:color w:val="000000" w:themeColor="text1"/>
        </w:rPr>
        <w:t>探索大数据平台招商，整合数字化技术手段</w:t>
      </w:r>
      <w:bookmarkEnd w:id="99"/>
      <w:bookmarkEnd w:id="100"/>
      <w:r>
        <w:rPr>
          <w:rFonts w:hint="eastAsia" w:eastAsia="仿宋" w:cs="仿宋" w:asciiTheme="majorHAnsi" w:hAnsiTheme="majorHAnsi"/>
          <w:b/>
          <w:bCs/>
          <w:color w:val="000000" w:themeColor="text1"/>
        </w:rPr>
        <w:t>。</w:t>
      </w:r>
      <w:r>
        <w:rPr>
          <w:rFonts w:eastAsia="仿宋" w:asciiTheme="majorHAnsi" w:hAnsiTheme="majorHAnsi"/>
          <w:color w:val="000000" w:themeColor="text1"/>
        </w:rPr>
        <w:t>根据招商引资工作需要，建设符合</w:t>
      </w:r>
      <w:r>
        <w:rPr>
          <w:rFonts w:hint="eastAsia" w:eastAsia="仿宋" w:asciiTheme="majorHAnsi" w:hAnsiTheme="majorHAnsi"/>
          <w:color w:val="000000" w:themeColor="text1"/>
        </w:rPr>
        <w:t>阳城</w:t>
      </w:r>
      <w:r>
        <w:rPr>
          <w:rFonts w:eastAsia="仿宋" w:asciiTheme="majorHAnsi" w:hAnsiTheme="majorHAnsi"/>
          <w:color w:val="000000" w:themeColor="text1"/>
        </w:rPr>
        <w:t>产业发展方向，包含全省重点产业、全球重点企业、科研机构、金融机构</w:t>
      </w:r>
      <w:r>
        <w:rPr>
          <w:rFonts w:hint="eastAsia" w:eastAsia="仿宋" w:asciiTheme="majorHAnsi" w:hAnsiTheme="majorHAnsi"/>
          <w:color w:val="000000" w:themeColor="text1"/>
        </w:rPr>
        <w:t>（</w:t>
      </w:r>
      <w:r>
        <w:rPr>
          <w:rFonts w:eastAsia="仿宋" w:asciiTheme="majorHAnsi" w:hAnsiTheme="majorHAnsi"/>
          <w:color w:val="000000" w:themeColor="text1"/>
        </w:rPr>
        <w:t>基金、创投公司、产业投资公司</w:t>
      </w:r>
      <w:r>
        <w:rPr>
          <w:rFonts w:hint="eastAsia" w:eastAsia="仿宋" w:asciiTheme="majorHAnsi" w:hAnsiTheme="majorHAnsi"/>
          <w:color w:val="000000" w:themeColor="text1"/>
        </w:rPr>
        <w:t>）</w:t>
      </w:r>
      <w:r>
        <w:rPr>
          <w:rFonts w:eastAsia="仿宋" w:asciiTheme="majorHAnsi" w:hAnsiTheme="majorHAnsi"/>
          <w:color w:val="000000" w:themeColor="text1"/>
        </w:rPr>
        <w:t>、商协会、园区、专利技术及人员等内容的招商引资大数据工作平台，编制《</w:t>
      </w:r>
      <w:r>
        <w:rPr>
          <w:rFonts w:hint="eastAsia" w:eastAsia="仿宋" w:asciiTheme="majorHAnsi" w:hAnsiTheme="majorHAnsi"/>
          <w:color w:val="000000" w:themeColor="text1"/>
        </w:rPr>
        <w:t>阳城开发区</w:t>
      </w:r>
      <w:r>
        <w:rPr>
          <w:rFonts w:eastAsia="仿宋" w:asciiTheme="majorHAnsi" w:hAnsiTheme="majorHAnsi"/>
          <w:color w:val="000000" w:themeColor="text1"/>
        </w:rPr>
        <w:t>产业招商图谱》，实现数据资源实时共享、集中管理、随时查询，达到数据寻商、数据引商、数据助商，节约招商引资人力物力财力，实现招商引资工作系统化、专业化、精准化，积极探索</w:t>
      </w:r>
      <w:r>
        <w:rPr>
          <w:rFonts w:hint="eastAsia" w:eastAsia="仿宋" w:asciiTheme="majorHAnsi" w:hAnsiTheme="majorHAnsi"/>
          <w:color w:val="000000" w:themeColor="text1"/>
        </w:rPr>
        <w:t>“</w:t>
      </w:r>
      <w:r>
        <w:rPr>
          <w:rFonts w:eastAsia="仿宋" w:asciiTheme="majorHAnsi" w:hAnsiTheme="majorHAnsi"/>
          <w:color w:val="000000" w:themeColor="text1"/>
        </w:rPr>
        <w:t>大数据+招商</w:t>
      </w:r>
      <w:r>
        <w:rPr>
          <w:rFonts w:hint="eastAsia" w:eastAsia="仿宋" w:asciiTheme="majorHAnsi" w:hAnsiTheme="majorHAnsi"/>
          <w:color w:val="000000" w:themeColor="text1"/>
        </w:rPr>
        <w:t>”</w:t>
      </w:r>
      <w:r>
        <w:rPr>
          <w:rFonts w:eastAsia="仿宋" w:asciiTheme="majorHAnsi" w:hAnsiTheme="majorHAnsi"/>
          <w:color w:val="000000" w:themeColor="text1"/>
        </w:rPr>
        <w:t>、</w:t>
      </w:r>
      <w:r>
        <w:rPr>
          <w:rFonts w:hint="eastAsia" w:eastAsia="仿宋" w:asciiTheme="majorHAnsi" w:hAnsiTheme="majorHAnsi"/>
          <w:color w:val="000000" w:themeColor="text1"/>
        </w:rPr>
        <w:t>“</w:t>
      </w:r>
      <w:r>
        <w:rPr>
          <w:rFonts w:eastAsia="仿宋" w:asciiTheme="majorHAnsi" w:hAnsiTheme="majorHAnsi"/>
          <w:color w:val="000000" w:themeColor="text1"/>
        </w:rPr>
        <w:t>互联网+招商</w:t>
      </w:r>
      <w:r>
        <w:rPr>
          <w:rFonts w:hint="eastAsia" w:eastAsia="仿宋" w:asciiTheme="majorHAnsi" w:hAnsiTheme="majorHAnsi"/>
          <w:color w:val="000000" w:themeColor="text1"/>
        </w:rPr>
        <w:t>”</w:t>
      </w:r>
      <w:r>
        <w:rPr>
          <w:rFonts w:eastAsia="仿宋" w:asciiTheme="majorHAnsi" w:hAnsiTheme="majorHAnsi"/>
          <w:color w:val="000000" w:themeColor="text1"/>
        </w:rPr>
        <w:t>工作模式，促进招商工作转型升级发展。</w:t>
      </w:r>
      <w:bookmarkEnd w:id="91"/>
      <w:bookmarkStart w:id="101" w:name="_Toc64363223"/>
      <w:bookmarkStart w:id="102" w:name="_Toc18128"/>
    </w:p>
    <w:p w14:paraId="74CD851B">
      <w:pPr>
        <w:spacing w:line="575" w:lineRule="exact"/>
        <w:ind w:firstLine="643"/>
        <w:rPr>
          <w:rFonts w:eastAsia="仿宋" w:asciiTheme="majorHAnsi" w:hAnsiTheme="majorHAnsi"/>
          <w:bCs/>
          <w:color w:val="000000" w:themeColor="text1"/>
        </w:rPr>
      </w:pPr>
      <w:r>
        <w:rPr>
          <w:rFonts w:hint="eastAsia" w:ascii="仿宋" w:hAnsi="仿宋" w:eastAsia="仿宋" w:cs="仿宋"/>
          <w:b/>
          <w:bCs/>
          <w:color w:val="000000" w:themeColor="text1"/>
        </w:rPr>
        <w:t>完</w:t>
      </w:r>
      <w:r>
        <w:rPr>
          <w:rFonts w:eastAsia="仿宋" w:cs="仿宋" w:asciiTheme="majorHAnsi" w:hAnsiTheme="majorHAnsi"/>
          <w:b/>
          <w:bCs/>
          <w:color w:val="000000" w:themeColor="text1"/>
        </w:rPr>
        <w:t>善传统招商方式，打造招商引资</w:t>
      </w:r>
      <w:r>
        <w:rPr>
          <w:rFonts w:hint="eastAsia" w:eastAsia="仿宋" w:cs="仿宋" w:asciiTheme="majorHAnsi" w:hAnsiTheme="majorHAnsi"/>
          <w:b/>
          <w:bCs/>
          <w:color w:val="000000" w:themeColor="text1"/>
        </w:rPr>
        <w:t>“</w:t>
      </w:r>
      <w:r>
        <w:rPr>
          <w:rFonts w:eastAsia="仿宋" w:cs="仿宋" w:asciiTheme="majorHAnsi" w:hAnsiTheme="majorHAnsi"/>
          <w:b/>
          <w:bCs/>
          <w:color w:val="000000" w:themeColor="text1"/>
        </w:rPr>
        <w:t>升级版</w:t>
      </w:r>
      <w:r>
        <w:rPr>
          <w:rFonts w:hint="eastAsia" w:eastAsia="仿宋" w:cs="仿宋" w:asciiTheme="majorHAnsi" w:hAnsiTheme="majorHAnsi"/>
          <w:b/>
          <w:bCs/>
          <w:color w:val="000000" w:themeColor="text1"/>
        </w:rPr>
        <w:t>”</w:t>
      </w:r>
      <w:bookmarkEnd w:id="101"/>
      <w:bookmarkEnd w:id="102"/>
      <w:r>
        <w:rPr>
          <w:rFonts w:hint="eastAsia" w:eastAsia="仿宋" w:cs="仿宋" w:asciiTheme="majorHAnsi" w:hAnsiTheme="majorHAnsi"/>
          <w:b/>
          <w:bCs/>
          <w:color w:val="000000" w:themeColor="text1"/>
        </w:rPr>
        <w:t>。</w:t>
      </w:r>
      <w:r>
        <w:rPr>
          <w:rFonts w:eastAsia="仿宋" w:asciiTheme="majorHAnsi" w:hAnsiTheme="majorHAnsi"/>
          <w:bCs/>
          <w:color w:val="000000" w:themeColor="text1"/>
        </w:rPr>
        <w:t>升级小分队招商。坚持</w:t>
      </w:r>
      <w:r>
        <w:rPr>
          <w:rFonts w:hint="eastAsia" w:eastAsia="仿宋" w:asciiTheme="majorHAnsi" w:hAnsiTheme="majorHAnsi"/>
          <w:bCs/>
          <w:color w:val="000000" w:themeColor="text1"/>
        </w:rPr>
        <w:t>“</w:t>
      </w:r>
      <w:r>
        <w:rPr>
          <w:rFonts w:eastAsia="仿宋" w:asciiTheme="majorHAnsi" w:hAnsiTheme="majorHAnsi"/>
          <w:bCs/>
          <w:color w:val="000000" w:themeColor="text1"/>
        </w:rPr>
        <w:t>请进来</w:t>
      </w:r>
      <w:r>
        <w:rPr>
          <w:rFonts w:hint="eastAsia" w:eastAsia="仿宋" w:asciiTheme="majorHAnsi" w:hAnsiTheme="majorHAnsi"/>
          <w:bCs/>
          <w:color w:val="000000" w:themeColor="text1"/>
        </w:rPr>
        <w:t>”“</w:t>
      </w:r>
      <w:r>
        <w:rPr>
          <w:rFonts w:eastAsia="仿宋" w:asciiTheme="majorHAnsi" w:hAnsiTheme="majorHAnsi"/>
          <w:bCs/>
          <w:color w:val="000000" w:themeColor="text1"/>
        </w:rPr>
        <w:t>走出</w:t>
      </w:r>
      <w:r>
        <w:rPr>
          <w:rFonts w:hint="eastAsia" w:eastAsia="仿宋" w:asciiTheme="majorHAnsi" w:hAnsiTheme="majorHAnsi"/>
          <w:bCs/>
          <w:color w:val="000000" w:themeColor="text1"/>
        </w:rPr>
        <w:t>去”</w:t>
      </w:r>
      <w:r>
        <w:rPr>
          <w:rFonts w:eastAsia="仿宋" w:asciiTheme="majorHAnsi" w:hAnsiTheme="majorHAnsi"/>
          <w:bCs/>
          <w:color w:val="000000" w:themeColor="text1"/>
        </w:rPr>
        <w:t>相结合，</w:t>
      </w:r>
      <w:r>
        <w:rPr>
          <w:rFonts w:hint="eastAsia"/>
          <w:bCs/>
          <w:color w:val="000000" w:themeColor="text1"/>
        </w:rPr>
        <w:t>聚焦国际国内重点区域，</w:t>
      </w:r>
      <w:r>
        <w:rPr>
          <w:rFonts w:eastAsia="仿宋" w:asciiTheme="majorHAnsi" w:hAnsiTheme="majorHAnsi"/>
          <w:bCs/>
          <w:color w:val="000000" w:themeColor="text1"/>
        </w:rPr>
        <w:t>瞄准高端项目、头部企业精准出击，</w:t>
      </w:r>
      <w:r>
        <w:rPr>
          <w:rFonts w:hint="eastAsia"/>
          <w:bCs/>
          <w:color w:val="000000" w:themeColor="text1"/>
        </w:rPr>
        <w:t>通过专题、定向、定点组织开展小分队招商和精准招商活动，以集群式引进、专题性推介和精准招商、定向招商为主线，拟定个性化招商方案。</w:t>
      </w:r>
      <w:r>
        <w:rPr>
          <w:rFonts w:eastAsia="仿宋" w:asciiTheme="majorHAnsi" w:hAnsiTheme="majorHAnsi"/>
          <w:bCs/>
          <w:color w:val="000000" w:themeColor="text1"/>
        </w:rPr>
        <w:t>发挥</w:t>
      </w:r>
      <w:r>
        <w:rPr>
          <w:rFonts w:hint="eastAsia" w:eastAsia="仿宋" w:asciiTheme="majorHAnsi" w:hAnsiTheme="majorHAnsi"/>
          <w:bCs/>
          <w:color w:val="000000" w:themeColor="text1"/>
        </w:rPr>
        <w:t>招商引资</w:t>
      </w:r>
      <w:r>
        <w:rPr>
          <w:rFonts w:eastAsia="仿宋" w:asciiTheme="majorHAnsi" w:hAnsiTheme="majorHAnsi"/>
          <w:bCs/>
          <w:color w:val="000000" w:themeColor="text1"/>
        </w:rPr>
        <w:t>专班机制，激发各要素单位活力，探索灵活机动的组队方式，加大组队出击频次</w:t>
      </w:r>
      <w:r>
        <w:rPr>
          <w:rFonts w:hint="eastAsia" w:eastAsia="仿宋" w:asciiTheme="majorHAnsi" w:hAnsiTheme="majorHAnsi"/>
          <w:bCs/>
          <w:color w:val="000000" w:themeColor="text1"/>
        </w:rPr>
        <w:t>，</w:t>
      </w:r>
      <w:r>
        <w:rPr>
          <w:rFonts w:eastAsia="仿宋" w:asciiTheme="majorHAnsi" w:hAnsiTheme="majorHAnsi"/>
          <w:bCs/>
          <w:color w:val="000000" w:themeColor="text1"/>
        </w:rPr>
        <w:t>提升重大招商活动实效。</w:t>
      </w:r>
    </w:p>
    <w:p w14:paraId="25F3B052">
      <w:pPr>
        <w:shd w:val="clear" w:color="auto" w:fill="FFFFFF"/>
        <w:spacing w:line="575" w:lineRule="exact"/>
        <w:ind w:firstLine="643"/>
        <w:jc w:val="left"/>
        <w:rPr>
          <w:rFonts w:ascii="楷体" w:hAnsi="楷体" w:eastAsia="楷体" w:cs="Calibri"/>
          <w:sz w:val="28"/>
          <w:szCs w:val="28"/>
        </w:rPr>
      </w:pPr>
      <w:r>
        <w:rPr>
          <w:rFonts w:eastAsia="仿宋" w:asciiTheme="majorHAnsi" w:hAnsiTheme="majorHAnsi"/>
          <w:b/>
          <w:bCs/>
          <w:color w:val="000000" w:themeColor="text1"/>
        </w:rPr>
        <w:t>突出以商引商。</w:t>
      </w:r>
      <w:r>
        <w:rPr>
          <w:rFonts w:eastAsia="仿宋" w:asciiTheme="majorHAnsi" w:hAnsiTheme="majorHAnsi"/>
          <w:bCs/>
          <w:color w:val="000000" w:themeColor="text1"/>
        </w:rPr>
        <w:t>企业是市场主体，也是招商的主体，具有招商发展最直接的内在动力。把企业推到招商引资的主战场、最前沿，支持鼓励企业以企引企，以商招商，支持龙头企业构建全产业链和企业生态链。大力推动现有企业与国内外大公司、大财团、大院校和大院所对接合作，实现内外资、产学研融合发展。推动支持各类企业利用股权融资、境内外上市、发行债券、融资租赁、兴办投资性公司等多种方式增资、引资。广泛搜集企业需求，收集合作线索，推动合作发展。各级组织的招商引资、外出商务考察活动，要优先安排产业相近、业务关联的企业参加。</w:t>
      </w:r>
    </w:p>
    <w:p w14:paraId="462FE4B5">
      <w:pPr>
        <w:pStyle w:val="4"/>
        <w:rPr>
          <w:rFonts w:ascii="黑体" w:hAnsi="黑体" w:eastAsia="黑体"/>
        </w:rPr>
      </w:pPr>
      <w:bookmarkStart w:id="103" w:name="_Toc32531"/>
      <w:bookmarkStart w:id="104" w:name="_Toc26506"/>
      <w:bookmarkStart w:id="105" w:name="_Toc11283"/>
      <w:bookmarkStart w:id="106" w:name="_Toc449018766"/>
      <w:bookmarkStart w:id="107" w:name="_Toc17241"/>
      <w:bookmarkStart w:id="108" w:name="_Toc448488867"/>
      <w:bookmarkStart w:id="109" w:name="_Toc448489423"/>
      <w:bookmarkStart w:id="110" w:name="_Toc21578"/>
      <w:bookmarkStart w:id="111" w:name="_Toc16950"/>
      <w:bookmarkStart w:id="112" w:name="_Toc27040"/>
      <w:bookmarkStart w:id="113" w:name="_Toc1200"/>
      <w:bookmarkStart w:id="114" w:name="_Toc17964"/>
      <w:r>
        <w:rPr>
          <w:rFonts w:ascii="黑体" w:hAnsi="黑体" w:eastAsia="黑体"/>
        </w:rPr>
        <w:t>第</w:t>
      </w:r>
      <w:r>
        <w:rPr>
          <w:rFonts w:hint="eastAsia" w:ascii="黑体" w:hAnsi="黑体" w:eastAsia="黑体"/>
          <w:lang w:val="en-US" w:eastAsia="zh-CN"/>
        </w:rPr>
        <w:t>四</w:t>
      </w:r>
      <w:r>
        <w:rPr>
          <w:rFonts w:ascii="黑体" w:hAnsi="黑体" w:eastAsia="黑体"/>
        </w:rPr>
        <w:t xml:space="preserve">节  </w:t>
      </w:r>
      <w:r>
        <w:rPr>
          <w:rFonts w:hint="eastAsia" w:ascii="黑体" w:hAnsi="黑体" w:eastAsia="黑体"/>
        </w:rPr>
        <w:t>优化营商环境</w:t>
      </w:r>
      <w:bookmarkEnd w:id="103"/>
      <w:bookmarkEnd w:id="104"/>
      <w:bookmarkEnd w:id="105"/>
      <w:bookmarkEnd w:id="106"/>
      <w:bookmarkEnd w:id="107"/>
      <w:bookmarkEnd w:id="108"/>
      <w:bookmarkEnd w:id="109"/>
      <w:bookmarkEnd w:id="110"/>
      <w:bookmarkEnd w:id="111"/>
      <w:bookmarkEnd w:id="112"/>
      <w:bookmarkEnd w:id="113"/>
      <w:bookmarkEnd w:id="114"/>
    </w:p>
    <w:p w14:paraId="37EB9A0F">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both"/>
        <w:rPr>
          <w:rFonts w:hint="default" w:ascii="仿宋_GB2312" w:hAnsi="仿宋_GB2312" w:eastAsia="仿宋_GB2312" w:cs="仿宋_GB2312"/>
          <w:kern w:val="2"/>
          <w:sz w:val="32"/>
          <w:szCs w:val="32"/>
          <w:lang w:val="en-US" w:eastAsia="zh-CN" w:bidi="ar-SA"/>
        </w:rPr>
      </w:pPr>
      <w:r>
        <w:rPr>
          <w:b/>
          <w:bCs/>
          <w:sz w:val="32"/>
          <w:szCs w:val="32"/>
        </w:rPr>
        <w:t>营造“六最”营商环境。</w:t>
      </w:r>
      <w:r>
        <w:rPr>
          <w:rFonts w:hint="default" w:ascii="仿宋_GB2312" w:hAnsi="仿宋_GB2312" w:eastAsia="仿宋_GB2312" w:cs="仿宋_GB2312"/>
          <w:kern w:val="2"/>
          <w:sz w:val="32"/>
          <w:szCs w:val="32"/>
          <w:lang w:val="en-US" w:eastAsia="zh-CN" w:bidi="ar-SA"/>
        </w:rPr>
        <w:t>以“承诺制+标准地+全代办”改革为牵引，全面落实“三无”“三可”要求，努力打造市场化、法治化、国际化营商环境。纵深推进“放管服效”改革，深化“一枚印章管审批”，拓展“一件事”套餐服务、证照分离、“一业一证”、工程建设项目审批等改革</w:t>
      </w:r>
      <w:r>
        <w:rPr>
          <w:rFonts w:hint="eastAsia" w:ascii="仿宋_GB2312" w:hAnsi="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实现一般工业项目“全承诺、无审批、拿地即可开工”。完善</w:t>
      </w:r>
      <w:r>
        <w:rPr>
          <w:rFonts w:hint="eastAsia" w:ascii="仿宋_GB2312" w:hAnsi="仿宋_GB2312" w:eastAsia="仿宋_GB2312" w:cs="仿宋_GB2312"/>
          <w:kern w:val="2"/>
          <w:sz w:val="32"/>
          <w:szCs w:val="32"/>
          <w:lang w:val="en-US" w:eastAsia="zh-CN" w:bidi="ar-SA"/>
        </w:rPr>
        <w:t>县、乡、村</w:t>
      </w:r>
      <w:r>
        <w:rPr>
          <w:rFonts w:hint="default" w:ascii="仿宋_GB2312" w:hAnsi="仿宋_GB2312" w:eastAsia="仿宋_GB2312" w:cs="仿宋_GB2312"/>
          <w:kern w:val="2"/>
          <w:sz w:val="32"/>
          <w:szCs w:val="32"/>
          <w:lang w:val="en-US" w:eastAsia="zh-CN" w:bidi="ar-SA"/>
        </w:rPr>
        <w:t>三级政务服务体系，推进政务服务标准化和智慧化，实现一网通办、就近能办、多点可办、少跑快办。推动公共资源交易体制改革，形成竞争有序的市场环境。以“互联网+监管”为牵引，加强事中事后监管。完善社会信用体系建设，构建诚实守信的市场环境和社会环境。</w:t>
      </w:r>
    </w:p>
    <w:p w14:paraId="2AC569A5">
      <w:pPr>
        <w:ind w:firstLine="643"/>
      </w:pPr>
      <w:r>
        <w:rPr>
          <w:b/>
          <w:bCs/>
        </w:rPr>
        <w:t>提升市场主体信用监管效能。</w:t>
      </w:r>
      <w:r>
        <w:t>依托国家监管平台，以统一社会信用代码为标识，归集政府履职过程中形成的监管信息，依法依规建立权威、统一、可查询的市场主体信用记录，依法公开在行政管理中掌握的信用信息，为社会公众提供便捷高效的信用查询服务。规范企业信息披露，推行企业信用承诺制度，将信用承诺履行情况纳入信用记录。落实信用分级分类监管标准，依据企业信用情况，在监管方式、抽查比例和频次等方面采取差异化措施。规范认定并设立市场主体信用“黑名单”，推动建立企业信用与自然人信用挂钩机制，强化失信联合惩戒，对失信主体在行业准入、项目审批、获得信贷、发票领用、出口退税、出入境、高消费等方面依法予以限制。建立健全信用修复、异议申诉等机制。发挥行业协会商会在权益保护、纠纷处理、行业信用建设和信用监管等方面的作用，支持行业协会商会开展或参与公益诉讼、专业调解工作。</w:t>
      </w:r>
    </w:p>
    <w:p w14:paraId="2BB2C2F5">
      <w:pPr>
        <w:ind w:firstLine="640"/>
      </w:pPr>
    </w:p>
    <w:p w14:paraId="78609F02">
      <w:pPr>
        <w:pStyle w:val="4"/>
        <w:rPr>
          <w:rFonts w:ascii="黑体" w:hAnsi="黑体" w:eastAsia="黑体"/>
        </w:rPr>
      </w:pPr>
      <w:bookmarkStart w:id="115" w:name="_Toc19866"/>
      <w:bookmarkStart w:id="116" w:name="_Toc78803890"/>
      <w:r>
        <w:rPr>
          <w:rFonts w:hint="eastAsia" w:ascii="黑体" w:hAnsi="黑体" w:eastAsia="黑体"/>
        </w:rPr>
        <w:t>第</w:t>
      </w:r>
      <w:r>
        <w:rPr>
          <w:rFonts w:hint="eastAsia" w:ascii="黑体" w:hAnsi="黑体" w:eastAsia="黑体"/>
          <w:lang w:val="en-US" w:eastAsia="zh-CN"/>
        </w:rPr>
        <w:t>五</w:t>
      </w:r>
      <w:r>
        <w:rPr>
          <w:rFonts w:hint="eastAsia" w:ascii="黑体" w:hAnsi="黑体" w:eastAsia="黑体"/>
        </w:rPr>
        <w:t>节  全面提升对外开放水平</w:t>
      </w:r>
      <w:bookmarkEnd w:id="115"/>
      <w:bookmarkEnd w:id="116"/>
    </w:p>
    <w:p w14:paraId="5A75CB3E">
      <w:pPr>
        <w:pStyle w:val="17"/>
        <w:ind w:firstLine="640"/>
        <w:rPr>
          <w:rFonts w:ascii="仿宋_GB2312" w:eastAsia="仿宋_GB2312"/>
          <w:b w:val="0"/>
          <w:bCs w:val="0"/>
          <w:color w:val="000000" w:themeColor="text1"/>
        </w:rPr>
      </w:pPr>
      <w:bookmarkStart w:id="117" w:name="_Toc21041"/>
      <w:bookmarkStart w:id="118" w:name="_Toc64363214"/>
      <w:bookmarkStart w:id="119" w:name="_Toc12577"/>
      <w:bookmarkStart w:id="120" w:name="_Toc325266653"/>
      <w:bookmarkStart w:id="121" w:name="_Toc325266478"/>
      <w:bookmarkStart w:id="122" w:name="_Toc325266476"/>
      <w:bookmarkStart w:id="123" w:name="_Toc325266651"/>
      <w:r>
        <w:rPr>
          <w:rFonts w:hint="eastAsia" w:ascii="仿宋_GB2312" w:eastAsia="仿宋_GB2312"/>
          <w:b w:val="0"/>
          <w:bCs w:val="0"/>
          <w:color w:val="000000" w:themeColor="text1"/>
        </w:rPr>
        <w:t>找准自身定位，强化区域性合作，建设更高水平开放型经济新体制，以更深层次的改革引领转型，以更高水平的开放促进发展，不断激发高质量高速度转型发展的活力。</w:t>
      </w:r>
    </w:p>
    <w:p w14:paraId="1F8B72DA">
      <w:pPr>
        <w:pStyle w:val="17"/>
        <w:ind w:left="640" w:firstLine="0" w:firstLineChars="0"/>
        <w:rPr>
          <w:rFonts w:ascii="仿宋_GB2312" w:eastAsia="仿宋_GB2312"/>
          <w:color w:val="000000" w:themeColor="text1"/>
        </w:rPr>
      </w:pPr>
      <w:r>
        <w:rPr>
          <w:rFonts w:hint="eastAsia" w:ascii="仿宋" w:hAnsi="仿宋" w:eastAsia="仿宋" w:cs="仿宋"/>
          <w:color w:val="000000" w:themeColor="text1"/>
        </w:rPr>
        <w:t>一、</w:t>
      </w:r>
      <w:r>
        <w:rPr>
          <w:rFonts w:hint="eastAsia" w:ascii="仿宋_GB2312" w:eastAsia="仿宋_GB2312"/>
          <w:color w:val="000000" w:themeColor="text1"/>
        </w:rPr>
        <w:t>构建“挺进洛阳”新格局</w:t>
      </w:r>
    </w:p>
    <w:p w14:paraId="1FADE630">
      <w:pPr>
        <w:pStyle w:val="17"/>
        <w:ind w:firstLine="640"/>
        <w:rPr>
          <w:rFonts w:ascii="仿宋_GB2312" w:eastAsia="仿宋_GB2312"/>
          <w:b w:val="0"/>
          <w:bCs w:val="0"/>
          <w:color w:val="000000" w:themeColor="text1"/>
        </w:rPr>
      </w:pPr>
      <w:r>
        <w:rPr>
          <w:rFonts w:hint="eastAsia" w:ascii="仿宋_GB2312" w:eastAsia="仿宋_GB2312"/>
          <w:b w:val="0"/>
          <w:bCs w:val="0"/>
          <w:color w:val="000000" w:themeColor="text1"/>
        </w:rPr>
        <w:t>多措并举吸引更多的洛阳企业来阳城投资兴业。鼓励推动更多的本土企业走出去，充分利用“中国（河南）自由贸易试验区洛阳片区”“洛阳综合保税区”两个平台，不断发展壮大，加快实现更多的企业总部在洛阳，基地在阳城；大力引进“洛阳创造”等高新技术企业在我县建立生产基地，让“阳城制造”通过洛阳“上天入海”，尽快实现更多的企业研发在洛阳，制造在阳城。积极引进“洛阳智造”装备制造业企业，着力打通产学研深度融合、对接转化、市场化运作和人才成长等“四个通道”，承接科技成果、产业体系，有序实现高端核心在洛阳，承载产业在阳城。创优人才环境，加强“本土”人才外输培养与“洛阳”人才引进，提升人才服务水平，完善聚才、引才、用才机制，推动项目、基地、资金、人才一体化配置激发本土人才内生动力，释放外地人才创新活力，尽力实现各类人才平台在洛阳，发展在阳城。加快“引进来”“走出去”步伐。</w:t>
      </w:r>
    </w:p>
    <w:p w14:paraId="6B0DD582">
      <w:pPr>
        <w:ind w:firstLine="643"/>
        <w:rPr>
          <w:rFonts w:eastAsia="仿宋" w:cs="仿宋" w:asciiTheme="majorHAnsi" w:hAnsiTheme="majorHAnsi"/>
          <w:color w:val="000000" w:themeColor="text1"/>
        </w:rPr>
      </w:pPr>
      <w:bookmarkStart w:id="124" w:name="_Toc28674"/>
      <w:r>
        <w:rPr>
          <w:rFonts w:hint="eastAsia" w:ascii="仿宋" w:hAnsi="仿宋" w:eastAsia="仿宋" w:cs="仿宋"/>
          <w:b/>
          <w:bCs/>
          <w:color w:val="000000" w:themeColor="text1"/>
        </w:rPr>
        <w:t>二、全面融</w:t>
      </w:r>
      <w:r>
        <w:rPr>
          <w:rFonts w:eastAsia="仿宋" w:cs="仿宋" w:asciiTheme="majorHAnsi" w:hAnsiTheme="majorHAnsi"/>
          <w:b/>
          <w:bCs/>
          <w:color w:val="000000" w:themeColor="text1"/>
        </w:rPr>
        <w:t>入京津冀一体化，成为重要成员</w:t>
      </w:r>
      <w:bookmarkEnd w:id="117"/>
      <w:bookmarkEnd w:id="118"/>
      <w:bookmarkEnd w:id="119"/>
      <w:bookmarkEnd w:id="124"/>
    </w:p>
    <w:p w14:paraId="14A5274D">
      <w:pPr>
        <w:spacing w:line="575" w:lineRule="exact"/>
        <w:ind w:firstLine="640"/>
        <w:rPr>
          <w:bCs/>
          <w:color w:val="000000" w:themeColor="text1"/>
        </w:rPr>
      </w:pPr>
      <w:r>
        <w:rPr>
          <w:rFonts w:eastAsia="仿宋" w:asciiTheme="majorHAnsi" w:hAnsiTheme="majorHAnsi"/>
          <w:bCs/>
          <w:color w:val="000000" w:themeColor="text1"/>
        </w:rPr>
        <w:t>强力提升与京津冀地区的经济合作机制，全面拓宽合作领域，全面深化合作空间，全面挖掘合作潜力。组织小分队精准对接北京、天津央企、国企，承接溢出产业转移项目和新兴产业投资项目，积极参与各行业、各领域对接活动，在先进装备制造、新材料、信息技术产业、绿色能源、文化</w:t>
      </w:r>
      <w:r>
        <w:rPr>
          <w:rFonts w:hint="eastAsia"/>
          <w:bCs/>
          <w:color w:val="000000" w:themeColor="text1"/>
        </w:rPr>
        <w:t>旅游</w:t>
      </w:r>
      <w:r>
        <w:rPr>
          <w:rFonts w:eastAsia="仿宋" w:asciiTheme="majorHAnsi" w:hAnsiTheme="majorHAnsi"/>
          <w:bCs/>
          <w:color w:val="000000" w:themeColor="text1"/>
        </w:rPr>
        <w:t>等领域加大与京津冀区域的经贸合作交流</w:t>
      </w:r>
      <w:r>
        <w:rPr>
          <w:rFonts w:hint="eastAsia"/>
          <w:bCs/>
          <w:color w:val="000000" w:themeColor="text1"/>
        </w:rPr>
        <w:t>，积极与京津冀地区各级政府、行业协会和大型企业集团等进行交流合作，吸引央企、知名民企、外企入晋设立生产基地、研发中心及采购中心。</w:t>
      </w:r>
      <w:bookmarkEnd w:id="120"/>
      <w:bookmarkEnd w:id="121"/>
    </w:p>
    <w:bookmarkEnd w:id="122"/>
    <w:bookmarkEnd w:id="123"/>
    <w:p w14:paraId="4AD31B4C">
      <w:pPr>
        <w:ind w:firstLine="643"/>
      </w:pPr>
      <w:bookmarkStart w:id="125" w:name="_Toc25967"/>
      <w:bookmarkStart w:id="126" w:name="_Toc64363216"/>
      <w:bookmarkStart w:id="127" w:name="_Toc4403"/>
      <w:bookmarkStart w:id="128" w:name="_Toc6115"/>
      <w:r>
        <w:rPr>
          <w:rFonts w:hint="eastAsia"/>
          <w:b/>
          <w:bCs/>
        </w:rPr>
        <w:t>三、主动对接长三角经济圈，提升合作水平</w:t>
      </w:r>
      <w:bookmarkEnd w:id="125"/>
      <w:bookmarkEnd w:id="126"/>
      <w:bookmarkEnd w:id="127"/>
      <w:bookmarkEnd w:id="128"/>
    </w:p>
    <w:p w14:paraId="08E4B989">
      <w:pPr>
        <w:spacing w:line="575" w:lineRule="exact"/>
        <w:ind w:firstLine="640"/>
        <w:rPr>
          <w:rFonts w:eastAsia="仿宋" w:asciiTheme="majorHAnsi" w:hAnsiTheme="majorHAnsi"/>
          <w:bCs/>
          <w:color w:val="000000" w:themeColor="text1"/>
        </w:rPr>
      </w:pPr>
      <w:r>
        <w:rPr>
          <w:rFonts w:hint="eastAsia"/>
          <w:bCs/>
          <w:color w:val="000000" w:themeColor="text1"/>
        </w:rPr>
        <w:t>瞄准区域内大型企业集团、高新技术企业和跨国公司，深入实施长三角区域的招商引资强度。了解掌握长三角地区产业转移的最新动态，建立转出产业项目信息库，筛选重点承接项目，发布对接信息，增强对接实效。重点深化能源及新材料产业、高端装备制造、新能源汽车、商贸物流、康养产业的承接合作。</w:t>
      </w:r>
      <w:r>
        <w:rPr>
          <w:rFonts w:hint="eastAsia"/>
          <w:color w:val="000000" w:themeColor="text1"/>
        </w:rPr>
        <w:t>利用进博会、厦洽会等长三角及东部沿海地区大型会展平台，将“引进来”与“走出去”相结合，积极展示阳城转型发展新成果，以多样化方式组织投资环境推介、洽谈对接，努力促成更多合作。</w:t>
      </w:r>
    </w:p>
    <w:p w14:paraId="0A70022A">
      <w:pPr>
        <w:ind w:firstLine="643"/>
      </w:pPr>
      <w:bookmarkStart w:id="129" w:name="_Toc16039"/>
      <w:bookmarkStart w:id="130" w:name="_Toc64363217"/>
      <w:bookmarkStart w:id="131" w:name="_Toc12869"/>
      <w:bookmarkStart w:id="132" w:name="_Toc26860"/>
      <w:r>
        <w:rPr>
          <w:rFonts w:hint="eastAsia"/>
          <w:b/>
          <w:bCs/>
        </w:rPr>
        <w:t>四、积极对接粤港澳大湾区，夯实合作基础</w:t>
      </w:r>
      <w:bookmarkEnd w:id="129"/>
      <w:bookmarkEnd w:id="130"/>
      <w:bookmarkEnd w:id="131"/>
      <w:bookmarkEnd w:id="132"/>
    </w:p>
    <w:p w14:paraId="0151235E">
      <w:pPr>
        <w:spacing w:line="575" w:lineRule="exact"/>
        <w:ind w:firstLine="640"/>
        <w:rPr>
          <w:rFonts w:eastAsia="仿宋" w:asciiTheme="majorHAnsi" w:hAnsiTheme="majorHAnsi"/>
          <w:bCs/>
          <w:color w:val="000000" w:themeColor="text1"/>
        </w:rPr>
      </w:pPr>
      <w:r>
        <w:rPr>
          <w:rFonts w:hint="eastAsia"/>
          <w:bCs/>
          <w:color w:val="000000" w:themeColor="text1"/>
        </w:rPr>
        <w:t>把握粤港澳大湾区区域内各省市区经济合作基础扎实、产业发展互补性强、产业关联度高的特点，密切关注区域内发达地区产业结构调整最新动向和产业转移趋势，积极承接区域产业链整体转移和产业集群式转移，开展产业、资本、技术、人才等全方位、深层次的合作。与广州、深圳等区域中心城市和经济发达城市建立战略合作关系，建立起政府间、部门间、企事业单位间多层次的交流与合作机制，促进产业交流与合作。积极推进与区域内各方共同举办重点产业专题对接活动，引进重大承接项目落户阳城。重点深化电子信息、模具制造、高端装备制造、现代服务业等领域的承接合作。进一步加大对港澳地区服务业转移的承接力度，重点引进文化旅游、商贸物流以及金融、专业服务、设计、市场推广、环保科技、信息服</w:t>
      </w:r>
      <w:r>
        <w:rPr>
          <w:rFonts w:eastAsia="仿宋" w:asciiTheme="majorHAnsi" w:hAnsiTheme="majorHAnsi"/>
          <w:bCs/>
          <w:color w:val="000000" w:themeColor="text1"/>
        </w:rPr>
        <w:t>务等与制造业相配套的生产性服务业项目。</w:t>
      </w:r>
    </w:p>
    <w:p w14:paraId="2A1BB842">
      <w:pPr>
        <w:pStyle w:val="17"/>
        <w:ind w:firstLine="640"/>
        <w:rPr>
          <w:rFonts w:ascii="仿宋_GB2312" w:eastAsia="仿宋_GB2312"/>
          <w:b w:val="0"/>
          <w:bCs w:val="0"/>
          <w:color w:val="000000" w:themeColor="text1"/>
        </w:rPr>
      </w:pPr>
    </w:p>
    <w:p w14:paraId="53F212F3">
      <w:pPr>
        <w:pStyle w:val="3"/>
        <w:rPr>
          <w:sz w:val="36"/>
          <w:szCs w:val="36"/>
        </w:rPr>
      </w:pPr>
      <w:r>
        <w:rPr>
          <w:rFonts w:ascii="Times New Roman" w:hAnsi="Times New Roman"/>
        </w:rPr>
        <w:br w:type="page"/>
      </w:r>
    </w:p>
    <w:p w14:paraId="1506B9E7">
      <w:pPr>
        <w:pStyle w:val="3"/>
        <w:rPr>
          <w:sz w:val="36"/>
          <w:szCs w:val="36"/>
        </w:rPr>
      </w:pPr>
      <w:bookmarkStart w:id="133" w:name="_Toc11133"/>
      <w:r>
        <w:rPr>
          <w:rFonts w:hint="eastAsia"/>
          <w:sz w:val="36"/>
          <w:szCs w:val="36"/>
        </w:rPr>
        <w:t>第六章  突出产城融合，推进区域协调发展</w:t>
      </w:r>
      <w:bookmarkEnd w:id="60"/>
      <w:bookmarkEnd w:id="61"/>
      <w:bookmarkEnd w:id="62"/>
      <w:bookmarkEnd w:id="63"/>
      <w:bookmarkEnd w:id="64"/>
      <w:bookmarkEnd w:id="65"/>
      <w:bookmarkEnd w:id="66"/>
      <w:bookmarkEnd w:id="67"/>
      <w:bookmarkEnd w:id="68"/>
      <w:bookmarkEnd w:id="133"/>
    </w:p>
    <w:p w14:paraId="6C6A0808">
      <w:pPr>
        <w:ind w:firstLine="640"/>
      </w:pPr>
    </w:p>
    <w:p w14:paraId="0531E86F">
      <w:pPr>
        <w:ind w:firstLine="640"/>
      </w:pPr>
      <w:r>
        <w:rPr>
          <w:rFonts w:hint="eastAsia"/>
        </w:rPr>
        <w:t>坚持“产城融合、功能互补，双城联动”，按照“一区四园”的发展思路，强化基础设施建设，统筹推进开发区扩区建设，完善综合服务功能，提升开发区内涵品质。</w:t>
      </w:r>
    </w:p>
    <w:p w14:paraId="4693AA4D">
      <w:pPr>
        <w:pStyle w:val="4"/>
        <w:rPr>
          <w:rFonts w:ascii="黑体" w:hAnsi="黑体" w:eastAsia="黑体"/>
        </w:rPr>
      </w:pPr>
      <w:bookmarkStart w:id="134" w:name="_Toc19176"/>
      <w:bookmarkStart w:id="135" w:name="_Toc23255"/>
      <w:bookmarkStart w:id="136" w:name="_Toc448489407"/>
      <w:bookmarkStart w:id="137" w:name="_Toc2178"/>
      <w:bookmarkStart w:id="138" w:name="_Toc449018750"/>
      <w:bookmarkStart w:id="139" w:name="_Toc28640"/>
      <w:bookmarkStart w:id="140" w:name="_Toc11633"/>
      <w:bookmarkStart w:id="141" w:name="_Toc9914"/>
      <w:bookmarkStart w:id="142" w:name="_Toc4184"/>
      <w:bookmarkStart w:id="143" w:name="_Toc448488851"/>
      <w:bookmarkStart w:id="144" w:name="_Toc28472"/>
      <w:bookmarkStart w:id="145" w:name="_Toc13657"/>
      <w:r>
        <w:rPr>
          <w:rFonts w:ascii="黑体" w:hAnsi="黑体" w:eastAsia="黑体"/>
        </w:rPr>
        <w:t>第一节  优化</w:t>
      </w:r>
      <w:r>
        <w:rPr>
          <w:rFonts w:hint="eastAsia" w:ascii="黑体" w:hAnsi="黑体" w:eastAsia="黑体"/>
        </w:rPr>
        <w:t>开发区</w:t>
      </w:r>
      <w:r>
        <w:rPr>
          <w:rFonts w:ascii="黑体" w:hAnsi="黑体" w:eastAsia="黑体"/>
        </w:rPr>
        <w:t>功能布局</w:t>
      </w:r>
      <w:bookmarkEnd w:id="134"/>
      <w:bookmarkEnd w:id="135"/>
      <w:bookmarkEnd w:id="136"/>
      <w:bookmarkEnd w:id="137"/>
      <w:bookmarkEnd w:id="138"/>
      <w:bookmarkEnd w:id="139"/>
      <w:bookmarkEnd w:id="140"/>
      <w:bookmarkEnd w:id="141"/>
      <w:bookmarkEnd w:id="142"/>
      <w:bookmarkEnd w:id="143"/>
      <w:bookmarkEnd w:id="144"/>
      <w:bookmarkEnd w:id="145"/>
    </w:p>
    <w:p w14:paraId="55E6F427">
      <w:pPr>
        <w:numPr>
          <w:ilvl w:val="255"/>
          <w:numId w:val="0"/>
        </w:numPr>
        <w:ind w:firstLine="643" w:firstLineChars="200"/>
      </w:pPr>
      <w:bookmarkStart w:id="146" w:name="_Toc3015"/>
      <w:r>
        <w:rPr>
          <w:rFonts w:hint="eastAsia" w:ascii="Times New Roman" w:hAnsi="Times New Roman" w:eastAsia="楷体_GB2312"/>
          <w:b/>
        </w:rPr>
        <w:t>优化生产空间。</w:t>
      </w:r>
      <w:r>
        <w:rPr>
          <w:rFonts w:hint="eastAsia"/>
        </w:rPr>
        <w:t>实施</w:t>
      </w:r>
      <w:r>
        <w:rPr>
          <w:rFonts w:hint="eastAsia"/>
          <w:lang w:val="zh-TW" w:eastAsia="zh-TW"/>
        </w:rPr>
        <w:t>开发区调规扩区工作，进一步拓宽生产力发展空间</w:t>
      </w:r>
      <w:r>
        <w:rPr>
          <w:rFonts w:hint="eastAsia"/>
          <w:lang w:val="zh-TW"/>
        </w:rPr>
        <w:t>，</w:t>
      </w:r>
      <w:r>
        <w:rPr>
          <w:rFonts w:hint="eastAsia"/>
          <w:lang w:val="zh-TW" w:eastAsia="zh-TW"/>
        </w:rPr>
        <w:t>完成演礼科技产业园、台头现代精细化工产业园的总体规划，预留足够发展空间，确保开发区可持续发展和土地集约度，科学合理做好土地占补</w:t>
      </w:r>
      <w:r>
        <w:rPr>
          <w:rFonts w:hint="eastAsia" w:ascii="仿宋" w:hAnsi="仿宋" w:eastAsia="仿宋" w:cs="仿宋"/>
          <w:lang w:val="zh-TW" w:eastAsia="zh-TW"/>
        </w:rPr>
        <w:t>平衡，为</w:t>
      </w:r>
      <w:r>
        <w:rPr>
          <w:rFonts w:hint="eastAsia" w:ascii="仿宋" w:hAnsi="仿宋" w:eastAsia="仿宋" w:cs="仿宋"/>
        </w:rPr>
        <w:t>“</w:t>
      </w:r>
      <w:r>
        <w:rPr>
          <w:rFonts w:hint="eastAsia" w:ascii="仿宋" w:hAnsi="仿宋" w:eastAsia="仿宋" w:cs="仿宋"/>
          <w:lang w:val="zh-TW" w:eastAsia="zh-TW"/>
        </w:rPr>
        <w:t>一区四园</w:t>
      </w:r>
      <w:r>
        <w:rPr>
          <w:rFonts w:hint="eastAsia" w:ascii="仿宋" w:hAnsi="仿宋" w:eastAsia="仿宋" w:cs="仿宋"/>
        </w:rPr>
        <w:t>”</w:t>
      </w:r>
      <w:r>
        <w:rPr>
          <w:rFonts w:hint="eastAsia" w:ascii="仿宋" w:hAnsi="仿宋" w:eastAsia="仿宋" w:cs="仿宋"/>
          <w:lang w:val="zh-TW" w:eastAsia="zh-TW"/>
        </w:rPr>
        <w:t>产业规划布局打牢基础。</w:t>
      </w:r>
      <w:r>
        <w:rPr>
          <w:rFonts w:hint="eastAsia"/>
        </w:rPr>
        <w:t>强化新型工业与现代服务业“双轮驱动”，统筹划定三线（生态红线、基本农田红线、城镇开发边界），优化产业空间布局，将小地块整合连片。</w:t>
      </w:r>
      <w:r>
        <w:rPr>
          <w:rFonts w:hint="eastAsia" w:ascii="仿宋" w:hAnsi="仿宋" w:eastAsia="仿宋" w:cs="仿宋"/>
          <w:lang w:val="zh-TW" w:eastAsia="zh-TW"/>
        </w:rPr>
        <w:t>依托大地、泰信和开投公司，储备一批土地资源，做好土地复垦工作，为项目落地做好支撑。</w:t>
      </w:r>
      <w:r>
        <w:rPr>
          <w:rFonts w:hint="eastAsia"/>
        </w:rPr>
        <w:t>鼓励工业用地在符合规划，不改变原用途的前提下，适度提高投资强度和容积率，推广建设多层厂房。对低效利用土地和闲置厂房清理，提高土地利用率，减少土地资源的浪费。开发工业地产，引入高技术含量及高产品附值的重大产业项目。完善路网交通，实现开发区各片区顺畅连通，强化一区四园建设，配套商贸、康养、教育、卫生、基础设施等公共服务，推进相关各功能板块同步发展，强化园内基础设施共享，推进各园区产业互动，推进与周边区域联动发展。</w:t>
      </w:r>
    </w:p>
    <w:p w14:paraId="619E0EE6">
      <w:pPr>
        <w:ind w:firstLine="643"/>
        <w:rPr>
          <w:rFonts w:hAnsi="Times New Roman"/>
        </w:rPr>
      </w:pPr>
      <w:r>
        <w:rPr>
          <w:rFonts w:hint="eastAsia" w:ascii="Times New Roman" w:hAnsi="Times New Roman" w:eastAsia="楷体_GB2312"/>
          <w:b/>
        </w:rPr>
        <w:t>提升生活空间。</w:t>
      </w:r>
      <w:r>
        <w:rPr>
          <w:rFonts w:hint="eastAsia" w:hAnsi="Times New Roman"/>
        </w:rPr>
        <w:t>合理调整城市功能布局，积极拓展城市人居和公共服务等建设空间，逐步置换区内工业用地，加快改善人居环境，形成支撑转型发展的重要增长极、人口的重要承载区。突出产城一体、产教融合，</w:t>
      </w:r>
      <w:r>
        <w:rPr>
          <w:rFonts w:hint="eastAsia" w:ascii="Times New Roman" w:hAnsi="Times New Roman"/>
          <w:kern w:val="0"/>
        </w:rPr>
        <w:t>提升产业、商贸、文化、教育、休闲等功能品质；</w:t>
      </w:r>
      <w:r>
        <w:rPr>
          <w:rFonts w:hint="eastAsia" w:hAnsi="Times New Roman"/>
        </w:rPr>
        <w:t>在演礼新区建设总部基地和商务办公区，统筹项目布局，提升区域价值；大力提升区域教育、文化、卫生等综合服务能力，</w:t>
      </w:r>
      <w:r>
        <w:rPr>
          <w:rFonts w:hint="eastAsia" w:ascii="Times New Roman" w:hAnsi="Times New Roman"/>
          <w:kern w:val="0"/>
        </w:rPr>
        <w:t>强化产业区</w:t>
      </w:r>
      <w:r>
        <w:rPr>
          <w:rFonts w:hint="eastAsia" w:hAnsi="Times New Roman"/>
        </w:rPr>
        <w:t>与生活区联动发展，演礼新区</w:t>
      </w:r>
      <w:r>
        <w:rPr>
          <w:rFonts w:hint="eastAsia" w:ascii="Times New Roman" w:hAnsi="Times New Roman"/>
          <w:kern w:val="0"/>
        </w:rPr>
        <w:t>积极引导企业“退二进三”，</w:t>
      </w:r>
      <w:r>
        <w:rPr>
          <w:rFonts w:hint="eastAsia" w:hAnsi="Times New Roman"/>
        </w:rPr>
        <w:t>提升区域生活居住品质和人口综合承载能力。</w:t>
      </w:r>
      <w:r>
        <w:rPr>
          <w:rFonts w:hint="eastAsia"/>
        </w:rPr>
        <w:t>合理利用闲置绿地建设临街商铺、便民市场等生活配套设施，满足入区职工日常生产生活需求。</w:t>
      </w:r>
    </w:p>
    <w:p w14:paraId="0F61BC3A">
      <w:pPr>
        <w:tabs>
          <w:tab w:val="left" w:pos="1095"/>
        </w:tabs>
        <w:ind w:firstLine="643"/>
        <w:rPr>
          <w:rFonts w:ascii="Times New Roman" w:hAnsi="Times New Roman"/>
          <w:kern w:val="0"/>
        </w:rPr>
      </w:pPr>
      <w:r>
        <w:rPr>
          <w:rFonts w:hint="eastAsia" w:ascii="Times New Roman" w:hAnsi="Times New Roman" w:eastAsia="楷体_GB2312"/>
          <w:b/>
        </w:rPr>
        <w:t>拓展生态空间。</w:t>
      </w:r>
      <w:r>
        <w:rPr>
          <w:rFonts w:hint="eastAsia" w:ascii="Times New Roman" w:hAnsi="Times New Roman"/>
          <w:kern w:val="0"/>
        </w:rPr>
        <w:t>依托生产生活空间结构和功能分区，围绕生态水系，加快构建以绿色廊道为骨架，道路绿化为网络，城市公园为节点的生态绿地体系。推进绿道、蓝道、生态休闲区建设，打造开发区内部生态网络。推动开发区内综合公园及街角绿地公园建设，完善均衡分布的公园绿地体系。秉承生态修复的理念，重点推进生态治理工程及民生保障配套工程。积极规划和构筑开发区生态空间，保护生态绿地和生态水体，突出复合生态廊道建设，强化生态功能，形成完整的生态系统。探索生产、生活、生态空间有机融合的建设新模式。</w:t>
      </w:r>
    </w:p>
    <w:bookmarkEnd w:id="146"/>
    <w:p w14:paraId="76A07E56">
      <w:pPr>
        <w:pStyle w:val="4"/>
        <w:rPr>
          <w:rFonts w:ascii="黑体" w:hAnsi="黑体" w:eastAsia="黑体"/>
        </w:rPr>
      </w:pPr>
      <w:bookmarkStart w:id="147" w:name="_Toc25733"/>
      <w:bookmarkStart w:id="148" w:name="_Toc1836"/>
      <w:bookmarkStart w:id="149" w:name="_Toc24349"/>
      <w:bookmarkStart w:id="150" w:name="_Toc2074"/>
      <w:bookmarkStart w:id="151" w:name="_Toc28391"/>
      <w:bookmarkStart w:id="152" w:name="_Toc449018751"/>
      <w:bookmarkStart w:id="153" w:name="_Toc12463"/>
      <w:bookmarkStart w:id="154" w:name="_Toc448488852"/>
      <w:bookmarkStart w:id="155" w:name="_Toc31925"/>
      <w:bookmarkStart w:id="156" w:name="_Toc31637"/>
      <w:bookmarkStart w:id="157" w:name="_Toc17681"/>
      <w:bookmarkStart w:id="158" w:name="_Toc448489408"/>
      <w:r>
        <w:rPr>
          <w:rFonts w:ascii="黑体" w:hAnsi="黑体" w:eastAsia="黑体"/>
        </w:rPr>
        <w:t>第二节  提升开发区品质</w:t>
      </w:r>
      <w:bookmarkEnd w:id="147"/>
      <w:bookmarkEnd w:id="148"/>
      <w:bookmarkEnd w:id="149"/>
      <w:bookmarkEnd w:id="150"/>
      <w:bookmarkEnd w:id="151"/>
      <w:bookmarkEnd w:id="152"/>
      <w:bookmarkEnd w:id="153"/>
      <w:bookmarkEnd w:id="154"/>
      <w:bookmarkEnd w:id="155"/>
      <w:bookmarkEnd w:id="156"/>
      <w:bookmarkEnd w:id="157"/>
      <w:bookmarkEnd w:id="158"/>
    </w:p>
    <w:p w14:paraId="1EDEC78E">
      <w:pPr>
        <w:spacing w:line="360" w:lineRule="auto"/>
        <w:ind w:firstLine="643"/>
        <w:rPr>
          <w:rFonts w:hint="eastAsia" w:ascii="楷体_GB2312" w:hAnsi="Times New Roman" w:eastAsia="楷体_GB2312"/>
          <w:b/>
        </w:rPr>
      </w:pPr>
      <w:r>
        <w:rPr>
          <w:rFonts w:hint="default"/>
          <w:b/>
          <w:bCs/>
          <w:lang w:val="en-US" w:eastAsia="zh-CN"/>
        </w:rPr>
        <w:t>强化产业转移与</w:t>
      </w:r>
      <w:r>
        <w:rPr>
          <w:rFonts w:hint="eastAsia"/>
          <w:b/>
          <w:bCs/>
          <w:lang w:val="en-US" w:eastAsia="zh-CN"/>
        </w:rPr>
        <w:t>开发区</w:t>
      </w:r>
      <w:r>
        <w:rPr>
          <w:rFonts w:hint="default"/>
          <w:b/>
          <w:bCs/>
          <w:lang w:val="en-US" w:eastAsia="zh-CN"/>
        </w:rPr>
        <w:t>升级</w:t>
      </w:r>
      <w:r>
        <w:rPr>
          <w:rFonts w:hint="eastAsia"/>
          <w:b/>
          <w:bCs/>
          <w:lang w:val="en-US" w:eastAsia="zh-CN"/>
        </w:rPr>
        <w:t>并行。</w:t>
      </w:r>
      <w:r>
        <w:rPr>
          <w:rFonts w:hint="default"/>
          <w:lang w:val="en-US" w:eastAsia="zh-CN"/>
        </w:rPr>
        <w:t>促成人、城、产</w:t>
      </w:r>
      <w:r>
        <w:rPr>
          <w:rFonts w:hint="eastAsia"/>
          <w:lang w:val="en-US" w:eastAsia="zh-CN"/>
        </w:rPr>
        <w:t>三</w:t>
      </w:r>
      <w:r>
        <w:rPr>
          <w:rFonts w:hint="default"/>
          <w:lang w:val="en-US" w:eastAsia="zh-CN"/>
        </w:rPr>
        <w:t>个发展主体全方位价值提升。把人本理念作为</w:t>
      </w:r>
      <w:r>
        <w:rPr>
          <w:rFonts w:hint="eastAsia"/>
          <w:lang w:val="en-US" w:eastAsia="zh-CN"/>
        </w:rPr>
        <w:t>开发区</w:t>
      </w:r>
      <w:r>
        <w:rPr>
          <w:rFonts w:hint="default"/>
          <w:lang w:val="en-US" w:eastAsia="zh-CN"/>
        </w:rPr>
        <w:t>发展的起点，协调开发时序、配套服务等内在的生态关系，以城聚人、以人聚产、以产兴城，从</w:t>
      </w:r>
      <w:r>
        <w:rPr>
          <w:rFonts w:hint="eastAsia"/>
          <w:lang w:val="en-US" w:eastAsia="zh-CN"/>
        </w:rPr>
        <w:t>“</w:t>
      </w:r>
      <w:r>
        <w:rPr>
          <w:rFonts w:hint="default"/>
          <w:lang w:val="en-US" w:eastAsia="zh-CN"/>
        </w:rPr>
        <w:t>镇</w:t>
      </w:r>
      <w:r>
        <w:rPr>
          <w:rFonts w:hint="eastAsia"/>
          <w:lang w:val="en-US" w:eastAsia="zh-CN"/>
        </w:rPr>
        <w:t>”“</w:t>
      </w:r>
      <w:r>
        <w:rPr>
          <w:rFonts w:hint="default"/>
          <w:lang w:val="en-US" w:eastAsia="zh-CN"/>
        </w:rPr>
        <w:t>到城</w:t>
      </w:r>
      <w:r>
        <w:rPr>
          <w:rFonts w:hint="eastAsia"/>
          <w:lang w:val="en-US" w:eastAsia="zh-CN"/>
        </w:rPr>
        <w:t>”</w:t>
      </w:r>
      <w:r>
        <w:rPr>
          <w:rFonts w:hint="default"/>
          <w:lang w:val="en-US" w:eastAsia="zh-CN"/>
        </w:rPr>
        <w:t>，从</w:t>
      </w:r>
      <w:r>
        <w:rPr>
          <w:rFonts w:hint="eastAsia"/>
          <w:lang w:val="en-US" w:eastAsia="zh-CN"/>
        </w:rPr>
        <w:t>“</w:t>
      </w:r>
      <w:r>
        <w:rPr>
          <w:rFonts w:hint="default"/>
          <w:lang w:val="en-US" w:eastAsia="zh-CN"/>
        </w:rPr>
        <w:t>老</w:t>
      </w:r>
      <w:r>
        <w:rPr>
          <w:rFonts w:hint="eastAsia"/>
          <w:lang w:val="en-US" w:eastAsia="zh-CN"/>
        </w:rPr>
        <w:t>”</w:t>
      </w:r>
      <w:r>
        <w:rPr>
          <w:rFonts w:hint="default"/>
          <w:lang w:val="en-US" w:eastAsia="zh-CN"/>
        </w:rPr>
        <w:t>到</w:t>
      </w:r>
      <w:r>
        <w:rPr>
          <w:rFonts w:hint="eastAsia"/>
          <w:lang w:val="en-US" w:eastAsia="zh-CN"/>
        </w:rPr>
        <w:t>“</w:t>
      </w:r>
      <w:r>
        <w:rPr>
          <w:rFonts w:hint="default"/>
          <w:lang w:val="en-US" w:eastAsia="zh-CN"/>
        </w:rPr>
        <w:t>新</w:t>
      </w:r>
      <w:r>
        <w:rPr>
          <w:rFonts w:hint="eastAsia"/>
          <w:lang w:val="en-US" w:eastAsia="zh-CN"/>
        </w:rPr>
        <w:t>”</w:t>
      </w:r>
      <w:r>
        <w:rPr>
          <w:rFonts w:hint="default"/>
          <w:lang w:val="en-US" w:eastAsia="zh-CN"/>
        </w:rPr>
        <w:t>，实现产城共融、城乡统筹、共同发展；以市场为主体，以政府为引导，由</w:t>
      </w:r>
      <w:r>
        <w:rPr>
          <w:rFonts w:hint="eastAsia"/>
          <w:lang w:val="en-US" w:eastAsia="zh-CN"/>
        </w:rPr>
        <w:t>开发区</w:t>
      </w:r>
      <w:r>
        <w:rPr>
          <w:rFonts w:hint="default"/>
          <w:lang w:val="en-US" w:eastAsia="zh-CN"/>
        </w:rPr>
        <w:t>运营</w:t>
      </w:r>
      <w:r>
        <w:rPr>
          <w:rFonts w:hint="eastAsia"/>
          <w:lang w:val="en-US" w:eastAsia="zh-CN"/>
        </w:rPr>
        <w:t>平台</w:t>
      </w:r>
      <w:r>
        <w:rPr>
          <w:rFonts w:hint="default"/>
          <w:lang w:val="en-US" w:eastAsia="zh-CN"/>
        </w:rPr>
        <w:t>统筹整合</w:t>
      </w:r>
      <w:r>
        <w:rPr>
          <w:rFonts w:hint="eastAsia"/>
          <w:lang w:val="en-US" w:eastAsia="zh-CN"/>
        </w:rPr>
        <w:t>演礼新城、安阳循环经济产业园等</w:t>
      </w:r>
      <w:r>
        <w:rPr>
          <w:rFonts w:hint="default"/>
          <w:lang w:val="en-US" w:eastAsia="zh-CN"/>
        </w:rPr>
        <w:t>各类生产、生活功能资源，围绕产业升级和城市升级，采取</w:t>
      </w:r>
      <w:r>
        <w:rPr>
          <w:rFonts w:hint="eastAsia"/>
          <w:lang w:val="en-US" w:eastAsia="zh-CN"/>
        </w:rPr>
        <w:t>“</w:t>
      </w:r>
      <w:r>
        <w:rPr>
          <w:rFonts w:hint="default"/>
          <w:lang w:val="en-US" w:eastAsia="zh-CN"/>
        </w:rPr>
        <w:t>园区运营+配套"的模式，降低建设成本，提高产业新城运营效率；利用大数据、云计算、人工智能、 区块链等技术，通过产城融台、资源集约、绿色交通、智慧管理等规划发展，完善</w:t>
      </w:r>
      <w:r>
        <w:rPr>
          <w:rFonts w:hint="eastAsia"/>
          <w:lang w:val="en-US" w:eastAsia="zh-CN"/>
        </w:rPr>
        <w:t>开发区</w:t>
      </w:r>
      <w:r>
        <w:rPr>
          <w:rFonts w:hint="default"/>
          <w:lang w:val="en-US" w:eastAsia="zh-CN"/>
        </w:rPr>
        <w:t>布局和形态，提高土地使用效率</w:t>
      </w:r>
      <w:r>
        <w:rPr>
          <w:rFonts w:hint="eastAsia"/>
          <w:lang w:val="en-US" w:eastAsia="zh-CN"/>
        </w:rPr>
        <w:t>。</w:t>
      </w:r>
    </w:p>
    <w:p w14:paraId="272C0D79">
      <w:pPr>
        <w:spacing w:line="360" w:lineRule="auto"/>
        <w:ind w:firstLine="643"/>
        <w:rPr>
          <w:rFonts w:ascii="Times New Roman" w:hAnsi="Times New Roman"/>
          <w:bCs/>
          <w:lang w:val="zh-CN"/>
        </w:rPr>
      </w:pPr>
      <w:r>
        <w:rPr>
          <w:rFonts w:hint="eastAsia" w:ascii="楷体_GB2312" w:hAnsi="Times New Roman" w:eastAsia="楷体_GB2312"/>
          <w:b/>
        </w:rPr>
        <w:t>建设精品开发区。</w:t>
      </w:r>
      <w:r>
        <w:rPr>
          <w:rFonts w:hint="eastAsia" w:ascii="Times New Roman" w:hAnsi="Times New Roman"/>
          <w:kern w:val="0"/>
        </w:rPr>
        <w:t>按照规划引领、分步实施、政府主导、市场运作、注重内涵、集聚发展的思路，加快优质地块上市。对改造地块超前谋划、科学规划，合理引导和调控改造地块的空间布局、发展规模、建设时序，以珐琅小镇建设为牵引打造一批创意街区、特色街区等高端产业集聚区。实施精品道路提升改造工程，整治街道立面景观，强化市政设施配套，丰富花卉绿地层次，提高街道绿化、亮化、美化水平。启动一批特色街区建设，积极引入优质教育、特色商业、休闲、文化体验与展示、演艺娱乐等业态。</w:t>
      </w:r>
      <w:r>
        <w:rPr>
          <w:rFonts w:hint="eastAsia"/>
        </w:rPr>
        <w:t>在开发区的主要出入口、人员密集地设置地标性建筑，建设标志性景观，展示开发区形象和文化。</w:t>
      </w:r>
      <w:r>
        <w:rPr>
          <w:rFonts w:hint="eastAsia" w:ascii="Times New Roman" w:hAnsi="Times New Roman"/>
          <w:bCs/>
          <w:lang w:val="zh-CN"/>
        </w:rPr>
        <w:t>加快推进货运专用通道、货运停车场建设，实现货运交通外畅内达、客货分离、低碳高效。积极扩大公共停车供给总量，完善停车场布局规划，调整停车设施供给结构。</w:t>
      </w:r>
    </w:p>
    <w:p w14:paraId="18806E7A">
      <w:pPr>
        <w:tabs>
          <w:tab w:val="left" w:pos="1095"/>
        </w:tabs>
        <w:ind w:firstLine="643"/>
        <w:rPr>
          <w:rFonts w:ascii="Times New Roman" w:hAnsi="Times New Roman"/>
        </w:rPr>
      </w:pPr>
      <w:r>
        <w:rPr>
          <w:rFonts w:hint="eastAsia" w:ascii="楷体_GB2312" w:hAnsi="Times New Roman" w:eastAsia="楷体_GB2312"/>
          <w:b/>
          <w:bCs/>
        </w:rPr>
        <w:t>加强市政设施建设。</w:t>
      </w:r>
      <w:r>
        <w:rPr>
          <w:rFonts w:hint="eastAsia"/>
        </w:rPr>
        <w:t>按照“适度超前、保障有力”原则，积极推动水、电、气、电信、环卫等市政资源体系建设。推动建造方式转型，政府投资工程全面应用装配式技术建设，引导房地产和社会投资项目采用装配式建筑。推动节能建筑向绿色建筑、高能耗建筑向低能耗建筑转变，全面提升开发区绿色建筑发展水平。新建民用建筑100%达到建筑节能和绿色建筑强制性标准要求。全面推进建筑市场监管信息化建设，建立建筑市场监管与工程质量安全监管一体化“智慧建筑”平台，实行数据一个库、监管一张网、管理一条线，实现行业生产力的跨越发展。</w:t>
      </w:r>
      <w:r>
        <w:rPr>
          <w:rFonts w:hint="eastAsia" w:ascii="Times New Roman" w:hAnsi="Times New Roman"/>
        </w:rPr>
        <w:t>完善供水系统，结合区域发展规模和建设时序，合理安排水厂和输配水设施建设，</w:t>
      </w:r>
      <w:r>
        <w:rPr>
          <w:rFonts w:hint="eastAsia"/>
        </w:rPr>
        <w:t>推进公共供水全覆盖</w:t>
      </w:r>
      <w:r>
        <w:rPr>
          <w:rFonts w:hint="eastAsia" w:ascii="Times New Roman" w:hAnsi="Times New Roman"/>
        </w:rPr>
        <w:t>。</w:t>
      </w:r>
      <w:r>
        <w:rPr>
          <w:rFonts w:hint="eastAsia"/>
        </w:rPr>
        <w:t>有序推进雨污分流，提高防洪、排水、防涝能力。统筹推进缓洪池、泵站建设及黑臭水体治理。加快完善电网主网结构，实现开发区燃气、集中供热全覆盖。全面开展生活垃圾分类。优化整合现有市政管线走向，合理规划地下综合管廊建设，实现干线管廊、支线管廊、线缆等市政基础设施协调联网。</w:t>
      </w:r>
      <w:r>
        <w:rPr>
          <w:rFonts w:hint="eastAsia" w:ascii="Times New Roman" w:hAnsi="Times New Roman"/>
        </w:rPr>
        <w:t>重点解决区域供水、用水问题。大力发展分质供水、再生水回用。优化和深化重点供水设施和主干管线。加快节水型社会建设，构建较为完善的节水体系。重点推进水厂及配套管网设施建设。</w:t>
      </w:r>
    </w:p>
    <w:p w14:paraId="5309BF29">
      <w:pPr>
        <w:ind w:left="640" w:firstLine="0" w:firstLineChars="0"/>
      </w:pPr>
    </w:p>
    <w:p w14:paraId="3B26CA72">
      <w:pPr>
        <w:pStyle w:val="4"/>
        <w:rPr>
          <w:rFonts w:ascii="黑体" w:hAnsi="黑体" w:eastAsia="黑体"/>
        </w:rPr>
      </w:pPr>
      <w:bookmarkStart w:id="159" w:name="_Toc19716"/>
      <w:bookmarkStart w:id="160" w:name="_Toc29847"/>
      <w:bookmarkStart w:id="161" w:name="_Toc17565"/>
      <w:bookmarkStart w:id="162" w:name="_Toc23147"/>
      <w:bookmarkStart w:id="163" w:name="_Toc443377922"/>
      <w:r>
        <w:rPr>
          <w:rFonts w:ascii="黑体" w:hAnsi="黑体" w:eastAsia="黑体"/>
        </w:rPr>
        <w:t>第</w:t>
      </w:r>
      <w:r>
        <w:rPr>
          <w:rFonts w:hint="eastAsia" w:ascii="黑体" w:hAnsi="黑体" w:eastAsia="黑体"/>
          <w:lang w:val="en-US" w:eastAsia="zh-CN"/>
        </w:rPr>
        <w:t>三</w:t>
      </w:r>
      <w:r>
        <w:rPr>
          <w:rFonts w:ascii="黑体" w:hAnsi="黑体" w:eastAsia="黑体"/>
        </w:rPr>
        <w:t>节  提高公共安全保障能力</w:t>
      </w:r>
      <w:bookmarkEnd w:id="159"/>
      <w:bookmarkEnd w:id="160"/>
      <w:bookmarkEnd w:id="161"/>
      <w:bookmarkEnd w:id="162"/>
    </w:p>
    <w:p w14:paraId="2C324678">
      <w:pPr>
        <w:numPr>
          <w:ilvl w:val="255"/>
          <w:numId w:val="0"/>
        </w:numPr>
        <w:ind w:firstLine="643" w:firstLineChars="200"/>
      </w:pPr>
      <w:r>
        <w:rPr>
          <w:rFonts w:hint="eastAsia" w:ascii="楷体" w:hAnsi="楷体" w:eastAsia="楷体" w:cs="楷体"/>
          <w:b/>
          <w:bCs/>
        </w:rPr>
        <w:t>抓好生产安全。</w:t>
      </w:r>
      <w:bookmarkEnd w:id="163"/>
      <w:r>
        <w:rPr>
          <w:rFonts w:hint="eastAsia"/>
        </w:rPr>
        <w:t>全面构建双重预防机制，帮扶企业构建安全风险分级管控和隐患排查治理双重预防机制。推动安全生产社会化服务工作，建立政府购买安全生产服务制度，引入第三方提供安全监管监察执法技术支撑（政府层面）。推进企业实行安全生产社会化服务工作，构建政府、企业、社会机构分工合理、协作互动的安全生产社会化服务体系（企业层面）。严格安全生产管理，完善和落实安全生产责任制，加强安全生产监管执法，突出抓好隐患排查和治理，改善职业健康作业环境，开展重点行业、重点领域职业危害监测和风险评估，加强安全宣传、教育和培训，推进安全生产管理信息化平台建设，构建安全生产社会化服务体系。</w:t>
      </w:r>
    </w:p>
    <w:p w14:paraId="7D22F37E">
      <w:pPr>
        <w:ind w:firstLine="643"/>
      </w:pPr>
      <w:bookmarkStart w:id="164" w:name="_Toc443377921"/>
      <w:r>
        <w:rPr>
          <w:rFonts w:hint="eastAsia" w:ascii="楷体" w:hAnsi="楷体" w:eastAsia="楷体" w:cs="楷体"/>
          <w:b/>
          <w:bCs/>
        </w:rPr>
        <w:t>保障人民生命安全。</w:t>
      </w:r>
      <w:r>
        <w:rPr>
          <w:rFonts w:hint="eastAsia"/>
        </w:rPr>
        <w:t>坚持人民至上、生命至上，把保护人民生命安全摆在首位，全面提高公共安全保障能力。强化生物安全保护，提高食品药品等关系人民健康产品和服务的安全保障水平。提升地质灾害、地震等自然灾害防御工程标准。完善应急管理体系，加强应急物资保障体系建设，提高危机管理和抗风险能力，有效应对突发公共事件。打造灵活机动、专业高效的应急保障“尖刀”力量。实施以“有班子、有机制、有预案、有队伍、有物资、有培训演练”等为主要内容的基层应急管理能力标准化建设。</w:t>
      </w:r>
    </w:p>
    <w:p w14:paraId="0A91B237">
      <w:pPr>
        <w:ind w:firstLine="643"/>
      </w:pPr>
      <w:r>
        <w:rPr>
          <w:rFonts w:hint="eastAsia" w:ascii="楷体" w:hAnsi="楷体" w:eastAsia="楷体" w:cs="楷体"/>
          <w:b/>
          <w:bCs/>
        </w:rPr>
        <w:t>维护社会稳定和安全。</w:t>
      </w:r>
      <w:r>
        <w:rPr>
          <w:rFonts w:hint="eastAsia"/>
        </w:rPr>
        <w:t>强化社会治安综合治理，建立社会联防联控机制，完善社会治安长效管理。畅通和规范群众诉求表达、利益协调、权益保障通道，完善信访制度，完善各类调解联动工作体系，构建源头防控、排查梳理、纠纷化解、应急处置的社会矛盾综合治理机制。健全社会心理服务体系和危机干预机制。坚持专群结合、群防群治，加强社会治安防控体系建设，坚决防范和打击暴力恐怖、黑恶势力、新型网络犯罪和跨国犯罪，保持社会和谐稳定。</w:t>
      </w:r>
      <w:bookmarkEnd w:id="164"/>
    </w:p>
    <w:p w14:paraId="3FEDF003">
      <w:pPr>
        <w:ind w:firstLine="640"/>
      </w:pPr>
      <w:r>
        <w:br w:type="page"/>
      </w:r>
    </w:p>
    <w:p w14:paraId="7A0E187C">
      <w:pPr>
        <w:pStyle w:val="3"/>
        <w:rPr>
          <w:sz w:val="36"/>
          <w:szCs w:val="36"/>
        </w:rPr>
      </w:pPr>
      <w:bookmarkStart w:id="165" w:name="_Toc2472"/>
      <w:bookmarkStart w:id="166" w:name="_Toc448488856"/>
      <w:bookmarkStart w:id="167" w:name="_Toc449018755"/>
      <w:bookmarkStart w:id="168" w:name="_Toc6038"/>
      <w:bookmarkStart w:id="169" w:name="_Toc31616"/>
      <w:bookmarkStart w:id="170" w:name="_Toc448489412"/>
      <w:bookmarkStart w:id="171" w:name="_Toc26698"/>
      <w:bookmarkStart w:id="172" w:name="_Toc18350"/>
      <w:bookmarkStart w:id="173" w:name="_Toc13636"/>
      <w:bookmarkStart w:id="174" w:name="_Toc28306"/>
      <w:bookmarkStart w:id="175" w:name="_Toc4304"/>
      <w:bookmarkStart w:id="176" w:name="_Toc14908"/>
      <w:r>
        <w:rPr>
          <w:rFonts w:hint="eastAsia"/>
          <w:sz w:val="36"/>
          <w:szCs w:val="36"/>
        </w:rPr>
        <w:t xml:space="preserve">第七章  </w:t>
      </w:r>
      <w:bookmarkEnd w:id="165"/>
      <w:bookmarkEnd w:id="166"/>
      <w:bookmarkEnd w:id="167"/>
      <w:bookmarkEnd w:id="168"/>
      <w:bookmarkEnd w:id="169"/>
      <w:bookmarkEnd w:id="170"/>
      <w:bookmarkEnd w:id="171"/>
      <w:r>
        <w:rPr>
          <w:rFonts w:hint="eastAsia"/>
          <w:sz w:val="36"/>
          <w:szCs w:val="36"/>
        </w:rPr>
        <w:t>推动绿色发展，促进碳中和碳达峰</w:t>
      </w:r>
      <w:bookmarkEnd w:id="172"/>
      <w:bookmarkEnd w:id="173"/>
      <w:bookmarkEnd w:id="174"/>
      <w:bookmarkEnd w:id="175"/>
      <w:bookmarkEnd w:id="176"/>
    </w:p>
    <w:p w14:paraId="4FF43A3B">
      <w:pPr>
        <w:spacing w:line="600" w:lineRule="exact"/>
        <w:ind w:firstLine="640"/>
      </w:pPr>
    </w:p>
    <w:p w14:paraId="3B9AAEF0">
      <w:pPr>
        <w:spacing w:line="600" w:lineRule="exact"/>
        <w:ind w:firstLine="640"/>
      </w:pPr>
      <w:r>
        <w:rPr>
          <w:rFonts w:hint="eastAsia"/>
        </w:rPr>
        <w:t>深入推进碳中和碳达峰战略，坚持节约资源和保护环境的基本国策，着力转方式调结构，提升环境治理能力，改善生态环境质量，形成节约资源和保护生态环境的产业结构、增长方式和消费模式，创建A类绿色示范园区，建成生态环境良性循环、居住环境清洁舒适、人与自然和谐共处的宜业宜居生态开发区。</w:t>
      </w:r>
    </w:p>
    <w:p w14:paraId="717EF695">
      <w:pPr>
        <w:pStyle w:val="4"/>
        <w:rPr>
          <w:rFonts w:hint="default" w:ascii="黑体" w:hAnsi="黑体" w:eastAsia="黑体"/>
          <w:lang w:val="en-US" w:eastAsia="zh-CN"/>
        </w:rPr>
      </w:pPr>
      <w:bookmarkStart w:id="177" w:name="_Toc78803883"/>
      <w:bookmarkStart w:id="178" w:name="_Toc11885"/>
      <w:r>
        <w:rPr>
          <w:rFonts w:ascii="黑体" w:hAnsi="黑体" w:eastAsia="黑体"/>
        </w:rPr>
        <w:t xml:space="preserve">第一节  </w:t>
      </w:r>
      <w:r>
        <w:rPr>
          <w:rFonts w:hint="eastAsia" w:ascii="黑体" w:hAnsi="黑体" w:eastAsia="黑体"/>
          <w:lang w:val="en-US" w:eastAsia="zh-CN"/>
        </w:rPr>
        <w:t>实施</w:t>
      </w:r>
      <w:r>
        <w:rPr>
          <w:rFonts w:ascii="黑体" w:hAnsi="黑体" w:eastAsia="黑体"/>
        </w:rPr>
        <w:t>碳达峰</w:t>
      </w:r>
      <w:bookmarkEnd w:id="177"/>
      <w:r>
        <w:rPr>
          <w:rFonts w:hint="eastAsia" w:ascii="黑体" w:hAnsi="黑体" w:eastAsia="黑体"/>
          <w:lang w:val="en-US" w:eastAsia="zh-CN"/>
        </w:rPr>
        <w:t>碳中和行动</w:t>
      </w:r>
      <w:bookmarkEnd w:id="178"/>
    </w:p>
    <w:p w14:paraId="0C47901D">
      <w:pPr>
        <w:pStyle w:val="33"/>
        <w:rPr>
          <w:rFonts w:ascii="仿宋_GB2312" w:hAnsi="仿宋" w:eastAsia="仿宋_GB2312" w:cs="??_GB2312"/>
          <w:kern w:val="2"/>
          <w:shd w:val="clear" w:color="auto" w:fill="FFFFFF"/>
        </w:rPr>
      </w:pPr>
      <w:r>
        <w:rPr>
          <w:rFonts w:hint="eastAsia" w:ascii="仿宋_GB2312" w:hAnsi="仿宋" w:eastAsia="仿宋_GB2312" w:cs="??_GB2312"/>
          <w:kern w:val="2"/>
          <w:shd w:val="clear" w:color="auto" w:fill="FFFFFF"/>
        </w:rPr>
        <w:t>落实国家、省、市碳排放达峰</w:t>
      </w:r>
      <w:r>
        <w:rPr>
          <w:rFonts w:hint="eastAsia" w:ascii="仿宋_GB2312" w:hAnsi="仿宋" w:eastAsia="仿宋_GB2312" w:cs="??_GB2312"/>
          <w:kern w:val="2"/>
          <w:shd w:val="clear" w:color="auto" w:fill="FFFFFF"/>
          <w:lang w:val="en-US" w:eastAsia="zh-CN"/>
        </w:rPr>
        <w:t>碳中和</w:t>
      </w:r>
      <w:r>
        <w:rPr>
          <w:rFonts w:hint="eastAsia" w:ascii="仿宋_GB2312" w:hAnsi="仿宋" w:eastAsia="仿宋_GB2312" w:cs="??_GB2312"/>
          <w:kern w:val="2"/>
          <w:shd w:val="clear" w:color="auto" w:fill="FFFFFF"/>
        </w:rPr>
        <w:t>行动方案，建立碳排放强度与总量“双控机制”，抢抓用能权和碳排放权，科学编制能耗、物耗预算管理方案，多措并举降低碳排放强度。</w:t>
      </w:r>
    </w:p>
    <w:p w14:paraId="7D43CCBD">
      <w:pPr>
        <w:ind w:firstLine="643"/>
        <w:rPr>
          <w:rFonts w:hint="eastAsia" w:ascii="仿宋_GB2312" w:hAnsi="仿宋" w:eastAsia="仿宋" w:cs="??_GB2312"/>
          <w:b/>
          <w:kern w:val="2"/>
          <w:shd w:val="clear" w:color="auto" w:fill="FFFFFF"/>
          <w:lang w:val="en-US" w:eastAsia="zh-CN"/>
        </w:rPr>
      </w:pPr>
      <w:r>
        <w:rPr>
          <w:b/>
          <w:bCs/>
        </w:rPr>
        <w:t>实施碳达峰和碳中和行动。</w:t>
      </w:r>
      <w:r>
        <w:t>以市场化和经济手段降低碳排放强度，制定2030年前碳达峰、2060年前碳中和行动方案，实行碳排放强度与污染排放总量“双控”机制和碳排放交易机制。加快调整、优化能源结构，推动煤炭消费尽早达峰。</w:t>
      </w:r>
      <w:r>
        <w:rPr>
          <w:rFonts w:hint="eastAsia"/>
          <w:lang w:val="en-US" w:eastAsia="zh-CN"/>
        </w:rPr>
        <w:t>积极推进</w:t>
      </w:r>
      <w:r>
        <w:rPr>
          <w:rFonts w:ascii="Times New Roman Regular" w:hAnsi="Times New Roman Regular" w:eastAsia="仿宋"/>
          <w:sz w:val="32"/>
          <w:szCs w:val="32"/>
        </w:rPr>
        <w:t>ECT</w:t>
      </w:r>
      <w:r>
        <w:rPr>
          <w:rFonts w:ascii="仿宋" w:hAnsi="仿宋" w:eastAsia="仿宋"/>
          <w:sz w:val="32"/>
          <w:szCs w:val="32"/>
        </w:rPr>
        <w:t>技术消纳二氧化碳</w:t>
      </w:r>
      <w:r>
        <w:rPr>
          <w:rFonts w:hint="eastAsia" w:ascii="仿宋" w:hAnsi="仿宋" w:eastAsia="仿宋"/>
          <w:sz w:val="32"/>
          <w:szCs w:val="32"/>
        </w:rPr>
        <w:t>制甲酸</w:t>
      </w:r>
      <w:r>
        <w:rPr>
          <w:rFonts w:ascii="仿宋" w:hAnsi="仿宋" w:eastAsia="仿宋"/>
          <w:sz w:val="32"/>
          <w:szCs w:val="32"/>
        </w:rPr>
        <w:t>项目</w:t>
      </w:r>
      <w:r>
        <w:rPr>
          <w:rFonts w:hint="eastAsia" w:ascii="仿宋" w:hAnsi="仿宋" w:eastAsia="仿宋"/>
          <w:sz w:val="32"/>
          <w:szCs w:val="32"/>
          <w:lang w:val="en-US" w:eastAsia="zh-CN"/>
        </w:rPr>
        <w:t>建设，</w:t>
      </w:r>
      <w:r>
        <w:rPr>
          <w:rFonts w:hint="eastAsia" w:ascii="仿宋" w:hAnsi="仿宋" w:eastAsia="仿宋"/>
          <w:sz w:val="32"/>
          <w:szCs w:val="32"/>
        </w:rPr>
        <w:t>成立“碳中和-负碳技术研究院”，</w:t>
      </w:r>
      <w:r>
        <w:rPr>
          <w:rFonts w:ascii="仿宋" w:hAnsi="仿宋" w:eastAsia="仿宋"/>
          <w:sz w:val="32"/>
          <w:szCs w:val="32"/>
        </w:rPr>
        <w:t xml:space="preserve"> 未来覆盖阳城乃至全省</w:t>
      </w:r>
      <w:r>
        <w:rPr>
          <w:rFonts w:hint="eastAsia" w:ascii="仿宋" w:hAnsi="仿宋" w:eastAsia="仿宋"/>
          <w:sz w:val="32"/>
          <w:szCs w:val="32"/>
        </w:rPr>
        <w:t>、国</w:t>
      </w:r>
      <w:r>
        <w:rPr>
          <w:rFonts w:ascii="仿宋" w:hAnsi="仿宋" w:eastAsia="仿宋"/>
          <w:sz w:val="32"/>
          <w:szCs w:val="32"/>
        </w:rPr>
        <w:t>区域二氧化碳消纳</w:t>
      </w:r>
      <w:r>
        <w:rPr>
          <w:rFonts w:hint="eastAsia" w:ascii="仿宋" w:hAnsi="仿宋" w:eastAsia="仿宋"/>
          <w:sz w:val="32"/>
          <w:szCs w:val="32"/>
        </w:rPr>
        <w:t>体系</w:t>
      </w:r>
      <w:r>
        <w:rPr>
          <w:rFonts w:ascii="仿宋" w:hAnsi="仿宋" w:eastAsia="仿宋"/>
          <w:sz w:val="32"/>
          <w:szCs w:val="32"/>
        </w:rPr>
        <w:t>，建立全方位研发</w:t>
      </w:r>
      <w:r>
        <w:rPr>
          <w:rFonts w:hint="eastAsia" w:ascii="仿宋" w:hAnsi="仿宋" w:eastAsia="仿宋"/>
          <w:sz w:val="32"/>
          <w:szCs w:val="32"/>
        </w:rPr>
        <w:t>孵化</w:t>
      </w:r>
      <w:r>
        <w:rPr>
          <w:rFonts w:ascii="仿宋" w:hAnsi="仿宋" w:eastAsia="仿宋"/>
          <w:sz w:val="32"/>
          <w:szCs w:val="32"/>
        </w:rPr>
        <w:t>基地。</w:t>
      </w:r>
    </w:p>
    <w:p w14:paraId="1CD2A661">
      <w:pPr>
        <w:ind w:firstLine="643"/>
        <w:rPr>
          <w:rFonts w:ascii="Times New Roman" w:hAnsi="Times New Roman"/>
        </w:rPr>
      </w:pPr>
      <w:r>
        <w:rPr>
          <w:rFonts w:hint="eastAsia" w:hAnsi="仿宋" w:cs="??_GB2312"/>
          <w:b/>
          <w:shd w:val="clear" w:color="auto" w:fill="FFFFFF"/>
        </w:rPr>
        <w:t>继续调整和优化产业结构。</w:t>
      </w:r>
      <w:r>
        <w:rPr>
          <w:rFonts w:hint="eastAsia" w:hAnsi="仿宋" w:cs="??_GB2312"/>
          <w:bCs/>
          <w:shd w:val="clear" w:color="auto" w:fill="FFFFFF"/>
        </w:rPr>
        <w:t>全力引进高效光伏材料、余热利用、乏风发电、废气处理等装备制造项目，</w:t>
      </w:r>
      <w:r>
        <w:rPr>
          <w:rFonts w:hint="eastAsia" w:hAnsi="仿宋" w:cs="??_GB2312"/>
          <w:shd w:val="clear" w:color="auto" w:fill="FFFFFF"/>
        </w:rPr>
        <w:t>控制高耗能产业的扩张，降低单位</w:t>
      </w:r>
      <w:r>
        <w:rPr>
          <w:rFonts w:hAnsi="仿宋" w:cs="??_GB2312"/>
          <w:shd w:val="clear" w:color="auto" w:fill="FFFFFF"/>
        </w:rPr>
        <w:t>GDP</w:t>
      </w:r>
      <w:r>
        <w:rPr>
          <w:rFonts w:hint="eastAsia" w:hAnsi="仿宋" w:cs="??_GB2312"/>
          <w:shd w:val="clear" w:color="auto" w:fill="FFFFFF"/>
        </w:rPr>
        <w:t>能耗，合理控制能源消费总量增长。发挥重点企业能耗在线监测系统作用，加快工业企业能源管理现代化、高效化，推进建筑业低能耗、零能耗建筑建设试点，编制绿色生产考核体系、绿色建筑建设标准，提升工业生产效率和能耗效率。</w:t>
      </w:r>
      <w:r>
        <w:rPr>
          <w:rFonts w:hint="eastAsia" w:ascii="Times New Roman" w:hAnsi="Times New Roman"/>
        </w:rPr>
        <w:t>推广绿色交通，加快新能源汽车及配套设施的建设。</w:t>
      </w:r>
    </w:p>
    <w:p w14:paraId="6CF267DA">
      <w:pPr>
        <w:pStyle w:val="33"/>
        <w:ind w:firstLine="643"/>
        <w:rPr>
          <w:rFonts w:ascii="仿宋_GB2312" w:hAnsi="仿宋" w:eastAsia="仿宋_GB2312" w:cs="??_GB2312"/>
          <w:kern w:val="2"/>
          <w:shd w:val="clear" w:color="auto" w:fill="FFFFFF"/>
        </w:rPr>
      </w:pPr>
      <w:r>
        <w:rPr>
          <w:rFonts w:hint="eastAsia" w:ascii="仿宋_GB2312" w:hAnsi="仿宋" w:eastAsia="仿宋_GB2312" w:cs="??_GB2312"/>
          <w:b/>
          <w:kern w:val="2"/>
          <w:shd w:val="clear" w:color="auto" w:fill="FFFFFF"/>
        </w:rPr>
        <w:t>建设碳中和试验示范区。</w:t>
      </w:r>
      <w:r>
        <w:rPr>
          <w:rFonts w:hint="eastAsia" w:ascii="仿宋_GB2312" w:hAnsi="仿宋" w:eastAsia="仿宋_GB2312" w:cs="??_GB2312"/>
          <w:kern w:val="2"/>
          <w:shd w:val="clear" w:color="auto" w:fill="FFFFFF"/>
        </w:rPr>
        <w:t>形成以政府为主导、企业为主体、社会组织和公众参与的工作格局，深入推进工业、建筑、交通运输等重点领域节能、降耗，对安阳产业园一二期现有厂房提标改造，布局光伏发电太阳能板。加快压缩和有序淘汰高能耗、高排放的过剩产能，确保单位能耗和主要污染物排放稳步下降。鼓励企业围绕清洁生产开展技术改造升级，探索构建跨行业的生态制造加工链条。实施建筑节能先进标准领跑行动，合理有效配置不同交通运输方式，大力推广新能源汽车、节能环保汽车、清洁能源动力运输等节能设备应用。</w:t>
      </w:r>
    </w:p>
    <w:p w14:paraId="244AF10E">
      <w:pPr>
        <w:ind w:firstLine="643"/>
        <w:rPr>
          <w:rFonts w:hint="eastAsia" w:ascii="Times New Roman" w:hAnsi="Times New Roman"/>
        </w:rPr>
      </w:pPr>
      <w:r>
        <w:rPr>
          <w:rFonts w:hint="eastAsia" w:ascii="楷体_GB2312" w:hAnsi="楷体" w:eastAsia="楷体_GB2312"/>
          <w:b/>
        </w:rPr>
        <w:t>深入实施节能</w:t>
      </w:r>
      <w:r>
        <w:rPr>
          <w:rFonts w:hint="eastAsia" w:ascii="楷体_GB2312" w:hAnsi="楷体" w:eastAsia="楷体_GB2312"/>
          <w:b/>
          <w:lang w:val="en-US" w:eastAsia="zh-CN"/>
        </w:rPr>
        <w:t>降碳</w:t>
      </w:r>
      <w:r>
        <w:rPr>
          <w:rFonts w:hint="eastAsia" w:ascii="楷体_GB2312" w:hAnsi="楷体" w:eastAsia="楷体_GB2312"/>
          <w:b/>
        </w:rPr>
        <w:t>战略。</w:t>
      </w:r>
      <w:r>
        <w:rPr>
          <w:rFonts w:hint="eastAsia" w:ascii="Times New Roman" w:hAnsi="Times New Roman"/>
        </w:rPr>
        <w:t>推行用能预算管理，强化固定资产投资项目节能审查，对项目用能和碳排放情况进行综合评价，从源头推进节能降碳。严格实施能源和水资源消耗、建设用地等总量和强度控制制度。推动工业、建筑、交通运输、公共机构等重点领域节能，提升重点产业能效。建立企业能耗统计制度，鼓励企业积极参与节能技改项目，推行合同能源管理模式、能效“领跑者”制度。推广应用节能技术产品，组织实施绿色建筑、节能技术推广应用示范项目。</w:t>
      </w:r>
    </w:p>
    <w:p w14:paraId="3628F300">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b/>
          <w:bCs/>
          <w:kern w:val="2"/>
          <w:sz w:val="32"/>
          <w:szCs w:val="32"/>
          <w:lang w:val="en-US" w:eastAsia="zh-CN" w:bidi="ar-SA"/>
        </w:rPr>
        <w:t>推动建材行业碳达峰。</w:t>
      </w:r>
      <w:r>
        <w:rPr>
          <w:rFonts w:hint="eastAsia" w:ascii="Times New Roman" w:hAnsi="Times New Roman" w:cs="仿宋_GB2312"/>
          <w:b w:val="0"/>
          <w:bCs w:val="0"/>
          <w:kern w:val="2"/>
          <w:sz w:val="32"/>
          <w:szCs w:val="32"/>
          <w:lang w:val="en-US" w:eastAsia="zh-CN" w:bidi="ar-SA"/>
        </w:rPr>
        <w:t>针对我县陶瓷、水泥建材行业集中特点，</w:t>
      </w:r>
      <w:r>
        <w:rPr>
          <w:rFonts w:hint="eastAsia" w:ascii="Times New Roman" w:hAnsi="Times New Roman" w:eastAsia="仿宋_GB2312" w:cs="仿宋_GB2312"/>
          <w:kern w:val="2"/>
          <w:sz w:val="32"/>
          <w:szCs w:val="32"/>
          <w:lang w:val="en-US" w:eastAsia="zh-CN" w:bidi="ar-SA"/>
        </w:rPr>
        <w:t>加强产能置换监管，加快低效产能退出，严禁新增</w:t>
      </w:r>
      <w:r>
        <w:rPr>
          <w:rFonts w:hint="eastAsia" w:ascii="Times New Roman" w:hAnsi="Times New Roman" w:cs="仿宋_GB2312"/>
          <w:kern w:val="2"/>
          <w:sz w:val="32"/>
          <w:szCs w:val="32"/>
          <w:lang w:val="en-US" w:eastAsia="zh-CN" w:bidi="ar-SA"/>
        </w:rPr>
        <w:t>落后</w:t>
      </w:r>
      <w:r>
        <w:rPr>
          <w:rFonts w:hint="eastAsia" w:ascii="Times New Roman" w:hAnsi="Times New Roman" w:eastAsia="仿宋_GB2312" w:cs="仿宋_GB2312"/>
          <w:kern w:val="2"/>
          <w:sz w:val="32"/>
          <w:szCs w:val="32"/>
          <w:lang w:val="en-US" w:eastAsia="zh-CN" w:bidi="ar-SA"/>
        </w:rPr>
        <w:t>产能，引导建材行业向轻型化、集约化、制品化转型。因地制宜利用太阳能等可再生能源，</w:t>
      </w:r>
      <w:r>
        <w:rPr>
          <w:rFonts w:hint="eastAsia" w:ascii="Times New Roman" w:hAnsi="Times New Roman" w:cs="仿宋_GB2312"/>
          <w:kern w:val="2"/>
          <w:sz w:val="32"/>
          <w:szCs w:val="32"/>
          <w:lang w:val="en-US" w:eastAsia="zh-CN" w:bidi="ar-SA"/>
        </w:rPr>
        <w:t>继续</w:t>
      </w:r>
      <w:r>
        <w:rPr>
          <w:rFonts w:hint="eastAsia" w:ascii="Times New Roman" w:hAnsi="Times New Roman" w:eastAsia="仿宋_GB2312" w:cs="仿宋_GB2312"/>
          <w:kern w:val="2"/>
          <w:sz w:val="32"/>
          <w:szCs w:val="32"/>
          <w:lang w:val="en-US" w:eastAsia="zh-CN" w:bidi="ar-SA"/>
        </w:rPr>
        <w:t>提高电力、</w:t>
      </w:r>
      <w:r>
        <w:rPr>
          <w:rFonts w:hint="eastAsia" w:ascii="Times New Roman" w:hAnsi="Times New Roman" w:cs="仿宋_GB2312"/>
          <w:kern w:val="2"/>
          <w:sz w:val="32"/>
          <w:szCs w:val="32"/>
          <w:lang w:val="en-US" w:eastAsia="zh-CN" w:bidi="ar-SA"/>
        </w:rPr>
        <w:t>煤层气</w:t>
      </w:r>
      <w:r>
        <w:rPr>
          <w:rFonts w:hint="eastAsia" w:ascii="Times New Roman" w:hAnsi="Times New Roman" w:eastAsia="仿宋_GB2312" w:cs="仿宋_GB2312"/>
          <w:kern w:val="2"/>
          <w:sz w:val="32"/>
          <w:szCs w:val="32"/>
          <w:lang w:val="en-US" w:eastAsia="zh-CN" w:bidi="ar-SA"/>
        </w:rPr>
        <w:t>应用比重。鼓励建材企业使用</w:t>
      </w:r>
      <w:r>
        <w:rPr>
          <w:rFonts w:hint="eastAsia" w:ascii="Times New Roman" w:hAnsi="Times New Roman" w:cs="仿宋_GB2312"/>
          <w:kern w:val="2"/>
          <w:sz w:val="32"/>
          <w:szCs w:val="32"/>
          <w:lang w:val="en-US" w:eastAsia="zh-CN" w:bidi="ar-SA"/>
        </w:rPr>
        <w:t>我县</w:t>
      </w:r>
      <w:r>
        <w:rPr>
          <w:rFonts w:hint="eastAsia" w:ascii="Times New Roman" w:hAnsi="Times New Roman" w:eastAsia="仿宋_GB2312" w:cs="仿宋_GB2312"/>
          <w:kern w:val="2"/>
          <w:sz w:val="32"/>
          <w:szCs w:val="32"/>
          <w:lang w:val="en-US" w:eastAsia="zh-CN" w:bidi="ar-SA"/>
        </w:rPr>
        <w:t>粉煤灰、工业废渣、尾矿渣等作为原料</w:t>
      </w:r>
      <w:r>
        <w:rPr>
          <w:rFonts w:hint="eastAsia" w:ascii="Times New Roman" w:hAnsi="Times New Roman" w:cs="仿宋_GB2312"/>
          <w:kern w:val="2"/>
          <w:sz w:val="32"/>
          <w:szCs w:val="32"/>
          <w:lang w:val="en-US" w:eastAsia="zh-CN" w:bidi="ar-SA"/>
        </w:rPr>
        <w:t>开发新产品</w:t>
      </w:r>
      <w:r>
        <w:rPr>
          <w:rFonts w:hint="eastAsia" w:ascii="Times New Roman" w:hAnsi="Times New Roman" w:eastAsia="仿宋_GB2312" w:cs="仿宋_GB2312"/>
          <w:kern w:val="2"/>
          <w:sz w:val="32"/>
          <w:szCs w:val="32"/>
          <w:lang w:val="en-US" w:eastAsia="zh-CN" w:bidi="ar-SA"/>
        </w:rPr>
        <w:t>。加快推进绿色建材产品认证和应用推广，加强新型</w:t>
      </w:r>
      <w:r>
        <w:rPr>
          <w:rFonts w:hint="eastAsia" w:ascii="Times New Roman" w:hAnsi="Times New Roman" w:cs="仿宋_GB2312"/>
          <w:kern w:val="2"/>
          <w:sz w:val="32"/>
          <w:szCs w:val="32"/>
          <w:lang w:val="en-US" w:eastAsia="zh-CN" w:bidi="ar-SA"/>
        </w:rPr>
        <w:t>陶瓷</w:t>
      </w:r>
      <w:r>
        <w:rPr>
          <w:rFonts w:hint="eastAsia" w:ascii="Times New Roman" w:hAnsi="Times New Roman" w:eastAsia="仿宋_GB2312" w:cs="仿宋_GB2312"/>
          <w:kern w:val="2"/>
          <w:sz w:val="32"/>
          <w:szCs w:val="32"/>
          <w:lang w:val="en-US" w:eastAsia="zh-CN" w:bidi="ar-SA"/>
        </w:rPr>
        <w:t>材料、低碳混凝土、</w:t>
      </w:r>
      <w:r>
        <w:rPr>
          <w:rFonts w:hint="eastAsia" w:ascii="Times New Roman" w:hAnsi="Times New Roman" w:cs="仿宋_GB2312"/>
          <w:kern w:val="2"/>
          <w:sz w:val="32"/>
          <w:szCs w:val="32"/>
          <w:lang w:val="en-US" w:eastAsia="zh-CN" w:bidi="ar-SA"/>
        </w:rPr>
        <w:t>新型</w:t>
      </w:r>
      <w:r>
        <w:rPr>
          <w:rFonts w:hint="eastAsia" w:ascii="Times New Roman" w:hAnsi="Times New Roman" w:eastAsia="仿宋_GB2312" w:cs="仿宋_GB2312"/>
          <w:kern w:val="2"/>
          <w:sz w:val="32"/>
          <w:szCs w:val="32"/>
          <w:lang w:val="en-US" w:eastAsia="zh-CN" w:bidi="ar-SA"/>
        </w:rPr>
        <w:t>建材等低碳建材产品研发应用。推广节能技术设备，开展能源管理体系建设，实现节能增效。</w:t>
      </w:r>
    </w:p>
    <w:p w14:paraId="5DCA81DD">
      <w:pPr>
        <w:pStyle w:val="6"/>
      </w:pPr>
    </w:p>
    <w:p w14:paraId="566F53C3">
      <w:pPr>
        <w:pStyle w:val="4"/>
        <w:rPr>
          <w:rFonts w:ascii="黑体" w:hAnsi="黑体" w:eastAsia="黑体"/>
        </w:rPr>
      </w:pPr>
      <w:bookmarkStart w:id="179" w:name="_Toc20257"/>
      <w:bookmarkStart w:id="180" w:name="_Toc78803884"/>
      <w:r>
        <w:rPr>
          <w:rFonts w:ascii="黑体" w:hAnsi="黑体" w:eastAsia="黑体"/>
        </w:rPr>
        <w:t>第二节  强化生态保护与建设</w:t>
      </w:r>
      <w:bookmarkEnd w:id="179"/>
      <w:bookmarkEnd w:id="180"/>
    </w:p>
    <w:p w14:paraId="6C190BDE">
      <w:pPr>
        <w:ind w:firstLine="641" w:firstLineChars="0"/>
        <w:jc w:val="left"/>
      </w:pPr>
      <w:r>
        <w:rPr>
          <w:rFonts w:hint="eastAsia" w:ascii="Times New Roman" w:hAnsi="Times New Roman"/>
          <w:b/>
        </w:rPr>
        <w:t>严格执行生态保护红线区域强制保护制度。</w:t>
      </w:r>
      <w:r>
        <w:rPr>
          <w:rFonts w:hint="eastAsia"/>
        </w:rPr>
        <w:t>完善规划环评，落实生态保护红线、环境质量底线、资源利用上线和环境准入负面清单，将生态空间管制、总量管控和环境准入作为重要条件，依法关停一批，提标改造一批，做大做强一批，推动建设项目的绿色发展。</w:t>
      </w:r>
    </w:p>
    <w:p w14:paraId="395887F9">
      <w:pPr>
        <w:ind w:firstLine="641" w:firstLineChars="0"/>
        <w:jc w:val="left"/>
        <w:rPr>
          <w:rFonts w:ascii="Times New Roman" w:hAnsi="Times New Roman"/>
        </w:rPr>
      </w:pPr>
      <w:r>
        <w:rPr>
          <w:rFonts w:hint="eastAsia" w:ascii="Times New Roman" w:hAnsi="Times New Roman"/>
          <w:b/>
        </w:rPr>
        <w:t>加强全域生态系统建设。</w:t>
      </w:r>
      <w:r>
        <w:rPr>
          <w:rFonts w:hint="eastAsia" w:ascii="Times New Roman" w:hAnsi="Times New Roman"/>
        </w:rPr>
        <w:t>大力推进生态工业园区建设，引导发展空间和产业格局向生态化、集约化转变。持续推进绿化提升行动，继续实施主干道路绿道工程，推进生态景区改造，加快构建覆盖全域、环境优美的沿路绿化带。</w:t>
      </w:r>
      <w:r>
        <w:rPr>
          <w:rFonts w:hint="eastAsia"/>
        </w:rPr>
        <w:t>对区域内河道进行全面治理，打造开发区生命线、景观线，利用河道贯穿区域优势，打造工业旅游走廊。</w:t>
      </w:r>
      <w:r>
        <w:rPr>
          <w:rFonts w:hint="eastAsia" w:ascii="Times New Roman" w:hAnsi="Times New Roman"/>
        </w:rPr>
        <w:t>加强城乡结合部、棚户区、城中村、老旧小区、背街小巷、集贸市场等重点区域环境治理，打造一批环境整洁、配套完善、特色鲜明、管理规范的城乡社区。</w:t>
      </w:r>
    </w:p>
    <w:p w14:paraId="1B8BEC0E">
      <w:pPr>
        <w:ind w:firstLine="643"/>
        <w:rPr>
          <w:rFonts w:ascii="Times New Roman" w:hAnsi="Times New Roman"/>
        </w:rPr>
      </w:pPr>
      <w:r>
        <w:rPr>
          <w:rFonts w:hint="eastAsia" w:ascii="楷体_GB2312" w:hAnsi="楷体" w:eastAsia="楷体_GB2312"/>
          <w:b/>
        </w:rPr>
        <w:t>推进节水战略。</w:t>
      </w:r>
      <w:r>
        <w:rPr>
          <w:rFonts w:hint="eastAsia" w:ascii="Times New Roman" w:hAnsi="Times New Roman"/>
        </w:rPr>
        <w:t>实施最严格水资源管理制度，确立水资源开发利用控制红线和用水效率控制红线。推进装备制造、不锈钢加工、新材料等产业节水技术改造，提高水资源重复利用率。加大雨水、中水等非常规水源开发利用力度，发展高效节水灌溉。大力推进节水型社区、企业（单位）、机关等建设，加快构建节水型园区。</w:t>
      </w:r>
    </w:p>
    <w:p w14:paraId="6FD37D13">
      <w:pPr>
        <w:ind w:firstLine="643"/>
        <w:rPr>
          <w:rFonts w:ascii="Times New Roman" w:hAnsi="Times New Roman"/>
        </w:rPr>
      </w:pPr>
      <w:r>
        <w:rPr>
          <w:rFonts w:hint="eastAsia" w:ascii="楷体_GB2312" w:hAnsi="楷体" w:eastAsia="楷体_GB2312"/>
          <w:b/>
        </w:rPr>
        <w:t>集约推进节地战略。</w:t>
      </w:r>
      <w:r>
        <w:rPr>
          <w:rFonts w:hint="eastAsia" w:ascii="Times New Roman" w:hAnsi="Times New Roman"/>
        </w:rPr>
        <w:t>严格控制建设用地总量和新增建设用地规模，加大空闲土地清理力度，鼓励建设标准化厂房，提高土地集约利用水平。通过推进旧厂房改造和空闲、废弃厂房再开发、再利用等方式，盘活存量低效建设用地。</w:t>
      </w:r>
    </w:p>
    <w:p w14:paraId="588D4E75">
      <w:pPr>
        <w:ind w:firstLine="640"/>
      </w:pPr>
    </w:p>
    <w:p w14:paraId="7E0F3D40">
      <w:pPr>
        <w:pStyle w:val="4"/>
        <w:rPr>
          <w:rFonts w:ascii="黑体" w:hAnsi="黑体" w:eastAsia="黑体"/>
        </w:rPr>
      </w:pPr>
      <w:bookmarkStart w:id="181" w:name="_Toc20267"/>
      <w:bookmarkStart w:id="182" w:name="_Toc78803885"/>
      <w:r>
        <w:rPr>
          <w:rFonts w:ascii="黑体" w:hAnsi="黑体" w:eastAsia="黑体"/>
        </w:rPr>
        <w:t>第</w:t>
      </w:r>
      <w:r>
        <w:rPr>
          <w:rFonts w:hint="eastAsia" w:ascii="黑体" w:hAnsi="黑体" w:eastAsia="黑体"/>
        </w:rPr>
        <w:t>三</w:t>
      </w:r>
      <w:r>
        <w:rPr>
          <w:rFonts w:ascii="黑体" w:hAnsi="黑体" w:eastAsia="黑体"/>
        </w:rPr>
        <w:t>节  强化污染防治</w:t>
      </w:r>
      <w:bookmarkEnd w:id="181"/>
      <w:bookmarkEnd w:id="182"/>
    </w:p>
    <w:p w14:paraId="51C86C8D">
      <w:pPr>
        <w:spacing w:line="600" w:lineRule="exact"/>
        <w:ind w:firstLine="643"/>
        <w:rPr>
          <w:rFonts w:ascii="楷体_GB2312" w:hAnsi="楷体" w:eastAsia="楷体_GB2312"/>
          <w:b/>
        </w:rPr>
      </w:pPr>
      <w:r>
        <w:rPr>
          <w:rFonts w:hint="eastAsia" w:ascii="楷体_GB2312" w:hAnsi="楷体" w:eastAsia="楷体_GB2312"/>
          <w:b/>
        </w:rPr>
        <w:t>加强大气污染防治。</w:t>
      </w:r>
      <w:r>
        <w:rPr>
          <w:rFonts w:hint="eastAsia" w:ascii="Times New Roman" w:hAnsi="Times New Roman"/>
        </w:rPr>
        <w:t>实施大气污染联防联控。积极推进集中供热改造扩产，扩大覆盖面，提高普及率，推动锅炉除尘及脱硫脱硝升级改造。强化挥发性有机污染物治理，推动重点企业加快产业升级，实施清洁生产。</w:t>
      </w:r>
      <w:r>
        <w:rPr>
          <w:rFonts w:hint="eastAsia"/>
        </w:rPr>
        <w:t>加大扬尘防治力度，对各类施工现场落实扬尘污染防治措施，积极开展“绿色工地”创建。加强细颗粒物和臭氧协同控制，在控煤、管车、降尘、治企的常规治污着力点的基础上，加强VOCs排放源的精准管理。</w:t>
      </w:r>
    </w:p>
    <w:p w14:paraId="4C6873B4">
      <w:pPr>
        <w:spacing w:line="600" w:lineRule="exact"/>
        <w:ind w:firstLine="643"/>
        <w:rPr>
          <w:rFonts w:ascii="Times New Roman" w:hAnsi="Times New Roman" w:eastAsia="仿宋"/>
        </w:rPr>
      </w:pPr>
      <w:r>
        <w:rPr>
          <w:rFonts w:hint="eastAsia" w:ascii="楷体_GB2312" w:hAnsi="楷体" w:eastAsia="楷体_GB2312"/>
          <w:b/>
        </w:rPr>
        <w:t>加强水污染治理。</w:t>
      </w:r>
      <w:r>
        <w:rPr>
          <w:rFonts w:hint="eastAsia" w:ascii="Times New Roman" w:hAnsi="Times New Roman"/>
        </w:rPr>
        <w:t>持续增强工业废水处理能力，进一步降低排放总量，削减入河负荷。开展环境综合整治，改善水环境质量。</w:t>
      </w:r>
      <w:r>
        <w:rPr>
          <w:rFonts w:hint="eastAsia" w:ascii="Times New Roman"/>
        </w:rPr>
        <w:t>建立健全市政雨污水管网、河道、明渠日常管养清淤保洁的长效管理机制，实现雨污分流。</w:t>
      </w:r>
      <w:r>
        <w:rPr>
          <w:rFonts w:hint="eastAsia" w:ascii="Times New Roman" w:hAnsi="Times New Roman"/>
        </w:rPr>
        <w:t>增加环保基础设施投入，扩大市政管网覆盖，推进现有环保基础设施</w:t>
      </w:r>
      <w:r>
        <w:rPr>
          <w:rFonts w:hint="eastAsia" w:ascii="Times New Roman"/>
        </w:rPr>
        <w:t>提标改造，</w:t>
      </w:r>
      <w:r>
        <w:rPr>
          <w:rFonts w:hint="eastAsia" w:ascii="Times New Roman" w:hAnsi="Times New Roman"/>
        </w:rPr>
        <w:t>进一步提高污水收集率和处理率，依法实施污泥无害化处理处置，提高废物废水的资源化利用。</w:t>
      </w:r>
      <w:r>
        <w:rPr>
          <w:rFonts w:hint="eastAsia" w:ascii="Times New Roman"/>
        </w:rPr>
        <w:t>加大地下水保护力度，防治地下水污染，保障地下水质量保持稳定</w:t>
      </w:r>
      <w:r>
        <w:rPr>
          <w:rFonts w:hint="eastAsia" w:ascii="Times New Roman" w:hAnsi="Times New Roman"/>
        </w:rPr>
        <w:t>。</w:t>
      </w:r>
    </w:p>
    <w:p w14:paraId="6C2FA996">
      <w:pPr>
        <w:ind w:firstLine="643"/>
        <w:rPr>
          <w:rFonts w:ascii="Times New Roman" w:hAnsi="Times New Roman"/>
        </w:rPr>
      </w:pPr>
      <w:r>
        <w:rPr>
          <w:rFonts w:hint="eastAsia" w:ascii="楷体_GB2312" w:hAnsi="楷体" w:eastAsia="楷体_GB2312"/>
          <w:b/>
        </w:rPr>
        <w:t>加强声环境污染防治。</w:t>
      </w:r>
      <w:r>
        <w:rPr>
          <w:rFonts w:hint="eastAsia" w:ascii="Times New Roman" w:hAnsi="Times New Roman"/>
        </w:rPr>
        <w:t>加强对饮食业、宾馆、酒店中央空调系统、动力机械设备以及娱乐场所等第三产业噪声源的监督和管理，推进生活噪声污染防治。加强工业噪声污染防控，强化对噪声污染严重的企业噪声治理，推进企业选址科学化，充分利用地形地貌及其它建筑物的声障作用，降低噪声影响。加强建筑施工噪声污染源防控，对施工过程分阶段、分昼夜进行管理，切实减少建筑施工引发的噪声扰民问题。</w:t>
      </w:r>
    </w:p>
    <w:p w14:paraId="02123948">
      <w:pPr>
        <w:spacing w:line="600" w:lineRule="exact"/>
        <w:ind w:firstLine="643"/>
        <w:rPr>
          <w:rFonts w:ascii="Times New Roman" w:hAnsi="Times New Roman"/>
        </w:rPr>
      </w:pPr>
      <w:r>
        <w:rPr>
          <w:rFonts w:hint="eastAsia" w:ascii="楷体_GB2312" w:hAnsi="楷体" w:eastAsia="楷体_GB2312"/>
          <w:b/>
        </w:rPr>
        <w:t>加强固体废弃物处置利用。</w:t>
      </w:r>
      <w:r>
        <w:rPr>
          <w:rFonts w:hint="eastAsia" w:ascii="Times New Roman" w:hAnsi="Times New Roman"/>
        </w:rPr>
        <w:t>规范固体废弃物产生、收集、贮存、运输、处置、利用各环节的管理，探索建立固体废弃物减量化、无害化、资源化处理机制，鼓励对一般工业固体废物综合利用和重复利用。严格执行危险废物申报登记、经营许可和转移联单管理制度，</w:t>
      </w:r>
      <w:r>
        <w:rPr>
          <w:rFonts w:hint="eastAsia"/>
        </w:rPr>
        <w:t>强化危险废物处置与管控能力建设，促进危险废物综合利用行业产业化、专业化、规模化和市场化，</w:t>
      </w:r>
      <w:r>
        <w:rPr>
          <w:rFonts w:hint="eastAsia" w:ascii="Times New Roman" w:hAnsi="Times New Roman"/>
        </w:rPr>
        <w:t>坚决遏制非法转移和非法倾倒等环境违法行为，强化危险废物环境风险管理，全面提高危险废物应急处置能力。</w:t>
      </w:r>
      <w:r>
        <w:rPr>
          <w:rFonts w:hint="eastAsia"/>
        </w:rPr>
        <w:t>继续推进一般工业固体废物的综合利用和安全处置。</w:t>
      </w:r>
      <w:r>
        <w:rPr>
          <w:rFonts w:hint="eastAsia" w:ascii="Times New Roman" w:hAnsi="Times New Roman"/>
        </w:rPr>
        <w:t>规范生活垃圾容器化收集、密闭化运输，推进餐厨垃圾规范化处置。到</w:t>
      </w:r>
      <w:r>
        <w:rPr>
          <w:rFonts w:ascii="Times New Roman" w:hAnsi="Times New Roman"/>
        </w:rPr>
        <w:t>202</w:t>
      </w:r>
      <w:r>
        <w:rPr>
          <w:rFonts w:hint="eastAsia" w:ascii="Times New Roman" w:hAnsi="Times New Roman"/>
        </w:rPr>
        <w:t>5年，危险废物安全处置率达到</w:t>
      </w:r>
      <w:r>
        <w:rPr>
          <w:rFonts w:ascii="Times New Roman" w:hAnsi="Times New Roman"/>
        </w:rPr>
        <w:t>100%</w:t>
      </w:r>
      <w:r>
        <w:rPr>
          <w:rFonts w:hint="eastAsia" w:ascii="Times New Roman" w:hAnsi="Times New Roman"/>
        </w:rPr>
        <w:t>，</w:t>
      </w:r>
    </w:p>
    <w:p w14:paraId="50C1EFAE">
      <w:pPr>
        <w:ind w:firstLine="643"/>
        <w:rPr>
          <w:rFonts w:ascii="Times New Roman" w:hAnsi="Times New Roman"/>
        </w:rPr>
      </w:pPr>
      <w:r>
        <w:rPr>
          <w:rFonts w:hint="eastAsia" w:ascii="楷体_GB2312" w:hAnsi="楷体" w:eastAsia="楷体_GB2312"/>
          <w:b/>
        </w:rPr>
        <w:t>加强土壤污染防治。</w:t>
      </w:r>
      <w:r>
        <w:rPr>
          <w:rFonts w:hint="eastAsia" w:ascii="Times New Roman" w:hAnsi="Times New Roman"/>
        </w:rPr>
        <w:t>贯彻落实“土壤污染防治行动计划”，开展土壤环境污染普查工作，完成工业企业场地环境调查评估。开展对服役期满工业用地、污染搬迁企业旧址等土地开发利用的风险调查评估与修复，确保土地转换用途后的安全利用。</w:t>
      </w:r>
    </w:p>
    <w:p w14:paraId="012E78B3">
      <w:pPr>
        <w:widowControl/>
        <w:ind w:firstLine="0" w:firstLineChars="0"/>
        <w:jc w:val="left"/>
      </w:pPr>
      <w:r>
        <w:br w:type="page"/>
      </w:r>
    </w:p>
    <w:p w14:paraId="47F9E2FB">
      <w:pPr>
        <w:ind w:firstLine="640"/>
        <w:rPr>
          <w:rFonts w:ascii="Times New Roman" w:hAnsi="Times New Roman"/>
        </w:rPr>
      </w:pPr>
    </w:p>
    <w:p w14:paraId="4F30F90C">
      <w:pPr>
        <w:pStyle w:val="3"/>
        <w:rPr>
          <w:sz w:val="36"/>
          <w:szCs w:val="36"/>
        </w:rPr>
      </w:pPr>
      <w:bookmarkStart w:id="183" w:name="_Toc24528"/>
      <w:r>
        <w:rPr>
          <w:rFonts w:hint="eastAsia"/>
          <w:sz w:val="36"/>
          <w:szCs w:val="36"/>
        </w:rPr>
        <w:t xml:space="preserve">第八章  </w:t>
      </w:r>
      <w:r>
        <w:rPr>
          <w:sz w:val="36"/>
          <w:szCs w:val="36"/>
        </w:rPr>
        <w:t>保障措施</w:t>
      </w:r>
      <w:bookmarkEnd w:id="183"/>
    </w:p>
    <w:p w14:paraId="02C9BC1E">
      <w:pPr>
        <w:ind w:firstLine="640"/>
      </w:pPr>
    </w:p>
    <w:p w14:paraId="475DDFE0">
      <w:pPr>
        <w:pStyle w:val="4"/>
        <w:rPr>
          <w:rFonts w:ascii="黑体" w:hAnsi="黑体" w:eastAsia="黑体"/>
        </w:rPr>
      </w:pPr>
      <w:bookmarkStart w:id="184" w:name="_Toc5637"/>
      <w:r>
        <w:rPr>
          <w:rFonts w:hint="eastAsia" w:ascii="黑体" w:hAnsi="黑体" w:eastAsia="黑体"/>
        </w:rPr>
        <w:t xml:space="preserve">第一节  </w:t>
      </w:r>
      <w:r>
        <w:rPr>
          <w:rFonts w:ascii="黑体" w:hAnsi="黑体" w:eastAsia="黑体"/>
        </w:rPr>
        <w:t>加强</w:t>
      </w:r>
      <w:r>
        <w:rPr>
          <w:rFonts w:hint="eastAsia" w:ascii="黑体" w:hAnsi="黑体" w:eastAsia="黑体"/>
        </w:rPr>
        <w:t>党的</w:t>
      </w:r>
      <w:r>
        <w:rPr>
          <w:rFonts w:ascii="黑体" w:hAnsi="黑体" w:eastAsia="黑体"/>
        </w:rPr>
        <w:t>领导</w:t>
      </w:r>
      <w:bookmarkEnd w:id="184"/>
    </w:p>
    <w:p w14:paraId="4FE7C3E7">
      <w:pPr>
        <w:ind w:firstLine="640"/>
      </w:pPr>
      <w:r>
        <w:rPr>
          <w:rFonts w:eastAsia="仿宋" w:asciiTheme="majorHAnsi" w:hAnsiTheme="majorHAnsi"/>
          <w:bCs/>
          <w:color w:val="000000" w:themeColor="text1"/>
        </w:rPr>
        <w:t>以党的政治建设为统领，增强</w:t>
      </w:r>
      <w:r>
        <w:rPr>
          <w:rFonts w:hint="eastAsia" w:eastAsia="仿宋" w:asciiTheme="majorHAnsi" w:hAnsiTheme="majorHAnsi"/>
          <w:bCs/>
          <w:color w:val="000000" w:themeColor="text1"/>
        </w:rPr>
        <w:t>“</w:t>
      </w:r>
      <w:r>
        <w:rPr>
          <w:rFonts w:eastAsia="仿宋" w:asciiTheme="majorHAnsi" w:hAnsiTheme="majorHAnsi"/>
          <w:bCs/>
          <w:color w:val="000000" w:themeColor="text1"/>
        </w:rPr>
        <w:t>四个意识</w:t>
      </w:r>
      <w:r>
        <w:rPr>
          <w:rFonts w:hint="eastAsia" w:eastAsia="仿宋" w:asciiTheme="majorHAnsi" w:hAnsiTheme="majorHAnsi"/>
          <w:bCs/>
          <w:color w:val="000000" w:themeColor="text1"/>
        </w:rPr>
        <w:t>”</w:t>
      </w:r>
      <w:r>
        <w:rPr>
          <w:rFonts w:eastAsia="仿宋" w:asciiTheme="majorHAnsi" w:hAnsiTheme="majorHAnsi"/>
          <w:bCs/>
          <w:color w:val="000000" w:themeColor="text1"/>
        </w:rPr>
        <w:t>、坚定</w:t>
      </w:r>
      <w:r>
        <w:rPr>
          <w:rFonts w:hint="eastAsia" w:eastAsia="仿宋" w:asciiTheme="majorHAnsi" w:hAnsiTheme="majorHAnsi"/>
          <w:bCs/>
          <w:color w:val="000000" w:themeColor="text1"/>
        </w:rPr>
        <w:t>“</w:t>
      </w:r>
      <w:r>
        <w:rPr>
          <w:rFonts w:eastAsia="仿宋" w:asciiTheme="majorHAnsi" w:hAnsiTheme="majorHAnsi"/>
          <w:bCs/>
          <w:color w:val="000000" w:themeColor="text1"/>
        </w:rPr>
        <w:t>四个自信</w:t>
      </w:r>
      <w:r>
        <w:rPr>
          <w:rFonts w:hint="eastAsia" w:eastAsia="仿宋" w:asciiTheme="majorHAnsi" w:hAnsiTheme="majorHAnsi"/>
          <w:bCs/>
          <w:color w:val="000000" w:themeColor="text1"/>
        </w:rPr>
        <w:t>”</w:t>
      </w:r>
      <w:r>
        <w:rPr>
          <w:rFonts w:eastAsia="仿宋" w:asciiTheme="majorHAnsi" w:hAnsiTheme="majorHAnsi"/>
          <w:bCs/>
          <w:color w:val="000000" w:themeColor="text1"/>
        </w:rPr>
        <w:t>、坚决做到</w:t>
      </w:r>
      <w:r>
        <w:rPr>
          <w:rFonts w:hint="eastAsia" w:eastAsia="仿宋" w:asciiTheme="majorHAnsi" w:hAnsiTheme="majorHAnsi"/>
          <w:bCs/>
          <w:color w:val="000000" w:themeColor="text1"/>
        </w:rPr>
        <w:t>“</w:t>
      </w:r>
      <w:r>
        <w:rPr>
          <w:rFonts w:eastAsia="仿宋" w:asciiTheme="majorHAnsi" w:hAnsiTheme="majorHAnsi"/>
          <w:bCs/>
          <w:color w:val="000000" w:themeColor="text1"/>
        </w:rPr>
        <w:t>两个维护</w:t>
      </w:r>
      <w:r>
        <w:rPr>
          <w:rFonts w:hint="eastAsia" w:eastAsia="仿宋" w:asciiTheme="majorHAnsi" w:hAnsiTheme="majorHAnsi"/>
          <w:bCs/>
          <w:color w:val="000000" w:themeColor="text1"/>
        </w:rPr>
        <w:t>”</w:t>
      </w:r>
      <w:r>
        <w:rPr>
          <w:rFonts w:eastAsia="仿宋" w:asciiTheme="majorHAnsi" w:hAnsiTheme="majorHAnsi"/>
          <w:bCs/>
          <w:color w:val="000000" w:themeColor="text1"/>
        </w:rPr>
        <w:t>。</w:t>
      </w:r>
      <w:r>
        <w:rPr>
          <w:rFonts w:eastAsia="仿宋" w:asciiTheme="majorHAnsi" w:hAnsiTheme="majorHAnsi"/>
          <w:color w:val="000000" w:themeColor="text1"/>
        </w:rPr>
        <w:t>贯彻党把方向、谋大局、定政策、促改革的要求，把党的领导贯彻到</w:t>
      </w:r>
      <w:r>
        <w:rPr>
          <w:rFonts w:hint="eastAsia" w:eastAsia="仿宋" w:asciiTheme="majorHAnsi" w:hAnsiTheme="majorHAnsi"/>
          <w:color w:val="000000" w:themeColor="text1"/>
        </w:rPr>
        <w:t>工作</w:t>
      </w:r>
      <w:r>
        <w:rPr>
          <w:rFonts w:eastAsia="仿宋" w:asciiTheme="majorHAnsi" w:hAnsiTheme="majorHAnsi"/>
          <w:color w:val="000000" w:themeColor="text1"/>
        </w:rPr>
        <w:t>全过程各方面。</w:t>
      </w:r>
      <w:r>
        <w:t>准确把握发展趋势，科学谋划发展蓝图，努力创新发展模式，</w:t>
      </w:r>
      <w:r>
        <w:rPr>
          <w:rFonts w:hint="eastAsia"/>
        </w:rPr>
        <w:t>持续深化“三化三制”和“管运分离”改革，</w:t>
      </w:r>
      <w:r>
        <w:t>加强对发展的统筹协调，切实提高发展质量。</w:t>
      </w:r>
    </w:p>
    <w:p w14:paraId="6D1553B9">
      <w:pPr>
        <w:ind w:firstLine="640"/>
      </w:pPr>
      <w:r>
        <w:t>加强领导班子和干部队伍建设</w:t>
      </w:r>
      <w:r>
        <w:rPr>
          <w:rFonts w:hint="eastAsia"/>
        </w:rPr>
        <w:t>。</w:t>
      </w:r>
      <w:r>
        <w:t>完善促进科学发展的干部选拔任用和干部考核评价奖惩体系，出台具有开发区特色的聘用制管理办法，形成竞争择优、充满活力的用人机制。调动各级干部干事创业积极性、主动性、创造性。</w:t>
      </w:r>
    </w:p>
    <w:p w14:paraId="3E9D6FB5">
      <w:pPr>
        <w:pStyle w:val="16"/>
        <w:widowControl w:val="0"/>
        <w:spacing w:before="0" w:beforeAutospacing="0" w:after="0" w:afterAutospacing="0" w:line="579" w:lineRule="exact"/>
        <w:ind w:firstLine="640"/>
        <w:jc w:val="both"/>
        <w:rPr>
          <w:rFonts w:eastAsia="仿宋" w:cs="仿宋_GB2312" w:asciiTheme="majorHAnsi" w:hAnsiTheme="majorHAnsi"/>
          <w:color w:val="000000" w:themeColor="text1"/>
          <w:sz w:val="32"/>
        </w:rPr>
      </w:pPr>
      <w:r>
        <w:rPr>
          <w:rFonts w:hint="eastAsia" w:ascii="仿宋" w:hAnsi="仿宋" w:eastAsia="仿宋" w:cs="仿宋_GB2312"/>
          <w:bCs/>
          <w:color w:val="000000"/>
          <w:kern w:val="2"/>
          <w:sz w:val="32"/>
        </w:rPr>
        <w:t>着力构建“亲”“清”新型政商关系。严格执行中央八项规定精神，大力倡导政商之间有交集不搞交换、有交往不搞交易，坦荡真诚与企业接触交往，</w:t>
      </w:r>
      <w:r>
        <w:rPr>
          <w:rFonts w:hint="eastAsia" w:ascii="仿宋_GB2312" w:hAnsi="仿宋_GB2312" w:cs="仿宋_GB2312"/>
          <w:color w:val="000000" w:themeColor="text1"/>
          <w:sz w:val="32"/>
        </w:rPr>
        <w:t>进一步强化“项目为王”的鲜明导向，持续巩固“人人都是招商员”的浓厚氛围，强化督查</w:t>
      </w:r>
      <w:r>
        <w:rPr>
          <w:rFonts w:eastAsia="仿宋" w:cs="仿宋_GB2312" w:asciiTheme="majorHAnsi" w:hAnsiTheme="majorHAnsi"/>
          <w:color w:val="000000" w:themeColor="text1"/>
          <w:sz w:val="32"/>
        </w:rPr>
        <w:t>考核，确保</w:t>
      </w:r>
      <w:r>
        <w:rPr>
          <w:rFonts w:hint="eastAsia" w:eastAsia="仿宋" w:cs="仿宋_GB2312" w:asciiTheme="majorHAnsi" w:hAnsiTheme="majorHAnsi"/>
          <w:color w:val="000000" w:themeColor="text1"/>
          <w:sz w:val="32"/>
        </w:rPr>
        <w:t>“</w:t>
      </w:r>
      <w:r>
        <w:rPr>
          <w:rFonts w:eastAsia="仿宋" w:cs="仿宋_GB2312" w:asciiTheme="majorHAnsi" w:hAnsiTheme="majorHAnsi"/>
          <w:color w:val="000000" w:themeColor="text1"/>
          <w:sz w:val="32"/>
        </w:rPr>
        <w:t>十四五</w:t>
      </w:r>
      <w:r>
        <w:rPr>
          <w:rFonts w:hint="eastAsia" w:eastAsia="仿宋" w:cs="仿宋_GB2312" w:asciiTheme="majorHAnsi" w:hAnsiTheme="majorHAnsi"/>
          <w:color w:val="000000" w:themeColor="text1"/>
          <w:sz w:val="32"/>
        </w:rPr>
        <w:t>”</w:t>
      </w:r>
      <w:r>
        <w:rPr>
          <w:rFonts w:eastAsia="仿宋" w:cs="仿宋_GB2312" w:asciiTheme="majorHAnsi" w:hAnsiTheme="majorHAnsi"/>
          <w:color w:val="000000" w:themeColor="text1"/>
          <w:sz w:val="32"/>
        </w:rPr>
        <w:t>发展的决策部署落到实处。</w:t>
      </w:r>
    </w:p>
    <w:p w14:paraId="16F24A2F">
      <w:pPr>
        <w:pStyle w:val="16"/>
        <w:widowControl w:val="0"/>
        <w:spacing w:before="0" w:beforeAutospacing="0" w:after="0" w:afterAutospacing="0" w:line="579" w:lineRule="exact"/>
        <w:ind w:firstLine="640"/>
        <w:jc w:val="both"/>
        <w:rPr>
          <w:rFonts w:eastAsia="仿宋" w:cs="仿宋_GB2312" w:asciiTheme="majorHAnsi" w:hAnsiTheme="majorHAnsi"/>
          <w:color w:val="000000" w:themeColor="text1"/>
          <w:sz w:val="32"/>
        </w:rPr>
      </w:pPr>
      <w:r>
        <w:rPr>
          <w:rFonts w:hint="eastAsia" w:eastAsia="仿宋" w:cs="仿宋_GB2312" w:asciiTheme="majorHAnsi" w:hAnsiTheme="majorHAnsi"/>
          <w:color w:val="000000" w:themeColor="text1"/>
          <w:sz w:val="32"/>
        </w:rPr>
        <w:t>加强对容错纠错的组织领导。持续教育和引导干部职工敢为人先、敢冒风险、敢于创新。对干部职工在推进改革中因缺乏经验、先行先试出现的失误错误、尚无明确限制的探索性试验中的失误错误、推动发展中的无意过失要大胆容错；对明知故犯、明令禁止后依然我行我素、谋取私利的违纪违法行为要坚决纠错；树立上级为下级担当、组织为个人担当、干部为事业担当的鲜明导向，大力营造开发区鼓励探索、支持创新、宽容失误的环境和氛围。</w:t>
      </w:r>
    </w:p>
    <w:p w14:paraId="1BA4941D">
      <w:pPr>
        <w:ind w:firstLine="640"/>
      </w:pPr>
    </w:p>
    <w:p w14:paraId="142BB69A">
      <w:pPr>
        <w:pStyle w:val="4"/>
        <w:rPr>
          <w:rFonts w:ascii="黑体" w:hAnsi="黑体" w:eastAsia="黑体"/>
        </w:rPr>
      </w:pPr>
      <w:bookmarkStart w:id="185" w:name="_Toc11176"/>
      <w:r>
        <w:rPr>
          <w:rFonts w:hint="eastAsia" w:ascii="黑体" w:hAnsi="黑体" w:eastAsia="黑体"/>
        </w:rPr>
        <w:t>第二节</w:t>
      </w:r>
      <w:r>
        <w:rPr>
          <w:rFonts w:ascii="黑体" w:hAnsi="黑体" w:eastAsia="黑体"/>
        </w:rPr>
        <w:t xml:space="preserve">  强化项目支撑</w:t>
      </w:r>
      <w:bookmarkEnd w:id="185"/>
    </w:p>
    <w:p w14:paraId="1CFD38E4">
      <w:pPr>
        <w:ind w:firstLine="640"/>
      </w:pPr>
      <w:r>
        <w:t>坚持经济工作项目化、项目工作责任化，以事关全局和长远发展的重大战略项目为抓手，在产业升级、创新驱动、城市建设、城乡统筹、开放合作、生态建设、社会建设等领域，谋划实施一批管长远、增后劲、补短板、惠民生的重大项目。围绕新建、续建、竣工、储备等关键环节，建立健全工作制度，着力提高开工率、竣工率、达产率和转化率。建立健重点项目领导联系和分层分级调度机制，完善项目服务保障。优化投资结构，提高投资质量和效益。发挥产业政策导向作用，引导投资进一步向“六新”项目倾斜。严格执行投资项目用地、节能、环保、安全等准入标准。</w:t>
      </w:r>
    </w:p>
    <w:p w14:paraId="6582D8B8">
      <w:pPr>
        <w:bidi w:val="0"/>
        <w:rPr>
          <w:rFonts w:hint="eastAsia"/>
        </w:rPr>
      </w:pPr>
      <w:r>
        <w:rPr>
          <w:rFonts w:hint="eastAsia"/>
        </w:rPr>
        <w:t>对接国家、省、市产业政策，结合</w:t>
      </w:r>
      <w:r>
        <w:rPr>
          <w:rFonts w:hint="eastAsia"/>
          <w:lang w:val="en-US" w:eastAsia="zh-CN"/>
        </w:rPr>
        <w:t>阳城</w:t>
      </w:r>
      <w:r>
        <w:rPr>
          <w:rFonts w:hint="eastAsia"/>
        </w:rPr>
        <w:t>开发区产业比较优势，深入研究</w:t>
      </w:r>
      <w:r>
        <w:rPr>
          <w:rFonts w:hint="eastAsia"/>
          <w:lang w:val="en-US" w:eastAsia="zh-CN"/>
        </w:rPr>
        <w:t>重点</w:t>
      </w:r>
      <w:r>
        <w:rPr>
          <w:rFonts w:hint="eastAsia"/>
        </w:rPr>
        <w:t>项目的发展前景、空间布局、环境影响等，</w:t>
      </w:r>
      <w:r>
        <w:rPr>
          <w:rFonts w:hint="eastAsia"/>
          <w:lang w:val="en-US" w:eastAsia="zh-CN"/>
        </w:rPr>
        <w:t>围绕</w:t>
      </w:r>
      <w:r>
        <w:rPr>
          <w:rFonts w:hint="eastAsia"/>
        </w:rPr>
        <w:t>开发区产业发展</w:t>
      </w:r>
      <w:r>
        <w:rPr>
          <w:rFonts w:hint="eastAsia"/>
          <w:lang w:val="en-US" w:eastAsia="zh-CN"/>
        </w:rPr>
        <w:t>方</w:t>
      </w:r>
      <w:r>
        <w:rPr>
          <w:rFonts w:hint="eastAsia"/>
        </w:rPr>
        <w:t>向</w:t>
      </w:r>
      <w:r>
        <w:rPr>
          <w:rFonts w:hint="eastAsia"/>
          <w:lang w:val="en-US" w:eastAsia="zh-CN"/>
        </w:rPr>
        <w:t>加快</w:t>
      </w:r>
      <w:r>
        <w:rPr>
          <w:rFonts w:hint="eastAsia"/>
        </w:rPr>
        <w:t>项目储备转化，委托专业机构进行动态优化；引导企业投资方向，使入</w:t>
      </w:r>
      <w:r>
        <w:rPr>
          <w:rFonts w:hint="eastAsia"/>
          <w:lang w:val="en-US" w:eastAsia="zh-CN"/>
        </w:rPr>
        <w:t>区</w:t>
      </w:r>
      <w:r>
        <w:rPr>
          <w:rFonts w:hint="eastAsia"/>
        </w:rPr>
        <w:t>项目符合国家、省、市产业政策和相关发展规划；对拟入区的项目在可行性、技术水平、经济效益、社会与环境效益等方面进行深入评估，降低投资成本，防范投资风险。</w:t>
      </w:r>
    </w:p>
    <w:p w14:paraId="286BE8F8">
      <w:pPr>
        <w:bidi w:val="0"/>
        <w:rPr>
          <w:rFonts w:hint="eastAsia"/>
        </w:rPr>
      </w:pPr>
      <w:r>
        <w:rPr>
          <w:rFonts w:hint="eastAsia"/>
        </w:rPr>
        <w:t>建立“要素跟着项目走”机制，围绕用地、环评、资金等共性问题，加大协同解决力度，确保项目早日落地投产。积极破解用地瓶颈，通过向上级争取和探索推进外购指标扩大土地增量，做好“筑巢”和“腾</w:t>
      </w:r>
      <w:r>
        <w:rPr>
          <w:rFonts w:hint="eastAsia"/>
          <w:lang w:eastAsia="zh-CN"/>
        </w:rPr>
        <w:t>笼</w:t>
      </w:r>
      <w:r>
        <w:rPr>
          <w:rFonts w:hint="eastAsia"/>
        </w:rPr>
        <w:t>”两篇文章，盘活企业闲置土地，释放新空间，尽最大努力保障重点项目用地需求。积极破解环保瓶颈，深入开展环境综合整治，推进重点行业深度治理，加快开发区规划环评批复，最大限度为项目建设提供环境指标和环境容量。</w:t>
      </w:r>
    </w:p>
    <w:p w14:paraId="497B0C4C">
      <w:pPr>
        <w:pStyle w:val="4"/>
        <w:rPr>
          <w:rFonts w:ascii="黑体" w:hAnsi="黑体" w:eastAsia="黑体"/>
        </w:rPr>
      </w:pPr>
      <w:bookmarkStart w:id="186" w:name="_Toc12264"/>
      <w:r>
        <w:rPr>
          <w:rFonts w:hint="eastAsia" w:ascii="黑体" w:hAnsi="黑体" w:eastAsia="黑体"/>
        </w:rPr>
        <w:t>第三节</w:t>
      </w:r>
      <w:r>
        <w:rPr>
          <w:rFonts w:ascii="黑体" w:hAnsi="黑体" w:eastAsia="黑体"/>
        </w:rPr>
        <w:t xml:space="preserve">  强化要素保障</w:t>
      </w:r>
      <w:bookmarkEnd w:id="186"/>
    </w:p>
    <w:p w14:paraId="6DE979F2">
      <w:pPr>
        <w:bidi w:val="0"/>
        <w:rPr>
          <w:rFonts w:hint="eastAsia"/>
        </w:rPr>
      </w:pPr>
      <w:r>
        <w:rPr>
          <w:rFonts w:hint="eastAsia"/>
        </w:rPr>
        <w:t>完善要素配套规划，涵盖生产、生活、交通设施、用水、用电、用气、排污等配套设施。强化产业分片规划。围绕提高产业关联度和集中度，采取“区中园”“园中园”、预留土地等形式，在园内成片布局，形成层次分明的产业分区。</w:t>
      </w:r>
    </w:p>
    <w:p w14:paraId="3E66E098">
      <w:pPr>
        <w:bidi w:val="0"/>
        <w:rPr>
          <w:rFonts w:hint="eastAsia"/>
        </w:rPr>
      </w:pPr>
      <w:r>
        <w:rPr>
          <w:rFonts w:hint="eastAsia"/>
        </w:rPr>
        <w:t>强化用地保障</w:t>
      </w:r>
      <w:r>
        <w:rPr>
          <w:rFonts w:hint="eastAsia"/>
          <w:lang w:eastAsia="zh-CN"/>
        </w:rPr>
        <w:t>，</w:t>
      </w:r>
      <w:r>
        <w:rPr>
          <w:rFonts w:hint="eastAsia"/>
        </w:rPr>
        <w:t>按照经济效益、社会效益和生态效益相统一的原则，加强开发区产业发展的宏观调控，建立项目评估制度，实行项目准入制，防止重复建设和低水平发展；完善综合评价体系，建立运行考评机制，严格执行环境影响评价一票否决制，促进产业结构优化升级，保护生态环境。细化各园区产业区块的定位和功能，认真开展项目清理，盘活土地存量</w:t>
      </w:r>
      <w:r>
        <w:t>盘活，落实开发园区单位土地面积投资强度的要求，提高单位土地面积产出</w:t>
      </w:r>
      <w:r>
        <w:rPr>
          <w:rFonts w:hint="eastAsia"/>
        </w:rPr>
        <w:t>。</w:t>
      </w:r>
    </w:p>
    <w:p w14:paraId="00CE2D0D">
      <w:pPr>
        <w:pStyle w:val="16"/>
        <w:widowControl w:val="0"/>
        <w:spacing w:before="0" w:beforeAutospacing="0" w:after="0" w:afterAutospacing="0" w:line="579" w:lineRule="exact"/>
        <w:ind w:firstLine="640"/>
        <w:jc w:val="both"/>
        <w:rPr>
          <w:rFonts w:eastAsia="仿宋" w:cs="仿宋_GB2312" w:asciiTheme="majorHAnsi" w:hAnsiTheme="majorHAnsi"/>
          <w:bCs/>
          <w:color w:val="000000" w:themeColor="text1"/>
          <w:sz w:val="32"/>
        </w:rPr>
      </w:pPr>
      <w:r>
        <w:rPr>
          <w:rFonts w:hint="eastAsia" w:eastAsia="仿宋" w:cs="仿宋_GB2312" w:asciiTheme="majorHAnsi" w:hAnsiTheme="majorHAnsi"/>
          <w:bCs/>
          <w:color w:val="000000" w:themeColor="text1"/>
          <w:sz w:val="32"/>
          <w:lang w:val="en-US" w:eastAsia="zh-CN"/>
        </w:rPr>
        <w:t>强化资金保障。</w:t>
      </w:r>
      <w:r>
        <w:rPr>
          <w:rFonts w:eastAsia="仿宋" w:cs="仿宋_GB2312" w:asciiTheme="majorHAnsi" w:hAnsiTheme="majorHAnsi"/>
          <w:bCs/>
          <w:color w:val="000000" w:themeColor="text1"/>
          <w:sz w:val="32"/>
        </w:rPr>
        <w:t>构建投融资主体多元化、投融资方式多样化、项目建设运营市场化的开发区建设投融资体制。创新金融服务产品，推动政银担合作，支持实体经济发展。加快集聚金融机构，鼓励符合条件的各类金融机构在开发区设立分支机构，支持科技金融等新型金融业发展。</w:t>
      </w:r>
    </w:p>
    <w:p w14:paraId="0943E014">
      <w:pPr>
        <w:pStyle w:val="16"/>
        <w:widowControl w:val="0"/>
        <w:spacing w:before="0" w:beforeAutospacing="0" w:after="0" w:afterAutospacing="0" w:line="579" w:lineRule="exact"/>
        <w:ind w:firstLine="640"/>
        <w:jc w:val="both"/>
        <w:rPr>
          <w:rFonts w:hint="default" w:eastAsia="仿宋" w:cs="仿宋_GB2312" w:asciiTheme="majorHAnsi" w:hAnsiTheme="majorHAnsi"/>
          <w:bCs/>
          <w:color w:val="000000" w:themeColor="text1"/>
          <w:sz w:val="32"/>
          <w:lang w:val="en-US" w:eastAsia="zh-CN"/>
        </w:rPr>
      </w:pPr>
      <w:r>
        <w:rPr>
          <w:rFonts w:hint="eastAsia" w:eastAsia="仿宋" w:cs="仿宋_GB2312" w:asciiTheme="majorHAnsi" w:hAnsiTheme="majorHAnsi"/>
          <w:bCs/>
          <w:color w:val="000000" w:themeColor="text1"/>
          <w:sz w:val="32"/>
          <w:lang w:val="en-US" w:eastAsia="zh-CN"/>
        </w:rPr>
        <w:t>加强人才保障。</w:t>
      </w:r>
      <w:r>
        <w:rPr>
          <w:rFonts w:eastAsia="仿宋" w:cs="仿宋_GB2312" w:asciiTheme="majorHAnsi" w:hAnsiTheme="majorHAnsi"/>
          <w:bCs/>
          <w:color w:val="000000" w:themeColor="text1"/>
          <w:sz w:val="32"/>
        </w:rPr>
        <w:t>实施高层次人才培育、团队引进、环境提升、高技能培训计划，围绕产业发展，积极引进关键核心技术研发、重大科技成果转化的领军人才和高端人才，注重培养一线创新人才和青年科技人才，建设高技能产业工人培训基地。</w:t>
      </w:r>
    </w:p>
    <w:p w14:paraId="2A55E3B1">
      <w:pPr>
        <w:pStyle w:val="4"/>
        <w:rPr>
          <w:rFonts w:hint="default" w:ascii="黑体" w:hAnsi="黑体" w:eastAsia="黑体"/>
          <w:lang w:val="en-US" w:eastAsia="zh-CN"/>
        </w:rPr>
      </w:pPr>
      <w:bookmarkStart w:id="187" w:name="_Toc18913"/>
      <w:r>
        <w:rPr>
          <w:rFonts w:hint="eastAsia" w:ascii="黑体" w:hAnsi="黑体" w:eastAsia="黑体"/>
        </w:rPr>
        <w:t>第四节</w:t>
      </w:r>
      <w:r>
        <w:rPr>
          <w:rFonts w:ascii="黑体" w:hAnsi="黑体" w:eastAsia="黑体"/>
        </w:rPr>
        <w:t xml:space="preserve">  </w:t>
      </w:r>
      <w:r>
        <w:rPr>
          <w:rFonts w:hint="eastAsia" w:ascii="黑体" w:hAnsi="黑体" w:eastAsia="黑体"/>
          <w:lang w:val="en-US" w:eastAsia="zh-CN"/>
        </w:rPr>
        <w:t>深化开发区改革</w:t>
      </w:r>
      <w:bookmarkEnd w:id="187"/>
    </w:p>
    <w:p w14:paraId="06DABA57">
      <w:pPr>
        <w:bidi w:val="0"/>
        <w:rPr>
          <w:rFonts w:hint="eastAsia"/>
        </w:rPr>
      </w:pPr>
      <w:r>
        <w:rPr>
          <w:rFonts w:hint="eastAsia" w:eastAsia="仿宋_GB2312" w:cs="Calibri"/>
          <w:b/>
          <w:bCs/>
          <w:sz w:val="32"/>
          <w:szCs w:val="32"/>
          <w:highlight w:val="none"/>
          <w:lang w:val="en-US" w:eastAsia="zh-CN"/>
        </w:rPr>
        <w:t>深化</w:t>
      </w:r>
      <w:r>
        <w:rPr>
          <w:rFonts w:hint="eastAsia" w:ascii="仿宋_GB2312" w:hAnsi="仿宋_GB2312" w:eastAsia="仿宋_GB2312" w:cs="仿宋_GB2312"/>
          <w:b/>
          <w:bCs/>
          <w:sz w:val="32"/>
          <w:szCs w:val="32"/>
          <w:highlight w:val="none"/>
          <w:lang w:val="en-US" w:eastAsia="zh-CN"/>
        </w:rPr>
        <w:t>“三化三制”和管运分离改革。</w:t>
      </w:r>
      <w:r>
        <w:rPr>
          <w:rFonts w:hint="eastAsia" w:ascii="仿宋_GB2312" w:hAnsi="仿宋_GB2312" w:eastAsia="仿宋_GB2312" w:cs="仿宋_GB2312"/>
          <w:sz w:val="32"/>
          <w:szCs w:val="32"/>
          <w:highlight w:val="none"/>
          <w:lang w:val="en-US" w:eastAsia="zh-CN"/>
        </w:rPr>
        <w:t>深化开发区领导班子任期制、全员岗位聘任制和绩效工资制改革，加快建设专业化、市场化、国际化的管理团队，深化机构改革，合理设置内设机构，最大限度激发市场主体活力。持续开展经开区管运分离改革，探索推行“区中园”“园中园”公司化经营或委托专业团队运营等模式，鼓励社会资本参与园区建设运营，支持有能力的企业组建运营团队参与经营，规范契约化管理。</w:t>
      </w:r>
    </w:p>
    <w:p w14:paraId="55892A5D">
      <w:pPr>
        <w:ind w:firstLine="640"/>
      </w:pPr>
      <w:r>
        <w:rPr>
          <w:rFonts w:hint="eastAsia" w:ascii="仿宋_GB2312" w:hAnsi="仿宋_GB2312" w:eastAsia="仿宋_GB2312" w:cs="仿宋_GB2312"/>
          <w:b/>
          <w:bCs/>
          <w:sz w:val="32"/>
          <w:szCs w:val="32"/>
          <w:highlight w:val="none"/>
          <w:lang w:val="en-US" w:eastAsia="zh-CN"/>
        </w:rPr>
        <w:t>深化行政审批制度改革。</w:t>
      </w:r>
      <w:r>
        <w:rPr>
          <w:rFonts w:hint="eastAsia" w:ascii="仿宋_GB2312" w:hAnsi="仿宋_GB2312" w:eastAsia="仿宋_GB2312" w:cs="仿宋_GB2312"/>
          <w:sz w:val="32"/>
          <w:szCs w:val="32"/>
          <w:highlight w:val="none"/>
          <w:lang w:val="en-US" w:eastAsia="zh-CN"/>
        </w:rPr>
        <w:t>做好取消和下放行政审批事项的贯彻落实工作，最大限度精简行政审批事项。</w:t>
      </w:r>
      <w:r>
        <w:rPr>
          <w:rFonts w:hint="eastAsia"/>
          <w:color w:val="000000" w:themeColor="text1"/>
        </w:rPr>
        <w:t>持续深化“承诺制+标准地+全代办”改革，</w:t>
      </w:r>
      <w:r>
        <w:rPr>
          <w:rFonts w:hint="eastAsia" w:ascii="仿宋_GB2312" w:hAnsi="仿宋_GB2312" w:eastAsia="仿宋_GB2312" w:cs="仿宋_GB2312"/>
          <w:sz w:val="32"/>
          <w:szCs w:val="32"/>
          <w:highlight w:val="none"/>
          <w:lang w:val="en-US" w:eastAsia="zh-CN"/>
        </w:rPr>
        <w:t>继续加快优化审批流程，全面提高行政审批工作效率，实施审批服务“马上办、网上办、一次办”。规范行政审批行为，推动行政审批法治化、标准化建设。全面梳理政务服务事项，细化审批层级，压缩审批层级。聚焦重点领域重点事项，逐项编制标准化工作规程和办事指南。完善后续监督办法和配套措施，加强行政审批权力运行制约监督。</w:t>
      </w:r>
    </w:p>
    <w:p w14:paraId="30D6FED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优化政务</w:t>
      </w:r>
      <w:r>
        <w:rPr>
          <w:rFonts w:hint="eastAsia" w:cs="仿宋_GB2312"/>
          <w:b/>
          <w:bCs/>
          <w:sz w:val="32"/>
          <w:szCs w:val="32"/>
          <w:highlight w:val="none"/>
          <w:lang w:val="en-US" w:eastAsia="zh-CN"/>
        </w:rPr>
        <w:t>服务</w:t>
      </w:r>
      <w:r>
        <w:rPr>
          <w:rFonts w:hint="eastAsia" w:ascii="仿宋_GB2312" w:hAnsi="仿宋_GB2312" w:eastAsia="仿宋_GB2312" w:cs="仿宋_GB2312"/>
          <w:b/>
          <w:bCs/>
          <w:sz w:val="32"/>
          <w:szCs w:val="32"/>
          <w:highlight w:val="none"/>
          <w:lang w:val="en-US" w:eastAsia="zh-CN"/>
        </w:rPr>
        <w:t>环境。</w:t>
      </w:r>
      <w:r>
        <w:rPr>
          <w:rFonts w:hint="eastAsia" w:ascii="仿宋_GB2312" w:hAnsi="仿宋_GB2312" w:eastAsia="仿宋_GB2312" w:cs="仿宋_GB2312"/>
          <w:sz w:val="32"/>
          <w:szCs w:val="32"/>
          <w:highlight w:val="none"/>
          <w:lang w:val="en-US" w:eastAsia="zh-CN"/>
        </w:rPr>
        <w:t>建立完善事项清单，全面梳理所有涉企经营许可事项，按照直接取消、改为备案、告知承诺和优化审批服务四种方式建立清单，实行清单管理，深化政务公开，推进行政审批公开透明运行。推动政务服务事项网上办理，</w:t>
      </w:r>
      <w:r>
        <w:rPr>
          <w:rFonts w:hint="eastAsia" w:ascii="仿宋_GB2312" w:hAnsi="仿宋_GB2312" w:eastAsia="仿宋_GB2312" w:cs="仿宋_GB2312"/>
          <w:b/>
          <w:bCs/>
          <w:sz w:val="32"/>
          <w:szCs w:val="32"/>
          <w:highlight w:val="none"/>
          <w:lang w:val="en-US" w:eastAsia="zh-CN"/>
        </w:rPr>
        <w:t>完善一体化在线</w:t>
      </w:r>
      <w:r>
        <w:rPr>
          <w:rFonts w:hint="eastAsia" w:cs="仿宋_GB2312"/>
          <w:b/>
          <w:bCs/>
          <w:sz w:val="32"/>
          <w:szCs w:val="32"/>
          <w:highlight w:val="none"/>
          <w:lang w:val="en-US" w:eastAsia="zh-CN"/>
        </w:rPr>
        <w:t>（一站式）</w:t>
      </w:r>
      <w:r>
        <w:rPr>
          <w:rFonts w:hint="eastAsia" w:ascii="仿宋_GB2312" w:hAnsi="仿宋_GB2312" w:eastAsia="仿宋_GB2312" w:cs="仿宋_GB2312"/>
          <w:b/>
          <w:bCs/>
          <w:sz w:val="32"/>
          <w:szCs w:val="32"/>
          <w:highlight w:val="none"/>
          <w:lang w:val="en-US" w:eastAsia="zh-CN"/>
        </w:rPr>
        <w:t>政务服务</w:t>
      </w:r>
      <w:r>
        <w:rPr>
          <w:rFonts w:hint="eastAsia" w:cs="仿宋_GB2312"/>
          <w:b/>
          <w:bCs/>
          <w:sz w:val="32"/>
          <w:szCs w:val="32"/>
          <w:highlight w:val="none"/>
          <w:lang w:val="en-US" w:eastAsia="zh-CN"/>
        </w:rPr>
        <w:t>大厅</w:t>
      </w:r>
      <w:r>
        <w:rPr>
          <w:rFonts w:hint="eastAsia" w:ascii="仿宋_GB2312" w:hAnsi="仿宋_GB2312" w:eastAsia="仿宋_GB2312" w:cs="仿宋_GB2312"/>
          <w:b/>
          <w:bCs/>
          <w:sz w:val="32"/>
          <w:szCs w:val="32"/>
          <w:highlight w:val="none"/>
          <w:lang w:val="en-US" w:eastAsia="zh-CN"/>
        </w:rPr>
        <w:t>平台办理功能，</w:t>
      </w:r>
      <w:r>
        <w:rPr>
          <w:rFonts w:hint="eastAsia" w:ascii="仿宋_GB2312" w:hAnsi="仿宋_GB2312" w:eastAsia="仿宋_GB2312" w:cs="仿宋_GB2312"/>
          <w:sz w:val="32"/>
          <w:szCs w:val="32"/>
          <w:highlight w:val="none"/>
          <w:lang w:val="en-US" w:eastAsia="zh-CN"/>
        </w:rPr>
        <w:t>加快推进政务数据资源整合，拓展网上办事广度和深度，实现更多审批事项、公共服务网上办、掌上办、指尖办。</w:t>
      </w:r>
    </w:p>
    <w:p w14:paraId="3A85C306">
      <w:pPr>
        <w:ind w:firstLine="640"/>
      </w:pPr>
    </w:p>
    <w:p w14:paraId="7FF81E3D">
      <w:pPr>
        <w:pStyle w:val="4"/>
        <w:rPr>
          <w:rFonts w:ascii="黑体" w:hAnsi="黑体" w:eastAsia="黑体"/>
        </w:rPr>
      </w:pPr>
      <w:bookmarkStart w:id="188" w:name="_Toc25915"/>
      <w:r>
        <w:rPr>
          <w:rFonts w:hint="eastAsia" w:ascii="黑体" w:hAnsi="黑体" w:eastAsia="黑体"/>
        </w:rPr>
        <w:t>第五节</w:t>
      </w:r>
      <w:r>
        <w:rPr>
          <w:rFonts w:ascii="黑体" w:hAnsi="黑体" w:eastAsia="黑体"/>
        </w:rPr>
        <w:t xml:space="preserve">  加强规划管理</w:t>
      </w:r>
      <w:bookmarkEnd w:id="188"/>
    </w:p>
    <w:p w14:paraId="403FB0C8">
      <w:pPr>
        <w:ind w:firstLine="640"/>
      </w:pPr>
      <w:r>
        <w:t>做好本规划与省市“十四五”规划及各专项规划之间的衔接，确保时序安排和空间配置协调有序，定位清晰、功能互补、统一衔接的规划体系。强化项目支撑，以实施项目带动贯穿于经济社会发展的全过程，促进要素集聚、服务提升、作风改进、工作落实。实施监督评估制度，将约束性指标和各项任务分解到年度，纳入经济社会发展年度计划。实施规划中期评估。检查落实情况，评价实施效果，分析实施中存在的问题，提出相应的对策建议。加强宣传和展示，着力推进规划实施的信息公开，营造关心规划、自觉参与规划实施的良好氛围。提高规划实施的民主化和透明度，增进市场主体、民众、社会组织对规划方针政策的认知，特别是促进企业积极参与规划的实施。</w:t>
      </w:r>
    </w:p>
    <w:sectPr>
      <w:footerReference r:id="rId11"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_GB2312">
    <w:altName w:val="Courier New"/>
    <w:panose1 w:val="00000000000000000000"/>
    <w:charset w:val="00"/>
    <w:family w:val="auto"/>
    <w:pitch w:val="default"/>
    <w:sig w:usb0="00000000" w:usb1="00000000" w:usb2="00000000" w:usb3="00000000" w:csb0="00000001" w:csb1="00000000"/>
  </w:font>
  <w:font w:name="Times New Roman Regular">
    <w:altName w:val="Times New Roman"/>
    <w:panose1 w:val="020B06040202020202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49AD7">
    <w:pPr>
      <w:pStyle w:val="11"/>
      <w:ind w:firstLine="360"/>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6E0DC94E">
                <w:pPr>
                  <w:pStyle w:val="11"/>
                  <w:ind w:firstLine="360"/>
                </w:pPr>
                <w:r>
                  <w:fldChar w:fldCharType="begin"/>
                </w:r>
                <w:r>
                  <w:instrText xml:space="preserve"> PAGE  \* MERGEFORMAT </w:instrText>
                </w:r>
                <w:r>
                  <w:fldChar w:fldCharType="separate"/>
                </w:r>
                <w:r>
                  <w:t>3</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89879">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5BB51">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6C872">
    <w:pPr>
      <w:pStyle w:val="11"/>
      <w:ind w:firstLine="360"/>
    </w:pPr>
    <w:r>
      <w:pict>
        <v:shape id="_x0000_s4098" o:spid="_x0000_s4098"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79890BD9">
                <w:pPr>
                  <w:pStyle w:val="11"/>
                  <w:ind w:firstLine="360"/>
                </w:pPr>
                <w:r>
                  <w:fldChar w:fldCharType="begin"/>
                </w:r>
                <w:r>
                  <w:instrText xml:space="preserve"> PAGE  \* MERGEFORMAT </w:instrText>
                </w:r>
                <w:r>
                  <w:fldChar w:fldCharType="separate"/>
                </w:r>
                <w:r>
                  <w:t>3</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ind w:firstLine="640"/>
      </w:pPr>
      <w:r>
        <w:separator/>
      </w:r>
    </w:p>
  </w:footnote>
  <w:footnote w:type="continuationSeparator" w:id="3">
    <w:p>
      <w:pPr>
        <w:ind w:firstLine="640"/>
      </w:pPr>
      <w:r>
        <w:continuationSeparator/>
      </w:r>
    </w:p>
  </w:footnote>
  <w:footnote w:id="0">
    <w:p w14:paraId="45117DF1">
      <w:pPr>
        <w:pStyle w:val="14"/>
        <w:snapToGrid w:val="0"/>
        <w:rPr>
          <w:rFonts w:hint="default" w:eastAsia="仿宋_GB2312"/>
          <w:lang w:val="en-US" w:eastAsia="zh-CN"/>
        </w:rPr>
      </w:pPr>
      <w:r>
        <w:rPr>
          <w:rStyle w:val="23"/>
        </w:rPr>
        <w:footnoteRef/>
      </w:r>
      <w:r>
        <w:t xml:space="preserve"> </w:t>
      </w:r>
      <w:r>
        <w:rPr>
          <w:rFonts w:hint="eastAsia"/>
          <w:lang w:val="en-US" w:eastAsia="zh-CN"/>
        </w:rPr>
        <w:t>按4600亩可用土地可用60%，投资强度300万/亩，完成50%投资测算。</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8986C">
    <w:pPr>
      <w:pStyle w:val="12"/>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DD755">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8CA1">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00647A"/>
    <w:multiLevelType w:val="multilevel"/>
    <w:tmpl w:val="2700647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2"/>
    <w:footnote w:id="3"/>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jY2ZjA0ODE3ZjZjYmYwZDAyMTYwM2NkMjllMGU1MzQifQ=="/>
  </w:docVars>
  <w:rsids>
    <w:rsidRoot w:val="00B039A8"/>
    <w:rsid w:val="0000115E"/>
    <w:rsid w:val="00005205"/>
    <w:rsid w:val="00010F57"/>
    <w:rsid w:val="00043D70"/>
    <w:rsid w:val="00047092"/>
    <w:rsid w:val="00047E60"/>
    <w:rsid w:val="000B28A6"/>
    <w:rsid w:val="000B36C2"/>
    <w:rsid w:val="000C3595"/>
    <w:rsid w:val="000D65EB"/>
    <w:rsid w:val="000F2E34"/>
    <w:rsid w:val="000F6EE4"/>
    <w:rsid w:val="00105C1C"/>
    <w:rsid w:val="00113F4F"/>
    <w:rsid w:val="00115A48"/>
    <w:rsid w:val="00115F64"/>
    <w:rsid w:val="00175E95"/>
    <w:rsid w:val="0018155B"/>
    <w:rsid w:val="001A1782"/>
    <w:rsid w:val="001B15F8"/>
    <w:rsid w:val="001B3018"/>
    <w:rsid w:val="001B32E0"/>
    <w:rsid w:val="001B7449"/>
    <w:rsid w:val="001E7E67"/>
    <w:rsid w:val="002211C4"/>
    <w:rsid w:val="00233DD8"/>
    <w:rsid w:val="00245564"/>
    <w:rsid w:val="0026448C"/>
    <w:rsid w:val="00283730"/>
    <w:rsid w:val="002B2ACC"/>
    <w:rsid w:val="002D4388"/>
    <w:rsid w:val="002E11C3"/>
    <w:rsid w:val="002F669D"/>
    <w:rsid w:val="00306BE6"/>
    <w:rsid w:val="00335DE6"/>
    <w:rsid w:val="0034314E"/>
    <w:rsid w:val="0037173A"/>
    <w:rsid w:val="003A60D8"/>
    <w:rsid w:val="003B3D03"/>
    <w:rsid w:val="003B507F"/>
    <w:rsid w:val="003D7599"/>
    <w:rsid w:val="00434E72"/>
    <w:rsid w:val="00482D82"/>
    <w:rsid w:val="00491C03"/>
    <w:rsid w:val="00495E3F"/>
    <w:rsid w:val="004A3663"/>
    <w:rsid w:val="004E0F70"/>
    <w:rsid w:val="004E539F"/>
    <w:rsid w:val="00501302"/>
    <w:rsid w:val="00520C6F"/>
    <w:rsid w:val="0054405C"/>
    <w:rsid w:val="00551CDF"/>
    <w:rsid w:val="005547F5"/>
    <w:rsid w:val="00583EB8"/>
    <w:rsid w:val="00586F1F"/>
    <w:rsid w:val="005A5F8A"/>
    <w:rsid w:val="005B5533"/>
    <w:rsid w:val="005D2778"/>
    <w:rsid w:val="0062583F"/>
    <w:rsid w:val="006559E1"/>
    <w:rsid w:val="006567B7"/>
    <w:rsid w:val="00673B0A"/>
    <w:rsid w:val="00683276"/>
    <w:rsid w:val="006B2E11"/>
    <w:rsid w:val="006B3DC4"/>
    <w:rsid w:val="007207F7"/>
    <w:rsid w:val="00737A91"/>
    <w:rsid w:val="007502E1"/>
    <w:rsid w:val="00750EE2"/>
    <w:rsid w:val="00792DC6"/>
    <w:rsid w:val="00796218"/>
    <w:rsid w:val="007C4AE1"/>
    <w:rsid w:val="007F26A9"/>
    <w:rsid w:val="00821571"/>
    <w:rsid w:val="00830865"/>
    <w:rsid w:val="00831245"/>
    <w:rsid w:val="00870205"/>
    <w:rsid w:val="00870396"/>
    <w:rsid w:val="00871AFC"/>
    <w:rsid w:val="00891196"/>
    <w:rsid w:val="008924E6"/>
    <w:rsid w:val="008A40FB"/>
    <w:rsid w:val="008A48B0"/>
    <w:rsid w:val="008B7C3E"/>
    <w:rsid w:val="008D3893"/>
    <w:rsid w:val="008E514F"/>
    <w:rsid w:val="008F0E63"/>
    <w:rsid w:val="008F53DB"/>
    <w:rsid w:val="00906A67"/>
    <w:rsid w:val="00931240"/>
    <w:rsid w:val="009525A0"/>
    <w:rsid w:val="0096141C"/>
    <w:rsid w:val="00981105"/>
    <w:rsid w:val="00991F2C"/>
    <w:rsid w:val="009D6390"/>
    <w:rsid w:val="009E0EFD"/>
    <w:rsid w:val="009E4B67"/>
    <w:rsid w:val="009E4C3A"/>
    <w:rsid w:val="00A73CEC"/>
    <w:rsid w:val="00A802C5"/>
    <w:rsid w:val="00A846A7"/>
    <w:rsid w:val="00A85B06"/>
    <w:rsid w:val="00AB064F"/>
    <w:rsid w:val="00AB2B8B"/>
    <w:rsid w:val="00AC181F"/>
    <w:rsid w:val="00AC6E70"/>
    <w:rsid w:val="00B039A8"/>
    <w:rsid w:val="00B24E96"/>
    <w:rsid w:val="00B4320A"/>
    <w:rsid w:val="00B439CE"/>
    <w:rsid w:val="00BB3D2F"/>
    <w:rsid w:val="00BD2C2A"/>
    <w:rsid w:val="00BE7299"/>
    <w:rsid w:val="00C37F72"/>
    <w:rsid w:val="00C42B8A"/>
    <w:rsid w:val="00C4477B"/>
    <w:rsid w:val="00C74F89"/>
    <w:rsid w:val="00D05C8A"/>
    <w:rsid w:val="00D060D8"/>
    <w:rsid w:val="00D33960"/>
    <w:rsid w:val="00D44729"/>
    <w:rsid w:val="00D66B42"/>
    <w:rsid w:val="00D93950"/>
    <w:rsid w:val="00DE59F8"/>
    <w:rsid w:val="00E06D93"/>
    <w:rsid w:val="00E152CE"/>
    <w:rsid w:val="00E620C7"/>
    <w:rsid w:val="00E70D40"/>
    <w:rsid w:val="00E82BCC"/>
    <w:rsid w:val="00E86397"/>
    <w:rsid w:val="00E95A9B"/>
    <w:rsid w:val="00EC5718"/>
    <w:rsid w:val="00EF2805"/>
    <w:rsid w:val="00F04858"/>
    <w:rsid w:val="00F0510B"/>
    <w:rsid w:val="00F05759"/>
    <w:rsid w:val="00F06C28"/>
    <w:rsid w:val="00F07C7B"/>
    <w:rsid w:val="00F2194E"/>
    <w:rsid w:val="00F557A9"/>
    <w:rsid w:val="00F86558"/>
    <w:rsid w:val="00F97B52"/>
    <w:rsid w:val="00FA0E9A"/>
    <w:rsid w:val="00FA5031"/>
    <w:rsid w:val="00FD58BE"/>
    <w:rsid w:val="00FE0058"/>
    <w:rsid w:val="00FF70BA"/>
    <w:rsid w:val="014C250B"/>
    <w:rsid w:val="015E315A"/>
    <w:rsid w:val="01A11169"/>
    <w:rsid w:val="01B04A7D"/>
    <w:rsid w:val="04B96E12"/>
    <w:rsid w:val="064750AF"/>
    <w:rsid w:val="07C61F0C"/>
    <w:rsid w:val="0C0C1099"/>
    <w:rsid w:val="0F1D69B3"/>
    <w:rsid w:val="0F345B3D"/>
    <w:rsid w:val="10244ED2"/>
    <w:rsid w:val="116158A3"/>
    <w:rsid w:val="129C1D83"/>
    <w:rsid w:val="130E6788"/>
    <w:rsid w:val="134D2517"/>
    <w:rsid w:val="1618500D"/>
    <w:rsid w:val="165173A1"/>
    <w:rsid w:val="16D2613E"/>
    <w:rsid w:val="18A8671C"/>
    <w:rsid w:val="1A8B7E55"/>
    <w:rsid w:val="1B4916A8"/>
    <w:rsid w:val="1C08030F"/>
    <w:rsid w:val="1C625023"/>
    <w:rsid w:val="1D6F5427"/>
    <w:rsid w:val="1DA2399D"/>
    <w:rsid w:val="1DF905E1"/>
    <w:rsid w:val="1EFF5C4D"/>
    <w:rsid w:val="206A5E10"/>
    <w:rsid w:val="216A4A66"/>
    <w:rsid w:val="224E1863"/>
    <w:rsid w:val="243811B4"/>
    <w:rsid w:val="245A034C"/>
    <w:rsid w:val="24AD7CC2"/>
    <w:rsid w:val="255E01C6"/>
    <w:rsid w:val="261458C7"/>
    <w:rsid w:val="27A26C29"/>
    <w:rsid w:val="27CC4F49"/>
    <w:rsid w:val="28D44357"/>
    <w:rsid w:val="28F85180"/>
    <w:rsid w:val="29A1407A"/>
    <w:rsid w:val="29CB5F5F"/>
    <w:rsid w:val="2A6730E1"/>
    <w:rsid w:val="2C873115"/>
    <w:rsid w:val="2F506A51"/>
    <w:rsid w:val="2F542878"/>
    <w:rsid w:val="304940D8"/>
    <w:rsid w:val="311D194D"/>
    <w:rsid w:val="31295E0A"/>
    <w:rsid w:val="331577FC"/>
    <w:rsid w:val="343E7CCC"/>
    <w:rsid w:val="36130A96"/>
    <w:rsid w:val="37D05D62"/>
    <w:rsid w:val="37DB5AD3"/>
    <w:rsid w:val="392A2DA5"/>
    <w:rsid w:val="3A0938C3"/>
    <w:rsid w:val="3AB111F7"/>
    <w:rsid w:val="3D2E0FEA"/>
    <w:rsid w:val="3D9D5CDA"/>
    <w:rsid w:val="3DCA03BA"/>
    <w:rsid w:val="3F505F4F"/>
    <w:rsid w:val="3FDC3778"/>
    <w:rsid w:val="414B25C0"/>
    <w:rsid w:val="41A21CB0"/>
    <w:rsid w:val="42AA6622"/>
    <w:rsid w:val="43DF7AD2"/>
    <w:rsid w:val="479A4B2C"/>
    <w:rsid w:val="47AB4233"/>
    <w:rsid w:val="48405026"/>
    <w:rsid w:val="485A3656"/>
    <w:rsid w:val="489E51FD"/>
    <w:rsid w:val="4D320D51"/>
    <w:rsid w:val="4DBF62E4"/>
    <w:rsid w:val="4E673D26"/>
    <w:rsid w:val="4F550E1D"/>
    <w:rsid w:val="509F4903"/>
    <w:rsid w:val="51010B0B"/>
    <w:rsid w:val="512839A2"/>
    <w:rsid w:val="525253C7"/>
    <w:rsid w:val="54A307E9"/>
    <w:rsid w:val="54B432D2"/>
    <w:rsid w:val="572E37F0"/>
    <w:rsid w:val="57914F3D"/>
    <w:rsid w:val="57EF0C2F"/>
    <w:rsid w:val="5BF75165"/>
    <w:rsid w:val="5CF50742"/>
    <w:rsid w:val="5E216462"/>
    <w:rsid w:val="5E5F4B50"/>
    <w:rsid w:val="5E94086B"/>
    <w:rsid w:val="614510D8"/>
    <w:rsid w:val="62A36724"/>
    <w:rsid w:val="62B007BF"/>
    <w:rsid w:val="6424526F"/>
    <w:rsid w:val="64FC28FB"/>
    <w:rsid w:val="65245B7A"/>
    <w:rsid w:val="65C16341"/>
    <w:rsid w:val="6A9D51EF"/>
    <w:rsid w:val="6BED336C"/>
    <w:rsid w:val="6E1E545C"/>
    <w:rsid w:val="6E795EE5"/>
    <w:rsid w:val="6F1528C7"/>
    <w:rsid w:val="6F7C083E"/>
    <w:rsid w:val="6FAC6213"/>
    <w:rsid w:val="6FFE7A6B"/>
    <w:rsid w:val="71510B51"/>
    <w:rsid w:val="71CE368B"/>
    <w:rsid w:val="73823043"/>
    <w:rsid w:val="73BE3455"/>
    <w:rsid w:val="73D36283"/>
    <w:rsid w:val="7518282A"/>
    <w:rsid w:val="75A254CE"/>
    <w:rsid w:val="75BF5A0C"/>
    <w:rsid w:val="76596DDE"/>
    <w:rsid w:val="769E2261"/>
    <w:rsid w:val="7802254E"/>
    <w:rsid w:val="782901D9"/>
    <w:rsid w:val="78BD773C"/>
    <w:rsid w:val="7A350DF3"/>
    <w:rsid w:val="7D17138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ind w:firstLine="200" w:firstLineChars="200"/>
      <w:jc w:val="both"/>
    </w:pPr>
    <w:rPr>
      <w:rFonts w:ascii="仿宋_GB2312" w:hAnsi="仿宋_GB2312" w:eastAsia="仿宋_GB2312" w:cs="仿宋_GB2312"/>
      <w:kern w:val="2"/>
      <w:sz w:val="32"/>
      <w:szCs w:val="32"/>
      <w:lang w:val="en-US" w:eastAsia="zh-CN" w:bidi="ar-SA"/>
    </w:rPr>
  </w:style>
  <w:style w:type="paragraph" w:styleId="3">
    <w:name w:val="heading 1"/>
    <w:basedOn w:val="1"/>
    <w:next w:val="1"/>
    <w:autoRedefine/>
    <w:qFormat/>
    <w:uiPriority w:val="0"/>
    <w:pPr>
      <w:keepNext/>
      <w:keepLines/>
      <w:ind w:firstLine="0" w:firstLineChars="0"/>
      <w:jc w:val="center"/>
      <w:outlineLvl w:val="0"/>
    </w:pPr>
    <w:rPr>
      <w:rFonts w:eastAsia="黑体"/>
      <w:kern w:val="44"/>
      <w:sz w:val="44"/>
    </w:rPr>
  </w:style>
  <w:style w:type="paragraph" w:styleId="4">
    <w:name w:val="heading 2"/>
    <w:basedOn w:val="1"/>
    <w:next w:val="1"/>
    <w:autoRedefine/>
    <w:unhideWhenUsed/>
    <w:qFormat/>
    <w:uiPriority w:val="0"/>
    <w:pPr>
      <w:keepNext/>
      <w:keepLines/>
      <w:ind w:firstLine="0" w:firstLineChars="0"/>
      <w:jc w:val="center"/>
      <w:outlineLvl w:val="1"/>
    </w:pPr>
    <w:rPr>
      <w:rFonts w:ascii="Arial" w:hAnsi="Arial" w:eastAsia="楷体"/>
    </w:rPr>
  </w:style>
  <w:style w:type="paragraph" w:styleId="5">
    <w:name w:val="heading 3"/>
    <w:basedOn w:val="1"/>
    <w:next w:val="1"/>
    <w:autoRedefine/>
    <w:unhideWhenUsed/>
    <w:qFormat/>
    <w:uiPriority w:val="0"/>
    <w:pPr>
      <w:keepNext/>
      <w:keepLines/>
      <w:spacing w:line="413" w:lineRule="auto"/>
      <w:outlineLvl w:val="2"/>
    </w:pPr>
    <w:rPr>
      <w:b/>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2">
    <w:name w:val="table of authorities"/>
    <w:basedOn w:val="1"/>
    <w:next w:val="1"/>
    <w:autoRedefine/>
    <w:unhideWhenUsed/>
    <w:qFormat/>
    <w:uiPriority w:val="99"/>
    <w:pPr>
      <w:ind w:left="420" w:leftChars="200"/>
    </w:pPr>
  </w:style>
  <w:style w:type="paragraph" w:styleId="6">
    <w:name w:val="Body Text"/>
    <w:basedOn w:val="1"/>
    <w:next w:val="1"/>
    <w:autoRedefine/>
    <w:qFormat/>
    <w:uiPriority w:val="0"/>
    <w:pPr>
      <w:spacing w:after="120"/>
    </w:pPr>
  </w:style>
  <w:style w:type="paragraph" w:styleId="7">
    <w:name w:val="Body Text Indent"/>
    <w:basedOn w:val="1"/>
    <w:qFormat/>
    <w:uiPriority w:val="0"/>
    <w:pPr>
      <w:ind w:firstLine="645"/>
    </w:pPr>
    <w:rPr>
      <w:rFonts w:ascii="黑体" w:eastAsia="黑体"/>
      <w:b/>
      <w:bCs/>
    </w:rPr>
  </w:style>
  <w:style w:type="paragraph" w:styleId="8">
    <w:name w:val="toc 3"/>
    <w:basedOn w:val="1"/>
    <w:next w:val="1"/>
    <w:autoRedefine/>
    <w:qFormat/>
    <w:uiPriority w:val="39"/>
    <w:pPr>
      <w:ind w:left="840" w:leftChars="400"/>
    </w:pPr>
  </w:style>
  <w:style w:type="paragraph" w:styleId="9">
    <w:name w:val="Plain Text"/>
    <w:basedOn w:val="1"/>
    <w:link w:val="27"/>
    <w:autoRedefine/>
    <w:qFormat/>
    <w:uiPriority w:val="99"/>
    <w:pPr>
      <w:spacing w:line="360" w:lineRule="auto"/>
    </w:pPr>
    <w:rPr>
      <w:rFonts w:ascii="宋体" w:hAnsi="Courier New"/>
      <w:kern w:val="0"/>
      <w:szCs w:val="20"/>
    </w:rPr>
  </w:style>
  <w:style w:type="paragraph" w:styleId="10">
    <w:name w:val="Balloon Text"/>
    <w:basedOn w:val="1"/>
    <w:link w:val="28"/>
    <w:autoRedefine/>
    <w:qFormat/>
    <w:uiPriority w:val="0"/>
    <w:rPr>
      <w:sz w:val="18"/>
      <w:szCs w:val="18"/>
    </w:rPr>
  </w:style>
  <w:style w:type="paragraph" w:styleId="11">
    <w:name w:val="footer"/>
    <w:basedOn w:val="1"/>
    <w:link w:val="26"/>
    <w:qFormat/>
    <w:uiPriority w:val="99"/>
    <w:pPr>
      <w:tabs>
        <w:tab w:val="center" w:pos="4153"/>
        <w:tab w:val="right" w:pos="8306"/>
      </w:tabs>
      <w:snapToGrid w:val="0"/>
      <w:jc w:val="left"/>
    </w:pPr>
    <w:rPr>
      <w:sz w:val="18"/>
      <w:szCs w:val="18"/>
    </w:rPr>
  </w:style>
  <w:style w:type="paragraph" w:styleId="12">
    <w:name w:val="header"/>
    <w:basedOn w:val="1"/>
    <w:next w:val="6"/>
    <w:link w:val="30"/>
    <w:autoRedefine/>
    <w:qFormat/>
    <w:uiPriority w:val="99"/>
    <w:pPr>
      <w:pBdr>
        <w:bottom w:val="single" w:color="auto" w:sz="6" w:space="1"/>
      </w:pBdr>
      <w:tabs>
        <w:tab w:val="center" w:pos="4153"/>
        <w:tab w:val="right" w:pos="8306"/>
      </w:tabs>
      <w:snapToGrid w:val="0"/>
      <w:jc w:val="center"/>
    </w:pPr>
    <w:rPr>
      <w:kern w:val="0"/>
      <w:sz w:val="18"/>
      <w:szCs w:val="20"/>
    </w:rPr>
  </w:style>
  <w:style w:type="paragraph" w:styleId="13">
    <w:name w:val="toc 1"/>
    <w:basedOn w:val="1"/>
    <w:next w:val="1"/>
    <w:autoRedefine/>
    <w:qFormat/>
    <w:uiPriority w:val="39"/>
  </w:style>
  <w:style w:type="paragraph" w:styleId="14">
    <w:name w:val="footnote text"/>
    <w:basedOn w:val="1"/>
    <w:autoRedefine/>
    <w:qFormat/>
    <w:uiPriority w:val="0"/>
    <w:pPr>
      <w:snapToGrid w:val="0"/>
      <w:jc w:val="left"/>
    </w:pPr>
    <w:rPr>
      <w:sz w:val="18"/>
    </w:rPr>
  </w:style>
  <w:style w:type="paragraph" w:styleId="15">
    <w:name w:val="toc 2"/>
    <w:basedOn w:val="1"/>
    <w:next w:val="1"/>
    <w:autoRedefine/>
    <w:qFormat/>
    <w:uiPriority w:val="39"/>
    <w:pPr>
      <w:ind w:left="420" w:leftChars="200"/>
    </w:pPr>
  </w:style>
  <w:style w:type="paragraph" w:styleId="16">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17">
    <w:name w:val="Body Text First Indent 2"/>
    <w:basedOn w:val="7"/>
    <w:next w:val="1"/>
    <w:autoRedefine/>
    <w:qFormat/>
    <w:uiPriority w:val="0"/>
    <w:pPr>
      <w:ind w:firstLine="420"/>
    </w:pPr>
  </w:style>
  <w:style w:type="table" w:styleId="19">
    <w:name w:val="Table Grid"/>
    <w:basedOn w:val="18"/>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22"/>
    <w:rPr>
      <w:b/>
      <w:bCs/>
    </w:rPr>
  </w:style>
  <w:style w:type="character" w:styleId="22">
    <w:name w:val="Hyperlink"/>
    <w:basedOn w:val="20"/>
    <w:autoRedefine/>
    <w:unhideWhenUsed/>
    <w:qFormat/>
    <w:uiPriority w:val="99"/>
    <w:rPr>
      <w:color w:val="0563C1" w:themeColor="hyperlink"/>
      <w:u w:val="single"/>
    </w:rPr>
  </w:style>
  <w:style w:type="character" w:styleId="23">
    <w:name w:val="footnote reference"/>
    <w:basedOn w:val="20"/>
    <w:autoRedefine/>
    <w:qFormat/>
    <w:uiPriority w:val="0"/>
    <w:rPr>
      <w:vertAlign w:val="superscript"/>
    </w:rPr>
  </w:style>
  <w:style w:type="paragraph" w:customStyle="1" w:styleId="24">
    <w:name w:val="正文首行缩进 21"/>
    <w:basedOn w:val="25"/>
    <w:autoRedefine/>
    <w:qFormat/>
    <w:uiPriority w:val="0"/>
    <w:pPr>
      <w:ind w:firstLine="420"/>
    </w:pPr>
  </w:style>
  <w:style w:type="paragraph" w:customStyle="1" w:styleId="25">
    <w:name w:val="正文文本缩进1"/>
    <w:basedOn w:val="1"/>
    <w:autoRedefine/>
    <w:qFormat/>
    <w:uiPriority w:val="0"/>
    <w:pPr>
      <w:ind w:left="420" w:leftChars="200"/>
    </w:pPr>
    <w:rPr>
      <w:rFonts w:ascii="Times New Roman" w:hAnsi="Times New Roman" w:eastAsia="宋体" w:cs="Times New Roman"/>
    </w:rPr>
  </w:style>
  <w:style w:type="character" w:customStyle="1" w:styleId="26">
    <w:name w:val="页脚 字符"/>
    <w:basedOn w:val="20"/>
    <w:link w:val="11"/>
    <w:autoRedefine/>
    <w:qFormat/>
    <w:uiPriority w:val="99"/>
    <w:rPr>
      <w:rFonts w:ascii="仿宋_GB2312" w:hAnsi="仿宋_GB2312" w:eastAsia="仿宋_GB2312" w:cs="仿宋_GB2312"/>
      <w:kern w:val="2"/>
      <w:sz w:val="18"/>
      <w:szCs w:val="18"/>
    </w:rPr>
  </w:style>
  <w:style w:type="character" w:customStyle="1" w:styleId="27">
    <w:name w:val="纯文本 字符"/>
    <w:basedOn w:val="20"/>
    <w:link w:val="9"/>
    <w:autoRedefine/>
    <w:qFormat/>
    <w:uiPriority w:val="99"/>
    <w:rPr>
      <w:rFonts w:ascii="宋体" w:hAnsi="Courier New" w:eastAsia="仿宋_GB2312" w:cs="仿宋_GB2312"/>
      <w:sz w:val="32"/>
    </w:rPr>
  </w:style>
  <w:style w:type="character" w:customStyle="1" w:styleId="28">
    <w:name w:val="批注框文本 字符"/>
    <w:basedOn w:val="20"/>
    <w:link w:val="10"/>
    <w:autoRedefine/>
    <w:qFormat/>
    <w:uiPriority w:val="0"/>
    <w:rPr>
      <w:rFonts w:ascii="仿宋_GB2312" w:hAnsi="仿宋_GB2312" w:eastAsia="仿宋_GB2312" w:cs="仿宋_GB2312"/>
      <w:kern w:val="2"/>
      <w:sz w:val="18"/>
      <w:szCs w:val="18"/>
    </w:rPr>
  </w:style>
  <w:style w:type="paragraph" w:customStyle="1" w:styleId="29">
    <w:name w:val="TOC 标题1"/>
    <w:basedOn w:val="3"/>
    <w:next w:val="1"/>
    <w:autoRedefine/>
    <w:semiHidden/>
    <w:unhideWhenUsed/>
    <w:qFormat/>
    <w:uiPriority w:val="39"/>
    <w:pPr>
      <w:widowControl/>
      <w:spacing w:before="480" w:line="276" w:lineRule="auto"/>
      <w:jc w:val="left"/>
      <w:outlineLvl w:val="9"/>
    </w:pPr>
    <w:rPr>
      <w:rFonts w:asciiTheme="majorHAnsi" w:hAnsiTheme="majorHAnsi" w:eastAsiaTheme="majorEastAsia" w:cstheme="majorBidi"/>
      <w:b/>
      <w:bCs/>
      <w:color w:val="2E75B5" w:themeColor="accent1" w:themeShade="BF"/>
      <w:kern w:val="0"/>
      <w:sz w:val="28"/>
      <w:szCs w:val="28"/>
    </w:rPr>
  </w:style>
  <w:style w:type="character" w:customStyle="1" w:styleId="30">
    <w:name w:val="页眉 字符"/>
    <w:link w:val="12"/>
    <w:autoRedefine/>
    <w:qFormat/>
    <w:locked/>
    <w:uiPriority w:val="99"/>
    <w:rPr>
      <w:rFonts w:ascii="仿宋_GB2312" w:hAnsi="仿宋_GB2312" w:eastAsia="仿宋_GB2312" w:cs="仿宋_GB2312"/>
      <w:sz w:val="18"/>
    </w:rPr>
  </w:style>
  <w:style w:type="paragraph" w:styleId="31">
    <w:name w:val="List Paragraph"/>
    <w:basedOn w:val="1"/>
    <w:autoRedefine/>
    <w:unhideWhenUsed/>
    <w:qFormat/>
    <w:uiPriority w:val="99"/>
    <w:pPr>
      <w:ind w:firstLine="420"/>
    </w:pPr>
  </w:style>
  <w:style w:type="paragraph" w:customStyle="1" w:styleId="32">
    <w:name w:val="TOC 标题2"/>
    <w:basedOn w:val="3"/>
    <w:next w:val="1"/>
    <w:autoRedefine/>
    <w:semiHidden/>
    <w:unhideWhenUsed/>
    <w:qFormat/>
    <w:uiPriority w:val="39"/>
    <w:pPr>
      <w:widowControl/>
      <w:spacing w:before="480" w:line="276" w:lineRule="auto"/>
      <w:jc w:val="left"/>
      <w:outlineLvl w:val="9"/>
    </w:pPr>
    <w:rPr>
      <w:rFonts w:asciiTheme="majorHAnsi" w:hAnsiTheme="majorHAnsi" w:eastAsiaTheme="majorEastAsia" w:cstheme="majorBidi"/>
      <w:b/>
      <w:bCs/>
      <w:color w:val="2E75B5" w:themeColor="accent1" w:themeShade="BF"/>
      <w:kern w:val="0"/>
      <w:sz w:val="28"/>
      <w:szCs w:val="28"/>
    </w:rPr>
  </w:style>
  <w:style w:type="paragraph" w:customStyle="1" w:styleId="33">
    <w:name w:val="样式1"/>
    <w:basedOn w:val="1"/>
    <w:autoRedefine/>
    <w:qFormat/>
    <w:uiPriority w:val="99"/>
    <w:pPr>
      <w:ind w:firstLine="640"/>
    </w:pPr>
    <w:rPr>
      <w:rFonts w:ascii="Times New Roman" w:hAnsi="Times New Roman" w:eastAsia="Times New Roman" w:cs="Times New Roman"/>
      <w:kern w:val="0"/>
      <w:szCs w:val="20"/>
    </w:rPr>
  </w:style>
  <w:style w:type="paragraph" w:customStyle="1" w:styleId="34">
    <w:name w:val="正文文本首行缩进1"/>
    <w:basedOn w:val="6"/>
    <w:autoRedefine/>
    <w:qFormat/>
    <w:uiPriority w:val="0"/>
    <w:pPr>
      <w:ind w:firstLine="420" w:firstLineChars="100"/>
    </w:pPr>
    <w:rPr>
      <w:sz w:val="24"/>
    </w:rPr>
  </w:style>
  <w:style w:type="paragraph" w:customStyle="1" w:styleId="35">
    <w:name w:val="WPSOffice手动目录 1"/>
    <w:autoRedefine/>
    <w:qFormat/>
    <w:uiPriority w:val="0"/>
    <w:rPr>
      <w:rFonts w:ascii="Calibri" w:hAnsi="Calibri" w:eastAsia="宋体" w:cs="Calibri"/>
      <w:lang w:val="en-US" w:eastAsia="zh-CN" w:bidi="ar-SA"/>
    </w:rPr>
  </w:style>
  <w:style w:type="paragraph" w:customStyle="1" w:styleId="36">
    <w:name w:val="WPSOffice手动目录 2"/>
    <w:autoRedefine/>
    <w:qFormat/>
    <w:uiPriority w:val="0"/>
    <w:pPr>
      <w:ind w:left="200" w:leftChars="200"/>
    </w:pPr>
    <w:rPr>
      <w:rFonts w:ascii="Calibri" w:hAnsi="Calibri" w:eastAsia="宋体" w:cs="Calibri"/>
      <w:lang w:val="en-US" w:eastAsia="zh-CN" w:bidi="ar-SA"/>
    </w:rPr>
  </w:style>
  <w:style w:type="paragraph" w:customStyle="1" w:styleId="37">
    <w:name w:val="Char Char Char Char Char Char Char Char Char Char"/>
    <w:basedOn w:val="1"/>
    <w:autoRedefine/>
    <w:qFormat/>
    <w:uiPriority w:val="0"/>
    <w:pPr>
      <w:ind w:firstLine="0" w:firstLineChars="0"/>
    </w:pPr>
    <w:rPr>
      <w:rFonts w:ascii="Calibri" w:hAnsi="Calibri" w:eastAsia="宋体" w:cs="Times New Roman"/>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5648BA-D706-4167-8511-DF2ED1F97851}">
  <ds:schemaRefs/>
</ds:datastoreItem>
</file>

<file path=docProps/app.xml><?xml version="1.0" encoding="utf-8"?>
<Properties xmlns="http://schemas.openxmlformats.org/officeDocument/2006/extended-properties" xmlns:vt="http://schemas.openxmlformats.org/officeDocument/2006/docPropsVTypes">
  <Template>Normal</Template>
  <Pages>82</Pages>
  <Words>553</Words>
  <Characters>588</Characters>
  <Lines>289</Lines>
  <Paragraphs>81</Paragraphs>
  <TotalTime>4</TotalTime>
  <ScaleCrop>false</ScaleCrop>
  <LinksUpToDate>false</LinksUpToDate>
  <CharactersWithSpaces>797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2020-10-08T15:33:00Z</dcterms:created>
  <dc:creator>gdy</dc:creator>
  <cp:lastModifiedBy>侯育红</cp:lastModifiedBy>
  <dcterms:modified xsi:type="dcterms:W3CDTF">2025-09-11T07:44:33Z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0F9E230F47384C289D11075CAC61F1FA</vt:lpwstr>
  </property>
  <property fmtid="{D5CDD505-2E9C-101B-9397-08002B2CF9AE}" pid="4" name="KSOTemplateDocerSaveRecord">
    <vt:lpwstr>eyJoZGlkIjoiOTIzZWM4MjI2MzI4YzQzYTljODBhNDJkMzJkNjhhZjEiLCJ1c2VySWQiOiI3ODA4NDQ2NjMifQ==</vt:lpwstr>
  </property>
</Properties>
</file>