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A6355">
      <w:pPr>
        <w:ind w:firstLine="0" w:firstLineChars="0"/>
        <w:rPr>
          <w:rFonts w:hint="eastAsia"/>
        </w:rPr>
      </w:pPr>
    </w:p>
    <w:p w14:paraId="4921572B">
      <w:pPr>
        <w:pStyle w:val="19"/>
        <w:ind w:left="640" w:firstLine="643"/>
        <w:rPr>
          <w:rFonts w:hint="eastAsia" w:eastAsia="仿宋_GB2312"/>
          <w:highlight w:val="yellow"/>
        </w:rPr>
      </w:pPr>
    </w:p>
    <w:p w14:paraId="1F19FBAB">
      <w:pPr>
        <w:spacing w:line="720" w:lineRule="auto"/>
        <w:ind w:firstLine="0" w:firstLineChars="0"/>
        <w:jc w:val="center"/>
        <w:rPr>
          <w:rFonts w:hint="eastAsia" w:ascii="黑体" w:hAnsi="黑体" w:eastAsia="黑体" w:cs="黑体"/>
          <w:sz w:val="44"/>
          <w:szCs w:val="44"/>
        </w:rPr>
      </w:pPr>
    </w:p>
    <w:p w14:paraId="42D889F1">
      <w:pPr>
        <w:spacing w:line="720" w:lineRule="auto"/>
        <w:ind w:firstLine="0" w:firstLineChars="0"/>
        <w:jc w:val="center"/>
        <w:rPr>
          <w:rFonts w:hint="eastAsia" w:ascii="黑体" w:hAnsi="黑体" w:eastAsia="黑体" w:cs="黑体"/>
          <w:sz w:val="44"/>
          <w:szCs w:val="44"/>
        </w:rPr>
      </w:pPr>
      <w:r>
        <w:rPr>
          <w:rFonts w:hint="eastAsia" w:ascii="黑体" w:hAnsi="黑体" w:eastAsia="黑体" w:cs="黑体"/>
          <w:sz w:val="44"/>
          <w:szCs w:val="44"/>
        </w:rPr>
        <w:t>阳城经济技术开发区</w:t>
      </w:r>
    </w:p>
    <w:p w14:paraId="0830AC95">
      <w:pPr>
        <w:spacing w:line="720" w:lineRule="auto"/>
        <w:ind w:firstLine="0" w:firstLineChars="0"/>
        <w:jc w:val="center"/>
        <w:rPr>
          <w:rFonts w:hint="eastAsia" w:ascii="黑体" w:hAnsi="黑体" w:eastAsia="黑体" w:cs="黑体"/>
          <w:spacing w:val="-20"/>
          <w:sz w:val="44"/>
          <w:szCs w:val="44"/>
        </w:rPr>
      </w:pPr>
      <w:r>
        <w:rPr>
          <w:rFonts w:hint="eastAsia" w:ascii="黑体" w:hAnsi="黑体" w:eastAsia="黑体" w:cs="黑体"/>
          <w:spacing w:val="-20"/>
          <w:sz w:val="44"/>
          <w:szCs w:val="44"/>
        </w:rPr>
        <w:t>经济发展第十五个五年规划纲要</w:t>
      </w:r>
    </w:p>
    <w:p w14:paraId="48289676">
      <w:pPr>
        <w:spacing w:line="720" w:lineRule="auto"/>
        <w:ind w:firstLine="0" w:firstLineChars="0"/>
        <w:jc w:val="center"/>
        <w:rPr>
          <w:rFonts w:hint="eastAsia" w:ascii="黑体" w:hAnsi="黑体" w:eastAsia="黑体" w:cs="黑体"/>
          <w:spacing w:val="-20"/>
          <w:sz w:val="44"/>
          <w:szCs w:val="44"/>
          <w:lang w:eastAsia="zh-CN"/>
        </w:rPr>
      </w:pPr>
      <w:r>
        <w:rPr>
          <w:rFonts w:hint="eastAsia" w:ascii="黑体" w:hAnsi="黑体" w:eastAsia="黑体" w:cs="黑体"/>
          <w:spacing w:val="-20"/>
          <w:sz w:val="44"/>
          <w:szCs w:val="44"/>
          <w:lang w:eastAsia="zh-CN"/>
        </w:rPr>
        <w:t>（</w:t>
      </w:r>
      <w:r>
        <w:rPr>
          <w:rFonts w:hint="eastAsia" w:ascii="黑体" w:hAnsi="黑体" w:eastAsia="黑体" w:cs="黑体"/>
          <w:spacing w:val="-20"/>
          <w:sz w:val="44"/>
          <w:szCs w:val="44"/>
          <w:lang w:val="en-US" w:eastAsia="zh-CN"/>
        </w:rPr>
        <w:t>征求意见稿</w:t>
      </w:r>
      <w:r>
        <w:rPr>
          <w:rFonts w:hint="eastAsia" w:ascii="黑体" w:hAnsi="黑体" w:eastAsia="黑体" w:cs="黑体"/>
          <w:spacing w:val="-20"/>
          <w:sz w:val="44"/>
          <w:szCs w:val="44"/>
          <w:lang w:eastAsia="zh-CN"/>
        </w:rPr>
        <w:t>）</w:t>
      </w:r>
    </w:p>
    <w:p w14:paraId="4E59954A">
      <w:pPr>
        <w:spacing w:line="720" w:lineRule="auto"/>
        <w:ind w:firstLine="0" w:firstLineChars="0"/>
        <w:jc w:val="center"/>
        <w:rPr>
          <w:rFonts w:hint="eastAsia" w:asciiTheme="minorEastAsia" w:hAnsiTheme="minorEastAsia" w:eastAsiaTheme="minorEastAsia"/>
          <w:b/>
          <w:sz w:val="36"/>
          <w:szCs w:val="36"/>
        </w:rPr>
      </w:pPr>
    </w:p>
    <w:p w14:paraId="5DC10475">
      <w:pPr>
        <w:ind w:firstLine="0" w:firstLineChars="0"/>
        <w:jc w:val="center"/>
        <w:rPr>
          <w:rFonts w:hint="eastAsia" w:ascii="方正小标宋简体" w:eastAsia="方正小标宋简体"/>
          <w:sz w:val="36"/>
          <w:szCs w:val="36"/>
        </w:rPr>
      </w:pPr>
    </w:p>
    <w:p w14:paraId="50D4EEC5">
      <w:pPr>
        <w:ind w:firstLine="0" w:firstLineChars="0"/>
        <w:jc w:val="center"/>
        <w:rPr>
          <w:rFonts w:hint="eastAsia" w:ascii="方正小标宋简体" w:eastAsia="方正小标宋简体"/>
          <w:sz w:val="36"/>
          <w:szCs w:val="36"/>
        </w:rPr>
      </w:pPr>
    </w:p>
    <w:p w14:paraId="13D8D57C">
      <w:pPr>
        <w:ind w:firstLine="0" w:firstLineChars="0"/>
        <w:jc w:val="center"/>
        <w:rPr>
          <w:rFonts w:hint="eastAsia" w:ascii="方正小标宋简体" w:eastAsia="方正小标宋简体"/>
          <w:sz w:val="36"/>
          <w:szCs w:val="36"/>
        </w:rPr>
      </w:pPr>
    </w:p>
    <w:p w14:paraId="0082A854">
      <w:pPr>
        <w:ind w:firstLine="0" w:firstLineChars="0"/>
        <w:jc w:val="center"/>
        <w:rPr>
          <w:rFonts w:hint="eastAsia" w:ascii="方正小标宋简体" w:eastAsia="方正小标宋简体"/>
          <w:sz w:val="36"/>
          <w:szCs w:val="36"/>
        </w:rPr>
      </w:pPr>
    </w:p>
    <w:p w14:paraId="2F804D6C">
      <w:pPr>
        <w:pStyle w:val="7"/>
        <w:ind w:firstLine="720"/>
        <w:rPr>
          <w:rFonts w:hint="eastAsia" w:ascii="方正小标宋简体" w:eastAsia="方正小标宋简体"/>
          <w:sz w:val="36"/>
          <w:szCs w:val="36"/>
        </w:rPr>
      </w:pPr>
    </w:p>
    <w:p w14:paraId="6826F6D5">
      <w:pPr>
        <w:ind w:firstLine="720"/>
        <w:rPr>
          <w:rFonts w:hint="eastAsia" w:ascii="方正小标宋简体" w:eastAsia="方正小标宋简体"/>
          <w:sz w:val="36"/>
          <w:szCs w:val="36"/>
        </w:rPr>
      </w:pPr>
    </w:p>
    <w:p w14:paraId="39D8437A">
      <w:pPr>
        <w:pStyle w:val="7"/>
        <w:ind w:firstLine="640"/>
        <w:rPr>
          <w:rFonts w:hint="eastAsia"/>
        </w:rPr>
      </w:pPr>
    </w:p>
    <w:p w14:paraId="38A1654E">
      <w:pPr>
        <w:ind w:firstLine="0" w:firstLineChars="0"/>
        <w:jc w:val="center"/>
        <w:rPr>
          <w:rFonts w:hint="eastAsia" w:ascii="方正小标宋简体" w:eastAsia="方正小标宋简体"/>
          <w:sz w:val="36"/>
          <w:szCs w:val="36"/>
        </w:rPr>
      </w:pPr>
    </w:p>
    <w:p w14:paraId="22B82DD7">
      <w:pPr>
        <w:ind w:firstLine="0" w:firstLineChars="0"/>
        <w:jc w:val="center"/>
        <w:rPr>
          <w:rFonts w:hint="eastAsia" w:ascii="方正小标宋简体" w:eastAsia="方正小标宋简体"/>
          <w:sz w:val="36"/>
          <w:szCs w:val="36"/>
        </w:rPr>
      </w:pPr>
    </w:p>
    <w:p w14:paraId="0EC3560B">
      <w:pPr>
        <w:ind w:firstLine="643"/>
        <w:rPr>
          <w:rFonts w:hint="eastAsia" w:asciiTheme="minorEastAsia" w:hAnsiTheme="minorEastAsia" w:eastAsiaTheme="minorEastAsia"/>
          <w:b/>
        </w:rPr>
      </w:pPr>
      <w:r>
        <w:rPr>
          <w:rFonts w:hint="eastAsia" w:asciiTheme="minorEastAsia" w:hAnsiTheme="minorEastAsia" w:eastAsiaTheme="minorEastAsia"/>
          <w:b/>
        </w:rPr>
        <w:br w:type="page"/>
      </w:r>
    </w:p>
    <w:sdt>
      <w:sdtPr>
        <w:rPr>
          <w:rFonts w:ascii="宋体" w:hAnsi="宋体" w:eastAsia="宋体"/>
          <w:sz w:val="21"/>
        </w:rPr>
        <w:id w:val="147467267"/>
        <w15:color w:val="DBDBDB"/>
        <w:docPartObj>
          <w:docPartGallery w:val="Table of Contents"/>
          <w:docPartUnique/>
        </w:docPartObj>
      </w:sdtPr>
      <w:sdtEndPr>
        <w:rPr>
          <w:rFonts w:ascii="宋体" w:hAnsi="宋体" w:eastAsia="宋体"/>
          <w:b/>
          <w:sz w:val="21"/>
        </w:rPr>
      </w:sdtEndPr>
      <w:sdtContent>
        <w:p w14:paraId="76C89BAA">
          <w:pPr>
            <w:ind w:firstLine="0" w:firstLineChars="0"/>
            <w:jc w:val="center"/>
            <w:outlineLvl w:val="1"/>
            <w:rPr>
              <w:rFonts w:hint="eastAsia"/>
            </w:rPr>
          </w:pPr>
          <w:bookmarkStart w:id="0" w:name="_Toc73"/>
          <w:bookmarkStart w:id="1" w:name="_Toc27631"/>
          <w:bookmarkStart w:id="2" w:name="_Toc10846"/>
          <w:bookmarkStart w:id="3" w:name="_Toc30467"/>
          <w:bookmarkStart w:id="4" w:name="_Toc18745"/>
          <w:r>
            <w:rPr>
              <w:rFonts w:ascii="宋体" w:hAnsi="宋体" w:eastAsia="宋体"/>
            </w:rPr>
            <w:t>目录</w:t>
          </w:r>
          <w:bookmarkEnd w:id="0"/>
          <w:bookmarkEnd w:id="1"/>
          <w:bookmarkEnd w:id="2"/>
          <w:bookmarkEnd w:id="3"/>
          <w:bookmarkEnd w:id="4"/>
        </w:p>
        <w:p w14:paraId="0908C764">
          <w:pPr>
            <w:pStyle w:val="14"/>
            <w:tabs>
              <w:tab w:val="right" w:leader="dot" w:pos="8306"/>
            </w:tabs>
            <w:ind w:firstLine="640"/>
            <w:rPr>
              <w:rFonts w:hint="eastAsia"/>
            </w:rPr>
          </w:pPr>
          <w:r>
            <w:rPr>
              <w:rFonts w:ascii="Calibri" w:hAnsi="Calibri" w:eastAsia="宋体" w:cs="Calibri"/>
              <w:kern w:val="0"/>
            </w:rPr>
            <w:fldChar w:fldCharType="begin"/>
          </w:r>
          <w:r>
            <w:instrText xml:space="preserve">TOC \o "1-2" \h \u </w:instrText>
          </w:r>
          <w:r>
            <w:rPr>
              <w:rFonts w:ascii="Calibri" w:hAnsi="Calibri" w:eastAsia="宋体" w:cs="Calibri"/>
              <w:kern w:val="0"/>
            </w:rPr>
            <w:fldChar w:fldCharType="separate"/>
          </w:r>
          <w:r>
            <w:fldChar w:fldCharType="begin"/>
          </w:r>
          <w:r>
            <w:instrText xml:space="preserve"> HYPERLINK \l "_Toc2912" </w:instrText>
          </w:r>
          <w:r>
            <w:fldChar w:fldCharType="separate"/>
          </w:r>
          <w:r>
            <w:rPr>
              <w:rFonts w:hint="eastAsia" w:ascii="Times New Roman" w:hAnsi="Times New Roman" w:eastAsia="黑体"/>
              <w:bCs/>
              <w:szCs w:val="36"/>
            </w:rPr>
            <w:t>第一章</w:t>
          </w:r>
          <w:r>
            <w:rPr>
              <w:rFonts w:hint="eastAsia" w:ascii="Times New Roman" w:hAnsi="Times New Roman" w:eastAsia="方正小标宋简体"/>
            </w:rPr>
            <w:t xml:space="preserve"> </w:t>
          </w:r>
          <w:r>
            <w:rPr>
              <w:rFonts w:hint="eastAsia" w:ascii="Times New Roman" w:hAnsi="Times New Roman" w:eastAsia="黑体"/>
              <w:bCs/>
              <w:szCs w:val="36"/>
            </w:rPr>
            <w:t>发展基础与发展环境</w:t>
          </w:r>
          <w:r>
            <w:tab/>
          </w:r>
          <w:r>
            <w:fldChar w:fldCharType="begin"/>
          </w:r>
          <w:r>
            <w:instrText xml:space="preserve"> PAGEREF _Toc2912 \h </w:instrText>
          </w:r>
          <w:r>
            <w:fldChar w:fldCharType="separate"/>
          </w:r>
          <w:r>
            <w:t>1</w:t>
          </w:r>
          <w:r>
            <w:fldChar w:fldCharType="end"/>
          </w:r>
          <w:r>
            <w:fldChar w:fldCharType="end"/>
          </w:r>
        </w:p>
        <w:p w14:paraId="30D5F9E8">
          <w:pPr>
            <w:pStyle w:val="16"/>
            <w:tabs>
              <w:tab w:val="right" w:leader="dot" w:pos="8306"/>
            </w:tabs>
            <w:ind w:left="640" w:firstLine="640"/>
            <w:rPr>
              <w:rFonts w:hint="eastAsia"/>
            </w:rPr>
          </w:pPr>
          <w:r>
            <w:fldChar w:fldCharType="begin"/>
          </w:r>
          <w:r>
            <w:instrText xml:space="preserve"> HYPERLINK \l "_Toc6327" </w:instrText>
          </w:r>
          <w:r>
            <w:fldChar w:fldCharType="separate"/>
          </w:r>
          <w:r>
            <w:rPr>
              <w:rFonts w:hint="eastAsia" w:ascii="Times New Roman" w:hAnsi="Times New Roman" w:eastAsia="楷体_GB2312"/>
            </w:rPr>
            <w:t>第一节“十四五”发展基础</w:t>
          </w:r>
          <w:r>
            <w:tab/>
          </w:r>
          <w:r>
            <w:fldChar w:fldCharType="begin"/>
          </w:r>
          <w:r>
            <w:instrText xml:space="preserve"> PAGEREF _Toc6327 \h </w:instrText>
          </w:r>
          <w:r>
            <w:fldChar w:fldCharType="separate"/>
          </w:r>
          <w:r>
            <w:t>1</w:t>
          </w:r>
          <w:r>
            <w:fldChar w:fldCharType="end"/>
          </w:r>
          <w:r>
            <w:fldChar w:fldCharType="end"/>
          </w:r>
        </w:p>
        <w:p w14:paraId="1BE10410">
          <w:pPr>
            <w:pStyle w:val="16"/>
            <w:tabs>
              <w:tab w:val="right" w:leader="dot" w:pos="8306"/>
            </w:tabs>
            <w:ind w:left="640" w:firstLine="640"/>
            <w:rPr>
              <w:rFonts w:hint="eastAsia"/>
            </w:rPr>
          </w:pPr>
          <w:r>
            <w:fldChar w:fldCharType="begin"/>
          </w:r>
          <w:r>
            <w:instrText xml:space="preserve"> HYPERLINK \l "_Toc23756" </w:instrText>
          </w:r>
          <w:r>
            <w:fldChar w:fldCharType="separate"/>
          </w:r>
          <w:r>
            <w:rPr>
              <w:rFonts w:hint="eastAsia" w:ascii="Times New Roman" w:hAnsi="Times New Roman" w:eastAsia="楷体_GB2312"/>
            </w:rPr>
            <w:t>第二节 发展优势及存在问题</w:t>
          </w:r>
          <w:r>
            <w:tab/>
          </w:r>
          <w:r>
            <w:fldChar w:fldCharType="begin"/>
          </w:r>
          <w:r>
            <w:instrText xml:space="preserve"> PAGEREF _Toc23756 \h </w:instrText>
          </w:r>
          <w:r>
            <w:fldChar w:fldCharType="separate"/>
          </w:r>
          <w:r>
            <w:t>6</w:t>
          </w:r>
          <w:r>
            <w:fldChar w:fldCharType="end"/>
          </w:r>
          <w:r>
            <w:fldChar w:fldCharType="end"/>
          </w:r>
        </w:p>
        <w:p w14:paraId="226597EE">
          <w:pPr>
            <w:pStyle w:val="16"/>
            <w:tabs>
              <w:tab w:val="right" w:leader="dot" w:pos="8306"/>
            </w:tabs>
            <w:ind w:left="640" w:firstLine="640"/>
            <w:rPr>
              <w:rFonts w:hint="eastAsia"/>
            </w:rPr>
          </w:pPr>
          <w:r>
            <w:fldChar w:fldCharType="begin"/>
          </w:r>
          <w:r>
            <w:instrText xml:space="preserve"> HYPERLINK \l "_Toc5302" </w:instrText>
          </w:r>
          <w:r>
            <w:fldChar w:fldCharType="separate"/>
          </w:r>
          <w:r>
            <w:rPr>
              <w:rFonts w:hint="eastAsia" w:ascii="Times New Roman" w:hAnsi="Times New Roman" w:eastAsia="楷体_GB2312"/>
            </w:rPr>
            <w:t>第三节“十五五”发展环境</w:t>
          </w:r>
          <w:r>
            <w:tab/>
          </w:r>
          <w:r>
            <w:fldChar w:fldCharType="begin"/>
          </w:r>
          <w:r>
            <w:instrText xml:space="preserve"> PAGEREF _Toc5302 \h </w:instrText>
          </w:r>
          <w:r>
            <w:fldChar w:fldCharType="separate"/>
          </w:r>
          <w:r>
            <w:t>11</w:t>
          </w:r>
          <w:r>
            <w:fldChar w:fldCharType="end"/>
          </w:r>
          <w:r>
            <w:fldChar w:fldCharType="end"/>
          </w:r>
        </w:p>
        <w:p w14:paraId="2E824F31">
          <w:pPr>
            <w:pStyle w:val="14"/>
            <w:tabs>
              <w:tab w:val="right" w:leader="dot" w:pos="8306"/>
            </w:tabs>
            <w:ind w:firstLine="640"/>
            <w:rPr>
              <w:rFonts w:hint="eastAsia"/>
            </w:rPr>
          </w:pPr>
          <w:r>
            <w:fldChar w:fldCharType="begin"/>
          </w:r>
          <w:r>
            <w:instrText xml:space="preserve"> HYPERLINK \l "_Toc18218" </w:instrText>
          </w:r>
          <w:r>
            <w:fldChar w:fldCharType="separate"/>
          </w:r>
          <w:r>
            <w:rPr>
              <w:rFonts w:hint="eastAsia" w:ascii="Times New Roman" w:hAnsi="Times New Roman" w:eastAsia="黑体"/>
              <w:bCs/>
              <w:szCs w:val="36"/>
            </w:rPr>
            <w:t>第二章</w:t>
          </w:r>
          <w:r>
            <w:rPr>
              <w:rFonts w:hint="eastAsia" w:ascii="Times New Roman" w:hAnsi="Times New Roman" w:eastAsia="方正小标宋简体"/>
            </w:rPr>
            <w:t xml:space="preserve"> </w:t>
          </w:r>
          <w:r>
            <w:rPr>
              <w:rFonts w:hint="eastAsia" w:ascii="Times New Roman" w:hAnsi="Times New Roman" w:eastAsia="黑体"/>
              <w:bCs/>
              <w:szCs w:val="36"/>
            </w:rPr>
            <w:t>“十五五”发展原则与定位</w:t>
          </w:r>
          <w:r>
            <w:tab/>
          </w:r>
          <w:r>
            <w:fldChar w:fldCharType="begin"/>
          </w:r>
          <w:r>
            <w:instrText xml:space="preserve"> PAGEREF _Toc18218 \h </w:instrText>
          </w:r>
          <w:r>
            <w:fldChar w:fldCharType="separate"/>
          </w:r>
          <w:r>
            <w:t>16</w:t>
          </w:r>
          <w:r>
            <w:fldChar w:fldCharType="end"/>
          </w:r>
          <w:r>
            <w:fldChar w:fldCharType="end"/>
          </w:r>
        </w:p>
        <w:p w14:paraId="5824DA73">
          <w:pPr>
            <w:pStyle w:val="16"/>
            <w:tabs>
              <w:tab w:val="right" w:leader="dot" w:pos="8306"/>
            </w:tabs>
            <w:ind w:left="640" w:firstLine="640"/>
            <w:rPr>
              <w:rFonts w:hint="eastAsia"/>
            </w:rPr>
          </w:pPr>
          <w:r>
            <w:fldChar w:fldCharType="begin"/>
          </w:r>
          <w:r>
            <w:instrText xml:space="preserve"> HYPERLINK \l "_Toc11559" </w:instrText>
          </w:r>
          <w:r>
            <w:fldChar w:fldCharType="separate"/>
          </w:r>
          <w:r>
            <w:rPr>
              <w:rFonts w:hint="eastAsia" w:ascii="Times New Roman" w:hAnsi="Times New Roman" w:eastAsia="楷体_GB2312"/>
            </w:rPr>
            <w:t>第一节 指导思想</w:t>
          </w:r>
          <w:r>
            <w:tab/>
          </w:r>
          <w:r>
            <w:fldChar w:fldCharType="begin"/>
          </w:r>
          <w:r>
            <w:instrText xml:space="preserve"> PAGEREF _Toc11559 \h </w:instrText>
          </w:r>
          <w:r>
            <w:fldChar w:fldCharType="separate"/>
          </w:r>
          <w:r>
            <w:t>16</w:t>
          </w:r>
          <w:r>
            <w:fldChar w:fldCharType="end"/>
          </w:r>
          <w:r>
            <w:fldChar w:fldCharType="end"/>
          </w:r>
        </w:p>
        <w:p w14:paraId="18DD4AD7">
          <w:pPr>
            <w:pStyle w:val="16"/>
            <w:tabs>
              <w:tab w:val="right" w:leader="dot" w:pos="8306"/>
            </w:tabs>
            <w:ind w:left="640" w:firstLine="640"/>
            <w:rPr>
              <w:rFonts w:hint="eastAsia"/>
            </w:rPr>
          </w:pPr>
          <w:r>
            <w:fldChar w:fldCharType="begin"/>
          </w:r>
          <w:r>
            <w:instrText xml:space="preserve"> HYPERLINK \l "_Toc8020" </w:instrText>
          </w:r>
          <w:r>
            <w:fldChar w:fldCharType="separate"/>
          </w:r>
          <w:r>
            <w:rPr>
              <w:rFonts w:hint="eastAsia" w:ascii="Times New Roman" w:hAnsi="Times New Roman" w:eastAsia="楷体_GB2312"/>
            </w:rPr>
            <w:t>第二节 战略定位</w:t>
          </w:r>
          <w:r>
            <w:rPr>
              <w:rFonts w:hint="eastAsia" w:ascii="Times New Roman" w:hAnsi="Times New Roman" w:eastAsia="楷体_GB2312"/>
              <w:lang w:val="en-US" w:eastAsia="zh-CN"/>
            </w:rPr>
            <w:t>和主要目标</w:t>
          </w:r>
          <w:r>
            <w:tab/>
          </w:r>
          <w:r>
            <w:fldChar w:fldCharType="begin"/>
          </w:r>
          <w:r>
            <w:instrText xml:space="preserve"> PAGEREF _Toc8020 \h </w:instrText>
          </w:r>
          <w:r>
            <w:fldChar w:fldCharType="separate"/>
          </w:r>
          <w:r>
            <w:t>17</w:t>
          </w:r>
          <w:r>
            <w:fldChar w:fldCharType="end"/>
          </w:r>
          <w:r>
            <w:fldChar w:fldCharType="end"/>
          </w:r>
        </w:p>
        <w:p w14:paraId="7C8CE482">
          <w:pPr>
            <w:pStyle w:val="16"/>
            <w:tabs>
              <w:tab w:val="right" w:leader="dot" w:pos="8306"/>
            </w:tabs>
            <w:ind w:left="640" w:firstLine="640"/>
            <w:rPr>
              <w:rFonts w:hint="eastAsia"/>
            </w:rPr>
          </w:pPr>
          <w:r>
            <w:fldChar w:fldCharType="begin"/>
          </w:r>
          <w:r>
            <w:instrText xml:space="preserve"> HYPERLINK \l "_Toc18385" </w:instrText>
          </w:r>
          <w:r>
            <w:fldChar w:fldCharType="separate"/>
          </w:r>
          <w:r>
            <w:rPr>
              <w:rFonts w:hint="eastAsia" w:ascii="Times New Roman" w:hAnsi="Times New Roman" w:eastAsia="楷体_GB2312"/>
            </w:rPr>
            <w:t xml:space="preserve">第三节 </w:t>
          </w:r>
          <w:r>
            <w:rPr>
              <w:rFonts w:hint="eastAsia" w:ascii="Times New Roman" w:hAnsi="Times New Roman" w:eastAsia="楷体_GB2312"/>
              <w:lang w:val="en-US" w:eastAsia="zh-CN"/>
            </w:rPr>
            <w:t>空间布局</w:t>
          </w:r>
          <w:r>
            <w:tab/>
          </w:r>
          <w:r>
            <w:rPr>
              <w:rFonts w:hint="eastAsia"/>
              <w:lang w:val="en-US" w:eastAsia="zh-CN"/>
            </w:rPr>
            <w:t>22</w:t>
          </w:r>
          <w:r>
            <w:fldChar w:fldCharType="end"/>
          </w:r>
        </w:p>
        <w:p w14:paraId="4427373A">
          <w:pPr>
            <w:pStyle w:val="14"/>
            <w:tabs>
              <w:tab w:val="right" w:leader="dot" w:pos="8306"/>
            </w:tabs>
            <w:ind w:firstLine="640"/>
            <w:rPr>
              <w:rFonts w:hint="eastAsia"/>
            </w:rPr>
          </w:pPr>
          <w:r>
            <w:fldChar w:fldCharType="begin"/>
          </w:r>
          <w:r>
            <w:instrText xml:space="preserve"> HYPERLINK \l "_Toc20222" </w:instrText>
          </w:r>
          <w:r>
            <w:fldChar w:fldCharType="separate"/>
          </w:r>
          <w:r>
            <w:rPr>
              <w:rFonts w:hint="eastAsia" w:ascii="Times New Roman" w:hAnsi="Times New Roman" w:eastAsia="黑体" w:cs="Times New Roman"/>
              <w:bCs/>
              <w:szCs w:val="36"/>
            </w:rPr>
            <w:t>第三章</w:t>
          </w:r>
          <w:r>
            <w:rPr>
              <w:rFonts w:hint="eastAsia"/>
              <w:bCs/>
              <w:kern w:val="36"/>
            </w:rPr>
            <w:t xml:space="preserve"> </w:t>
          </w:r>
          <w:r>
            <w:rPr>
              <w:rFonts w:hint="eastAsia" w:ascii="Times New Roman" w:hAnsi="Times New Roman" w:eastAsia="黑体" w:cs="Times New Roman"/>
              <w:bCs/>
              <w:szCs w:val="36"/>
            </w:rPr>
            <w:t>构建特色优势现代化产业体系</w:t>
          </w:r>
          <w:r>
            <w:tab/>
          </w:r>
          <w:r>
            <w:fldChar w:fldCharType="begin"/>
          </w:r>
          <w:r>
            <w:instrText xml:space="preserve"> PAGEREF _Toc20222 \h </w:instrText>
          </w:r>
          <w:r>
            <w:fldChar w:fldCharType="separate"/>
          </w:r>
          <w:r>
            <w:t>22</w:t>
          </w:r>
          <w:r>
            <w:fldChar w:fldCharType="end"/>
          </w:r>
          <w:r>
            <w:fldChar w:fldCharType="end"/>
          </w:r>
        </w:p>
        <w:p w14:paraId="2F7E8A68">
          <w:pPr>
            <w:pStyle w:val="16"/>
            <w:tabs>
              <w:tab w:val="right" w:leader="dot" w:pos="8306"/>
            </w:tabs>
            <w:ind w:left="640" w:firstLine="640"/>
            <w:rPr>
              <w:rFonts w:hint="eastAsia"/>
            </w:rPr>
          </w:pPr>
          <w:r>
            <w:fldChar w:fldCharType="begin"/>
          </w:r>
          <w:r>
            <w:instrText xml:space="preserve"> HYPERLINK \l "_Toc32378" </w:instrText>
          </w:r>
          <w:r>
            <w:fldChar w:fldCharType="separate"/>
          </w:r>
          <w:r>
            <w:rPr>
              <w:rFonts w:hint="eastAsia" w:ascii="Times New Roman" w:hAnsi="Times New Roman" w:eastAsia="楷体_GB2312"/>
              <w:bCs/>
            </w:rPr>
            <w:t>第一节 高起点布局精细化工 带动新兴产业发展</w:t>
          </w:r>
          <w:r>
            <w:tab/>
          </w:r>
          <w:r>
            <w:fldChar w:fldCharType="begin"/>
          </w:r>
          <w:r>
            <w:instrText xml:space="preserve"> PAGEREF _Toc32378 \h </w:instrText>
          </w:r>
          <w:r>
            <w:fldChar w:fldCharType="separate"/>
          </w:r>
          <w:r>
            <w:t>22</w:t>
          </w:r>
          <w:r>
            <w:fldChar w:fldCharType="end"/>
          </w:r>
          <w:r>
            <w:fldChar w:fldCharType="end"/>
          </w:r>
        </w:p>
        <w:p w14:paraId="2490858F">
          <w:pPr>
            <w:pStyle w:val="16"/>
            <w:tabs>
              <w:tab w:val="right" w:leader="dot" w:pos="8306"/>
            </w:tabs>
            <w:ind w:left="640" w:firstLine="640"/>
            <w:rPr>
              <w:rFonts w:hint="eastAsia"/>
            </w:rPr>
          </w:pPr>
          <w:r>
            <w:fldChar w:fldCharType="begin"/>
          </w:r>
          <w:r>
            <w:instrText xml:space="preserve"> HYPERLINK \l "_Toc3122" </w:instrText>
          </w:r>
          <w:r>
            <w:fldChar w:fldCharType="separate"/>
          </w:r>
          <w:r>
            <w:rPr>
              <w:rFonts w:hint="eastAsia" w:ascii="Times New Roman" w:hAnsi="Times New Roman" w:eastAsia="楷体_GB2312"/>
              <w:bCs/>
            </w:rPr>
            <w:t>第二节 提效挖潜陶瓷产业 引领传统产业升级</w:t>
          </w:r>
          <w:r>
            <w:tab/>
          </w:r>
          <w:r>
            <w:fldChar w:fldCharType="begin"/>
          </w:r>
          <w:r>
            <w:instrText xml:space="preserve"> PAGEREF _Toc3122 \h </w:instrText>
          </w:r>
          <w:r>
            <w:fldChar w:fldCharType="separate"/>
          </w:r>
          <w:r>
            <w:t>25</w:t>
          </w:r>
          <w:r>
            <w:fldChar w:fldCharType="end"/>
          </w:r>
          <w:r>
            <w:fldChar w:fldCharType="end"/>
          </w:r>
        </w:p>
        <w:p w14:paraId="57608741">
          <w:pPr>
            <w:pStyle w:val="16"/>
            <w:tabs>
              <w:tab w:val="right" w:leader="dot" w:pos="8306"/>
            </w:tabs>
            <w:ind w:left="640" w:firstLine="640"/>
            <w:rPr>
              <w:rFonts w:hint="eastAsia"/>
            </w:rPr>
          </w:pPr>
          <w:r>
            <w:fldChar w:fldCharType="begin"/>
          </w:r>
          <w:r>
            <w:instrText xml:space="preserve"> HYPERLINK \l "_Toc3314" </w:instrText>
          </w:r>
          <w:r>
            <w:fldChar w:fldCharType="separate"/>
          </w:r>
          <w:r>
            <w:rPr>
              <w:rFonts w:hint="eastAsia" w:ascii="Times New Roman" w:hAnsi="Times New Roman" w:eastAsia="楷体_GB2312"/>
              <w:bCs/>
            </w:rPr>
            <w:t>第三节 提炼资源禀赋  促进加工制造业多元发展</w:t>
          </w:r>
          <w:r>
            <w:tab/>
          </w:r>
          <w:r>
            <w:fldChar w:fldCharType="begin"/>
          </w:r>
          <w:r>
            <w:instrText xml:space="preserve"> PAGEREF _Toc3314 \h </w:instrText>
          </w:r>
          <w:r>
            <w:fldChar w:fldCharType="separate"/>
          </w:r>
          <w:r>
            <w:t>29</w:t>
          </w:r>
          <w:r>
            <w:fldChar w:fldCharType="end"/>
          </w:r>
          <w:r>
            <w:fldChar w:fldCharType="end"/>
          </w:r>
        </w:p>
        <w:p w14:paraId="2D31AD52">
          <w:pPr>
            <w:pStyle w:val="16"/>
            <w:tabs>
              <w:tab w:val="right" w:leader="dot" w:pos="8306"/>
            </w:tabs>
            <w:ind w:left="640" w:firstLine="640"/>
            <w:rPr>
              <w:rFonts w:hint="eastAsia"/>
            </w:rPr>
          </w:pPr>
          <w:r>
            <w:fldChar w:fldCharType="begin"/>
          </w:r>
          <w:r>
            <w:instrText xml:space="preserve"> HYPERLINK \l "_Toc18098" </w:instrText>
          </w:r>
          <w:r>
            <w:fldChar w:fldCharType="separate"/>
          </w:r>
          <w:r>
            <w:rPr>
              <w:rFonts w:ascii="Times New Roman" w:hAnsi="Times New Roman" w:eastAsia="楷体_GB2312"/>
              <w:bCs/>
            </w:rPr>
            <w:t>第</w:t>
          </w:r>
          <w:r>
            <w:rPr>
              <w:rFonts w:hint="eastAsia" w:ascii="Times New Roman" w:hAnsi="Times New Roman" w:eastAsia="楷体_GB2312"/>
              <w:bCs/>
            </w:rPr>
            <w:t>四</w:t>
          </w:r>
          <w:r>
            <w:rPr>
              <w:rFonts w:ascii="Times New Roman" w:hAnsi="Times New Roman" w:eastAsia="楷体_GB2312"/>
              <w:bCs/>
            </w:rPr>
            <w:t xml:space="preserve">节 </w:t>
          </w:r>
          <w:r>
            <w:rPr>
              <w:rFonts w:hint="eastAsia" w:ascii="Times New Roman" w:hAnsi="Times New Roman" w:eastAsia="楷体_GB2312"/>
              <w:bCs/>
            </w:rPr>
            <w:t>加强产业协同  推动产业集聚集群</w:t>
          </w:r>
          <w:r>
            <w:tab/>
          </w:r>
          <w:r>
            <w:fldChar w:fldCharType="begin"/>
          </w:r>
          <w:r>
            <w:instrText xml:space="preserve"> PAGEREF _Toc18098 \h </w:instrText>
          </w:r>
          <w:r>
            <w:fldChar w:fldCharType="separate"/>
          </w:r>
          <w:r>
            <w:t>31</w:t>
          </w:r>
          <w:r>
            <w:fldChar w:fldCharType="end"/>
          </w:r>
          <w:r>
            <w:fldChar w:fldCharType="end"/>
          </w:r>
        </w:p>
        <w:p w14:paraId="65D2DB0F">
          <w:pPr>
            <w:pStyle w:val="16"/>
            <w:tabs>
              <w:tab w:val="right" w:leader="dot" w:pos="8306"/>
            </w:tabs>
            <w:ind w:left="640" w:firstLine="640"/>
            <w:rPr>
              <w:rFonts w:hint="eastAsia"/>
            </w:rPr>
          </w:pPr>
          <w:r>
            <w:fldChar w:fldCharType="begin"/>
          </w:r>
          <w:r>
            <w:instrText xml:space="preserve"> HYPERLINK \l "_Toc7432" </w:instrText>
          </w:r>
          <w:r>
            <w:fldChar w:fldCharType="separate"/>
          </w:r>
          <w:r>
            <w:rPr>
              <w:rFonts w:hint="eastAsia" w:ascii="Times New Roman" w:hAnsi="Times New Roman" w:eastAsia="楷体_GB2312"/>
              <w:spacing w:val="-6"/>
            </w:rPr>
            <w:t>第五节 完善产业生态   新思维推进招商引资</w:t>
          </w:r>
          <w:r>
            <w:tab/>
          </w:r>
          <w:r>
            <w:fldChar w:fldCharType="begin"/>
          </w:r>
          <w:r>
            <w:instrText xml:space="preserve"> PAGEREF _Toc7432 \h </w:instrText>
          </w:r>
          <w:r>
            <w:fldChar w:fldCharType="separate"/>
          </w:r>
          <w:r>
            <w:t>33</w:t>
          </w:r>
          <w:r>
            <w:fldChar w:fldCharType="end"/>
          </w:r>
          <w:r>
            <w:fldChar w:fldCharType="end"/>
          </w:r>
        </w:p>
        <w:p w14:paraId="652AB819">
          <w:pPr>
            <w:keepNext w:val="0"/>
            <w:keepLines w:val="0"/>
            <w:pageBreakBefore w:val="0"/>
            <w:widowControl w:val="0"/>
            <w:tabs>
              <w:tab w:val="right" w:leader="middleDot" w:pos="8295"/>
              <w:tab w:val="right" w:leader="middleDot" w:pos="8400"/>
              <w:tab w:val="right" w:leader="middleDot" w:pos="8610"/>
            </w:tabs>
            <w:kinsoku/>
            <w:wordWrap/>
            <w:overflowPunct/>
            <w:topLinePunct w:val="0"/>
            <w:autoSpaceDE/>
            <w:autoSpaceDN/>
            <w:bidi w:val="0"/>
            <w:adjustRightInd/>
            <w:snapToGrid/>
            <w:ind w:firstLine="1280" w:firstLineChars="400"/>
            <w:textAlignment w:val="auto"/>
            <w:rPr>
              <w:rFonts w:hint="eastAsia"/>
            </w:rPr>
          </w:pPr>
          <w:r>
            <w:fldChar w:fldCharType="begin"/>
          </w:r>
          <w:r>
            <w:instrText xml:space="preserve"> HYPERLINK \l "_Toc7432" </w:instrText>
          </w:r>
          <w:r>
            <w:fldChar w:fldCharType="separate"/>
          </w:r>
          <w:r>
            <w:rPr>
              <w:rFonts w:hint="eastAsia" w:ascii="Times New Roman" w:hAnsi="Times New Roman" w:eastAsia="楷体_GB2312"/>
              <w:spacing w:val="-6"/>
            </w:rPr>
            <w:t>第六节 赋能平台公司   助力产业综合服务</w:t>
          </w:r>
          <w:r>
            <w:rPr>
              <w:rFonts w:hint="eastAsia" w:ascii="Times New Roman" w:hAnsi="Times New Roman" w:eastAsia="楷体_GB2312"/>
              <w:spacing w:val="-6"/>
              <w:lang w:val="en-US" w:eastAsia="zh-CN"/>
            </w:rPr>
            <w:tab/>
          </w:r>
          <w:r>
            <w:fldChar w:fldCharType="end"/>
          </w:r>
          <w:r>
            <w:rPr>
              <w:rFonts w:hint="eastAsia"/>
            </w:rPr>
            <w:t>40</w:t>
          </w:r>
        </w:p>
        <w:p w14:paraId="32E57545">
          <w:pPr>
            <w:pStyle w:val="14"/>
            <w:tabs>
              <w:tab w:val="right" w:leader="dot" w:pos="8306"/>
            </w:tabs>
            <w:ind w:firstLine="640"/>
            <w:rPr>
              <w:rFonts w:hint="eastAsia"/>
            </w:rPr>
          </w:pPr>
          <w:r>
            <w:fldChar w:fldCharType="begin"/>
          </w:r>
          <w:r>
            <w:instrText xml:space="preserve"> HYPERLINK \l "_Toc31718" </w:instrText>
          </w:r>
          <w:r>
            <w:fldChar w:fldCharType="separate"/>
          </w:r>
          <w:r>
            <w:rPr>
              <w:rFonts w:hint="eastAsia" w:ascii="Times New Roman" w:hAnsi="Times New Roman" w:eastAsia="黑体"/>
              <w:bCs/>
              <w:szCs w:val="36"/>
            </w:rPr>
            <w:t>第四章 因地制宜发展新质生产力  科技创新引领产业创新</w:t>
          </w:r>
          <w:r>
            <w:tab/>
          </w:r>
          <w:r>
            <w:fldChar w:fldCharType="begin"/>
          </w:r>
          <w:r>
            <w:instrText xml:space="preserve"> PAGEREF _Toc31718 \h </w:instrText>
          </w:r>
          <w:r>
            <w:fldChar w:fldCharType="separate"/>
          </w:r>
          <w:r>
            <w:t>37</w:t>
          </w:r>
          <w:r>
            <w:fldChar w:fldCharType="end"/>
          </w:r>
          <w:r>
            <w:fldChar w:fldCharType="end"/>
          </w:r>
        </w:p>
        <w:p w14:paraId="27D097E8">
          <w:pPr>
            <w:pStyle w:val="16"/>
            <w:tabs>
              <w:tab w:val="right" w:leader="dot" w:pos="8306"/>
            </w:tabs>
            <w:ind w:left="640" w:firstLine="640"/>
            <w:rPr>
              <w:rFonts w:hint="eastAsia"/>
            </w:rPr>
          </w:pPr>
          <w:r>
            <w:fldChar w:fldCharType="begin"/>
          </w:r>
          <w:r>
            <w:instrText xml:space="preserve"> HYPERLINK \l "_Toc18081" </w:instrText>
          </w:r>
          <w:r>
            <w:fldChar w:fldCharType="separate"/>
          </w:r>
          <w:r>
            <w:rPr>
              <w:rFonts w:hint="eastAsia" w:ascii="Times New Roman" w:hAnsi="Times New Roman" w:eastAsia="楷体_GB2312"/>
            </w:rPr>
            <w:t>第一节  坚持科技创新引领产业创新</w:t>
          </w:r>
          <w:r>
            <w:tab/>
          </w:r>
          <w:r>
            <w:fldChar w:fldCharType="begin"/>
          </w:r>
          <w:r>
            <w:instrText xml:space="preserve"> PAGEREF _Toc18081 \h </w:instrText>
          </w:r>
          <w:r>
            <w:fldChar w:fldCharType="separate"/>
          </w:r>
          <w:r>
            <w:t>37</w:t>
          </w:r>
          <w:r>
            <w:fldChar w:fldCharType="end"/>
          </w:r>
          <w:r>
            <w:fldChar w:fldCharType="end"/>
          </w:r>
        </w:p>
        <w:p w14:paraId="08606FD5">
          <w:pPr>
            <w:pStyle w:val="16"/>
            <w:tabs>
              <w:tab w:val="right" w:leader="dot" w:pos="8306"/>
            </w:tabs>
            <w:ind w:left="640" w:firstLine="640"/>
            <w:rPr>
              <w:rFonts w:hint="eastAsia"/>
            </w:rPr>
          </w:pPr>
          <w:r>
            <w:fldChar w:fldCharType="begin"/>
          </w:r>
          <w:r>
            <w:instrText xml:space="preserve"> HYPERLINK \l "_Toc18850" </w:instrText>
          </w:r>
          <w:r>
            <w:fldChar w:fldCharType="separate"/>
          </w:r>
          <w:r>
            <w:rPr>
              <w:rFonts w:hint="eastAsia" w:ascii="Times New Roman" w:hAnsi="Times New Roman" w:eastAsia="楷体_GB2312"/>
            </w:rPr>
            <w:t>第二节  围绕主导产业建设高能级创新平台</w:t>
          </w:r>
          <w:r>
            <w:tab/>
          </w:r>
          <w:r>
            <w:fldChar w:fldCharType="begin"/>
          </w:r>
          <w:r>
            <w:instrText xml:space="preserve"> PAGEREF _Toc18850 \h </w:instrText>
          </w:r>
          <w:r>
            <w:fldChar w:fldCharType="separate"/>
          </w:r>
          <w:r>
            <w:t>38</w:t>
          </w:r>
          <w:r>
            <w:fldChar w:fldCharType="end"/>
          </w:r>
          <w:r>
            <w:fldChar w:fldCharType="end"/>
          </w:r>
        </w:p>
        <w:p w14:paraId="76AEFBF8">
          <w:pPr>
            <w:pStyle w:val="16"/>
            <w:tabs>
              <w:tab w:val="right" w:leader="dot" w:pos="8306"/>
            </w:tabs>
            <w:ind w:left="640" w:firstLine="640"/>
            <w:rPr>
              <w:rFonts w:hint="eastAsia"/>
            </w:rPr>
          </w:pPr>
          <w:r>
            <w:fldChar w:fldCharType="begin"/>
          </w:r>
          <w:r>
            <w:instrText xml:space="preserve"> HYPERLINK \l "_Toc2935" </w:instrText>
          </w:r>
          <w:r>
            <w:fldChar w:fldCharType="separate"/>
          </w:r>
          <w:r>
            <w:rPr>
              <w:rFonts w:ascii="Times New Roman" w:hAnsi="Times New Roman" w:eastAsia="楷体_GB2312"/>
              <w:spacing w:val="-6"/>
            </w:rPr>
            <w:t>第</w:t>
          </w:r>
          <w:r>
            <w:rPr>
              <w:rFonts w:hint="eastAsia" w:ascii="Times New Roman" w:hAnsi="Times New Roman" w:eastAsia="楷体_GB2312"/>
              <w:spacing w:val="-6"/>
            </w:rPr>
            <w:t>三</w:t>
          </w:r>
          <w:r>
            <w:rPr>
              <w:rFonts w:ascii="Times New Roman" w:hAnsi="Times New Roman" w:eastAsia="楷体_GB2312"/>
              <w:spacing w:val="-6"/>
            </w:rPr>
            <w:t xml:space="preserve">节 </w:t>
          </w:r>
          <w:r>
            <w:rPr>
              <w:rFonts w:hint="eastAsia" w:ascii="Times New Roman" w:hAnsi="Times New Roman" w:eastAsia="楷体_GB2312"/>
              <w:spacing w:val="-6"/>
              <w:lang w:val="en-US" w:eastAsia="zh-CN"/>
            </w:rPr>
            <w:t xml:space="preserve"> </w:t>
          </w:r>
          <w:r>
            <w:rPr>
              <w:rFonts w:ascii="Times New Roman" w:hAnsi="Times New Roman" w:eastAsia="楷体_GB2312"/>
              <w:spacing w:val="-6"/>
            </w:rPr>
            <w:t>一体</w:t>
          </w:r>
          <w:r>
            <w:rPr>
              <w:rFonts w:hint="eastAsia" w:ascii="Times New Roman" w:hAnsi="Times New Roman" w:eastAsia="楷体_GB2312"/>
              <w:spacing w:val="-6"/>
            </w:rPr>
            <w:t>化</w:t>
          </w:r>
          <w:r>
            <w:rPr>
              <w:rFonts w:ascii="Times New Roman" w:hAnsi="Times New Roman" w:eastAsia="楷体_GB2312"/>
              <w:spacing w:val="-6"/>
            </w:rPr>
            <w:t>推进教育科技人才高质量发展</w:t>
          </w:r>
          <w:r>
            <w:tab/>
          </w:r>
          <w:r>
            <w:fldChar w:fldCharType="begin"/>
          </w:r>
          <w:r>
            <w:instrText xml:space="preserve"> PAGEREF _Toc2935 \h </w:instrText>
          </w:r>
          <w:r>
            <w:fldChar w:fldCharType="separate"/>
          </w:r>
          <w:r>
            <w:t>40</w:t>
          </w:r>
          <w:r>
            <w:fldChar w:fldCharType="end"/>
          </w:r>
          <w:r>
            <w:fldChar w:fldCharType="end"/>
          </w:r>
        </w:p>
        <w:p w14:paraId="32053EC6">
          <w:pPr>
            <w:pStyle w:val="16"/>
            <w:tabs>
              <w:tab w:val="right" w:leader="dot" w:pos="8306"/>
            </w:tabs>
            <w:ind w:left="640" w:firstLine="640"/>
            <w:rPr>
              <w:rFonts w:hint="eastAsia"/>
            </w:rPr>
          </w:pPr>
          <w:r>
            <w:fldChar w:fldCharType="begin"/>
          </w:r>
          <w:r>
            <w:instrText xml:space="preserve"> HYPERLINK \l "_Toc18460" </w:instrText>
          </w:r>
          <w:r>
            <w:fldChar w:fldCharType="separate"/>
          </w:r>
          <w:r>
            <w:rPr>
              <w:rFonts w:hint="eastAsia" w:ascii="Times New Roman" w:hAnsi="Times New Roman" w:eastAsia="楷体_GB2312"/>
              <w:spacing w:val="-6"/>
            </w:rPr>
            <w:t xml:space="preserve">第四节  </w:t>
          </w:r>
          <w:r>
            <w:rPr>
              <w:rFonts w:ascii="Times New Roman" w:hAnsi="Times New Roman" w:eastAsia="楷体_GB2312"/>
              <w:spacing w:val="-6"/>
            </w:rPr>
            <w:t>促进数实深度融合发展</w:t>
          </w:r>
          <w:r>
            <w:tab/>
          </w:r>
          <w:r>
            <w:fldChar w:fldCharType="begin"/>
          </w:r>
          <w:r>
            <w:instrText xml:space="preserve"> PAGEREF _Toc18460 \h </w:instrText>
          </w:r>
          <w:r>
            <w:fldChar w:fldCharType="separate"/>
          </w:r>
          <w:r>
            <w:t>41</w:t>
          </w:r>
          <w:r>
            <w:fldChar w:fldCharType="end"/>
          </w:r>
          <w:r>
            <w:fldChar w:fldCharType="end"/>
          </w:r>
        </w:p>
        <w:p w14:paraId="0E45F824">
          <w:pPr>
            <w:pStyle w:val="14"/>
            <w:tabs>
              <w:tab w:val="right" w:leader="dot" w:pos="8306"/>
            </w:tabs>
            <w:ind w:firstLine="640"/>
            <w:rPr>
              <w:rFonts w:hint="eastAsia"/>
            </w:rPr>
          </w:pPr>
          <w:r>
            <w:fldChar w:fldCharType="begin"/>
          </w:r>
          <w:r>
            <w:instrText xml:space="preserve"> HYPERLINK \l "_Toc9134" </w:instrText>
          </w:r>
          <w:r>
            <w:fldChar w:fldCharType="separate"/>
          </w:r>
          <w:r>
            <w:rPr>
              <w:rFonts w:hint="eastAsia" w:ascii="Times New Roman" w:hAnsi="Times New Roman" w:eastAsia="黑体"/>
              <w:bCs/>
              <w:szCs w:val="36"/>
            </w:rPr>
            <w:t>第五章  推动绿色发展，促进资源高效利用</w:t>
          </w:r>
          <w:r>
            <w:tab/>
          </w:r>
          <w:r>
            <w:fldChar w:fldCharType="begin"/>
          </w:r>
          <w:r>
            <w:instrText xml:space="preserve"> PAGEREF _Toc9134 \h </w:instrText>
          </w:r>
          <w:r>
            <w:fldChar w:fldCharType="separate"/>
          </w:r>
          <w:r>
            <w:t>44</w:t>
          </w:r>
          <w:r>
            <w:fldChar w:fldCharType="end"/>
          </w:r>
          <w:r>
            <w:fldChar w:fldCharType="end"/>
          </w:r>
        </w:p>
        <w:p w14:paraId="2D4D3820">
          <w:pPr>
            <w:pStyle w:val="16"/>
            <w:tabs>
              <w:tab w:val="right" w:leader="dot" w:pos="8306"/>
            </w:tabs>
            <w:ind w:left="640" w:firstLine="640"/>
            <w:rPr>
              <w:rFonts w:hint="eastAsia"/>
            </w:rPr>
          </w:pPr>
          <w:r>
            <w:fldChar w:fldCharType="begin"/>
          </w:r>
          <w:r>
            <w:instrText xml:space="preserve"> HYPERLINK \l "_Toc21672" </w:instrText>
          </w:r>
          <w:r>
            <w:fldChar w:fldCharType="separate"/>
          </w:r>
          <w:r>
            <w:rPr>
              <w:rFonts w:ascii="Times New Roman" w:hAnsi="Times New Roman" w:eastAsia="楷体_GB2312"/>
              <w:spacing w:val="-6"/>
            </w:rPr>
            <w:t xml:space="preserve">第一节  </w:t>
          </w:r>
          <w:r>
            <w:rPr>
              <w:rFonts w:hint="eastAsia" w:ascii="Times New Roman" w:hAnsi="Times New Roman" w:eastAsia="楷体_GB2312"/>
              <w:spacing w:val="-6"/>
            </w:rPr>
            <w:t>有序实施节能降碳</w:t>
          </w:r>
          <w:r>
            <w:tab/>
          </w:r>
          <w:r>
            <w:fldChar w:fldCharType="begin"/>
          </w:r>
          <w:r>
            <w:instrText xml:space="preserve"> PAGEREF _Toc21672 \h </w:instrText>
          </w:r>
          <w:r>
            <w:fldChar w:fldCharType="separate"/>
          </w:r>
          <w:r>
            <w:t>44</w:t>
          </w:r>
          <w:r>
            <w:fldChar w:fldCharType="end"/>
          </w:r>
          <w:r>
            <w:fldChar w:fldCharType="end"/>
          </w:r>
        </w:p>
        <w:p w14:paraId="066EDC33">
          <w:pPr>
            <w:pStyle w:val="16"/>
            <w:tabs>
              <w:tab w:val="right" w:leader="dot" w:pos="8306"/>
            </w:tabs>
            <w:ind w:left="640" w:firstLine="640"/>
            <w:rPr>
              <w:rFonts w:hint="eastAsia"/>
            </w:rPr>
          </w:pPr>
          <w:r>
            <w:fldChar w:fldCharType="begin"/>
          </w:r>
          <w:r>
            <w:instrText xml:space="preserve"> HYPERLINK \l "_Toc19995" </w:instrText>
          </w:r>
          <w:r>
            <w:fldChar w:fldCharType="separate"/>
          </w:r>
          <w:r>
            <w:rPr>
              <w:rFonts w:ascii="Times New Roman" w:hAnsi="Times New Roman" w:eastAsia="楷体_GB2312"/>
              <w:spacing w:val="-6"/>
            </w:rPr>
            <w:t>第</w:t>
          </w:r>
          <w:r>
            <w:rPr>
              <w:rFonts w:hint="eastAsia" w:ascii="Times New Roman" w:hAnsi="Times New Roman" w:eastAsia="楷体_GB2312"/>
              <w:spacing w:val="-6"/>
            </w:rPr>
            <w:t>二节</w:t>
          </w:r>
          <w:r>
            <w:rPr>
              <w:rFonts w:ascii="Times New Roman" w:hAnsi="Times New Roman" w:eastAsia="楷体_GB2312"/>
              <w:spacing w:val="-6"/>
            </w:rPr>
            <w:t xml:space="preserve"> </w:t>
          </w:r>
          <w:r>
            <w:rPr>
              <w:rFonts w:hint="eastAsia" w:ascii="Times New Roman" w:hAnsi="Times New Roman" w:eastAsia="楷体_GB2312"/>
              <w:spacing w:val="-6"/>
              <w:lang w:val="en-US" w:eastAsia="zh-CN"/>
            </w:rPr>
            <w:t xml:space="preserve"> </w:t>
          </w:r>
          <w:r>
            <w:rPr>
              <w:rFonts w:hint="eastAsia" w:ascii="Times New Roman" w:hAnsi="Times New Roman" w:eastAsia="楷体_GB2312"/>
              <w:spacing w:val="-6"/>
            </w:rPr>
            <w:t>加强水</w:t>
          </w:r>
          <w:r>
            <w:rPr>
              <w:rFonts w:ascii="Times New Roman" w:hAnsi="Times New Roman" w:eastAsia="楷体_GB2312"/>
              <w:spacing w:val="-6"/>
            </w:rPr>
            <w:t>资源节约利用</w:t>
          </w:r>
          <w:r>
            <w:tab/>
          </w:r>
          <w:r>
            <w:fldChar w:fldCharType="begin"/>
          </w:r>
          <w:r>
            <w:instrText xml:space="preserve"> PAGEREF _Toc19995 \h </w:instrText>
          </w:r>
          <w:r>
            <w:fldChar w:fldCharType="separate"/>
          </w:r>
          <w:r>
            <w:t>46</w:t>
          </w:r>
          <w:r>
            <w:fldChar w:fldCharType="end"/>
          </w:r>
          <w:r>
            <w:fldChar w:fldCharType="end"/>
          </w:r>
        </w:p>
        <w:p w14:paraId="66024952">
          <w:pPr>
            <w:pStyle w:val="16"/>
            <w:tabs>
              <w:tab w:val="right" w:leader="dot" w:pos="8306"/>
            </w:tabs>
            <w:ind w:left="640" w:firstLine="640"/>
            <w:rPr>
              <w:rFonts w:hint="eastAsia"/>
            </w:rPr>
          </w:pPr>
          <w:r>
            <w:fldChar w:fldCharType="begin"/>
          </w:r>
          <w:r>
            <w:instrText xml:space="preserve"> HYPERLINK \l "_Toc30282" </w:instrText>
          </w:r>
          <w:r>
            <w:fldChar w:fldCharType="separate"/>
          </w:r>
          <w:r>
            <w:rPr>
              <w:rFonts w:ascii="Times New Roman" w:hAnsi="Times New Roman" w:eastAsia="楷体_GB2312"/>
              <w:spacing w:val="-6"/>
            </w:rPr>
            <w:t>第</w:t>
          </w:r>
          <w:r>
            <w:rPr>
              <w:rFonts w:hint="eastAsia" w:ascii="Times New Roman" w:hAnsi="Times New Roman" w:eastAsia="楷体_GB2312"/>
              <w:spacing w:val="-6"/>
            </w:rPr>
            <w:t>三</w:t>
          </w:r>
          <w:r>
            <w:rPr>
              <w:rFonts w:ascii="Times New Roman" w:hAnsi="Times New Roman" w:eastAsia="楷体_GB2312"/>
              <w:spacing w:val="-6"/>
            </w:rPr>
            <w:t>节  强化污染防治</w:t>
          </w:r>
          <w:r>
            <w:tab/>
          </w:r>
          <w:r>
            <w:fldChar w:fldCharType="begin"/>
          </w:r>
          <w:r>
            <w:instrText xml:space="preserve"> PAGEREF _Toc30282 \h </w:instrText>
          </w:r>
          <w:r>
            <w:fldChar w:fldCharType="separate"/>
          </w:r>
          <w:r>
            <w:t>48</w:t>
          </w:r>
          <w:r>
            <w:fldChar w:fldCharType="end"/>
          </w:r>
          <w:r>
            <w:fldChar w:fldCharType="end"/>
          </w:r>
        </w:p>
        <w:p w14:paraId="00C3C2DB">
          <w:pPr>
            <w:pStyle w:val="14"/>
            <w:tabs>
              <w:tab w:val="right" w:leader="dot" w:pos="8306"/>
            </w:tabs>
            <w:ind w:firstLine="640"/>
            <w:rPr>
              <w:rFonts w:hint="eastAsia"/>
            </w:rPr>
          </w:pPr>
          <w:r>
            <w:fldChar w:fldCharType="begin"/>
          </w:r>
          <w:r>
            <w:instrText xml:space="preserve"> HYPERLINK \l "_Toc21270" </w:instrText>
          </w:r>
          <w:r>
            <w:fldChar w:fldCharType="separate"/>
          </w:r>
          <w:r>
            <w:rPr>
              <w:rFonts w:hint="eastAsia" w:ascii="Times New Roman" w:hAnsi="Times New Roman" w:eastAsia="黑体"/>
              <w:bCs/>
              <w:szCs w:val="36"/>
            </w:rPr>
            <w:t>第六章 加强保障服务 打造深化改革阳开样板</w:t>
          </w:r>
          <w:r>
            <w:tab/>
          </w:r>
          <w:r>
            <w:fldChar w:fldCharType="begin"/>
          </w:r>
          <w:r>
            <w:instrText xml:space="preserve"> PAGEREF _Toc21270 \h </w:instrText>
          </w:r>
          <w:r>
            <w:fldChar w:fldCharType="separate"/>
          </w:r>
          <w:r>
            <w:t>50</w:t>
          </w:r>
          <w:r>
            <w:fldChar w:fldCharType="end"/>
          </w:r>
          <w:r>
            <w:fldChar w:fldCharType="end"/>
          </w:r>
        </w:p>
        <w:p w14:paraId="71170CE5">
          <w:pPr>
            <w:pStyle w:val="16"/>
            <w:tabs>
              <w:tab w:val="right" w:leader="dot" w:pos="8306"/>
            </w:tabs>
            <w:ind w:left="640" w:firstLine="640"/>
            <w:rPr>
              <w:rFonts w:hint="eastAsia"/>
            </w:rPr>
          </w:pPr>
          <w:r>
            <w:fldChar w:fldCharType="begin"/>
          </w:r>
          <w:r>
            <w:instrText xml:space="preserve"> HYPERLINK \l "_Toc17369" </w:instrText>
          </w:r>
          <w:r>
            <w:fldChar w:fldCharType="separate"/>
          </w:r>
          <w:r>
            <w:rPr>
              <w:rFonts w:hint="eastAsia" w:ascii="Times New Roman" w:hAnsi="Times New Roman" w:eastAsia="楷体_GB2312"/>
              <w:spacing w:val="-6"/>
            </w:rPr>
            <w:t>第一节  突出党建引领</w:t>
          </w:r>
          <w:r>
            <w:tab/>
          </w:r>
          <w:r>
            <w:fldChar w:fldCharType="begin"/>
          </w:r>
          <w:r>
            <w:instrText xml:space="preserve"> PAGEREF _Toc17369 \h </w:instrText>
          </w:r>
          <w:r>
            <w:fldChar w:fldCharType="separate"/>
          </w:r>
          <w:r>
            <w:t>50</w:t>
          </w:r>
          <w:r>
            <w:fldChar w:fldCharType="end"/>
          </w:r>
          <w:r>
            <w:fldChar w:fldCharType="end"/>
          </w:r>
        </w:p>
        <w:p w14:paraId="1C569605">
          <w:pPr>
            <w:pStyle w:val="16"/>
            <w:tabs>
              <w:tab w:val="right" w:leader="dot" w:pos="8306"/>
            </w:tabs>
            <w:ind w:left="640" w:firstLine="640"/>
            <w:rPr>
              <w:rFonts w:hint="eastAsia"/>
            </w:rPr>
          </w:pPr>
          <w:r>
            <w:fldChar w:fldCharType="begin"/>
          </w:r>
          <w:r>
            <w:instrText xml:space="preserve"> HYPERLINK \l "_Toc1674" </w:instrText>
          </w:r>
          <w:r>
            <w:fldChar w:fldCharType="separate"/>
          </w:r>
          <w:r>
            <w:rPr>
              <w:rFonts w:hint="eastAsia" w:ascii="Times New Roman" w:hAnsi="Times New Roman" w:eastAsia="楷体_GB2312"/>
              <w:spacing w:val="-6"/>
            </w:rPr>
            <w:t>第二节  培育壮大市场主体</w:t>
          </w:r>
          <w:r>
            <w:tab/>
          </w:r>
          <w:r>
            <w:fldChar w:fldCharType="begin"/>
          </w:r>
          <w:r>
            <w:instrText xml:space="preserve"> PAGEREF _Toc1674 \h </w:instrText>
          </w:r>
          <w:r>
            <w:fldChar w:fldCharType="separate"/>
          </w:r>
          <w:r>
            <w:t>52</w:t>
          </w:r>
          <w:r>
            <w:fldChar w:fldCharType="end"/>
          </w:r>
          <w:r>
            <w:fldChar w:fldCharType="end"/>
          </w:r>
        </w:p>
        <w:p w14:paraId="1412E7D8">
          <w:pPr>
            <w:pStyle w:val="16"/>
            <w:keepNext w:val="0"/>
            <w:keepLines w:val="0"/>
            <w:pageBreakBefore w:val="0"/>
            <w:widowControl w:val="0"/>
            <w:tabs>
              <w:tab w:val="right" w:leader="dot" w:pos="8306"/>
            </w:tabs>
            <w:kinsoku/>
            <w:wordWrap/>
            <w:overflowPunct/>
            <w:topLinePunct w:val="0"/>
            <w:autoSpaceDE/>
            <w:autoSpaceDN/>
            <w:bidi w:val="0"/>
            <w:adjustRightInd/>
            <w:snapToGrid/>
            <w:ind w:left="640" w:firstLine="640"/>
            <w:textAlignment w:val="auto"/>
            <w:rPr>
              <w:rFonts w:hint="default" w:eastAsia="仿宋_GB2312"/>
              <w:lang w:val="en-US" w:eastAsia="zh-CN"/>
            </w:rPr>
          </w:pPr>
          <w:r>
            <w:rPr>
              <w:rFonts w:hint="eastAsia" w:ascii="Times New Roman" w:hAnsi="Times New Roman" w:eastAsia="楷体_GB2312"/>
              <w:spacing w:val="-6"/>
            </w:rPr>
            <w:t>第</w:t>
          </w:r>
          <w:r>
            <w:rPr>
              <w:rFonts w:hint="eastAsia" w:ascii="Times New Roman" w:hAnsi="Times New Roman" w:eastAsia="楷体_GB2312"/>
              <w:spacing w:val="-6"/>
              <w:lang w:val="en-US" w:eastAsia="zh-CN"/>
            </w:rPr>
            <w:t>三</w:t>
          </w:r>
          <w:r>
            <w:rPr>
              <w:rFonts w:hint="eastAsia" w:ascii="Times New Roman" w:hAnsi="Times New Roman" w:eastAsia="楷体_GB2312"/>
              <w:spacing w:val="-6"/>
            </w:rPr>
            <w:t xml:space="preserve">节  </w:t>
          </w:r>
          <w:r>
            <w:rPr>
              <w:rFonts w:hint="eastAsia" w:ascii="Times New Roman" w:hAnsi="Times New Roman" w:eastAsia="楷体_GB2312"/>
              <w:spacing w:val="-6"/>
              <w:lang w:val="en-US" w:eastAsia="zh-CN"/>
            </w:rPr>
            <w:t>加强要素保障建设</w:t>
          </w:r>
          <w:r>
            <w:rPr>
              <w:rFonts w:hint="eastAsia"/>
              <w:lang w:val="en-US" w:eastAsia="zh-CN"/>
            </w:rPr>
            <w:tab/>
          </w:r>
          <w:r>
            <w:rPr>
              <w:rFonts w:hint="eastAsia"/>
              <w:lang w:val="en-US" w:eastAsia="zh-CN"/>
            </w:rPr>
            <w:t>53</w:t>
          </w:r>
        </w:p>
        <w:p w14:paraId="40C60154">
          <w:pPr>
            <w:pStyle w:val="16"/>
            <w:tabs>
              <w:tab w:val="right" w:leader="dot" w:pos="8306"/>
            </w:tabs>
            <w:ind w:left="640" w:firstLine="640"/>
            <w:rPr>
              <w:rFonts w:hint="eastAsia"/>
            </w:rPr>
          </w:pPr>
          <w:r>
            <w:fldChar w:fldCharType="begin"/>
          </w:r>
          <w:r>
            <w:instrText xml:space="preserve"> HYPERLINK \l "_Toc16443" </w:instrText>
          </w:r>
          <w:r>
            <w:fldChar w:fldCharType="separate"/>
          </w:r>
          <w:r>
            <w:rPr>
              <w:rFonts w:hint="eastAsia" w:ascii="Times New Roman" w:hAnsi="Times New Roman" w:eastAsia="楷体_GB2312"/>
              <w:spacing w:val="-6"/>
            </w:rPr>
            <w:t>第</w:t>
          </w:r>
          <w:r>
            <w:rPr>
              <w:rFonts w:hint="eastAsia" w:ascii="Times New Roman" w:hAnsi="Times New Roman" w:eastAsia="楷体_GB2312"/>
              <w:spacing w:val="-6"/>
              <w:lang w:val="en-US" w:eastAsia="zh-CN"/>
            </w:rPr>
            <w:t>四</w:t>
          </w:r>
          <w:r>
            <w:rPr>
              <w:rFonts w:hint="eastAsia" w:ascii="Times New Roman" w:hAnsi="Times New Roman" w:eastAsia="楷体_GB2312"/>
              <w:spacing w:val="-6"/>
            </w:rPr>
            <w:t>节  深化开发区改革</w:t>
          </w:r>
          <w:r>
            <w:tab/>
          </w:r>
          <w:r>
            <w:fldChar w:fldCharType="begin"/>
          </w:r>
          <w:r>
            <w:instrText xml:space="preserve"> PAGEREF _Toc16443 \h </w:instrText>
          </w:r>
          <w:r>
            <w:fldChar w:fldCharType="separate"/>
          </w:r>
          <w:r>
            <w:t>54</w:t>
          </w:r>
          <w:r>
            <w:fldChar w:fldCharType="end"/>
          </w:r>
          <w:r>
            <w:fldChar w:fldCharType="end"/>
          </w:r>
        </w:p>
        <w:p w14:paraId="072DC03F">
          <w:pPr>
            <w:pStyle w:val="16"/>
            <w:tabs>
              <w:tab w:val="right" w:leader="dot" w:pos="8306"/>
            </w:tabs>
            <w:ind w:left="640" w:firstLine="640"/>
            <w:rPr>
              <w:rFonts w:hint="eastAsia"/>
            </w:rPr>
          </w:pPr>
          <w:r>
            <w:fldChar w:fldCharType="begin"/>
          </w:r>
          <w:r>
            <w:instrText xml:space="preserve"> HYPERLINK \l "_Toc3012" </w:instrText>
          </w:r>
          <w:r>
            <w:fldChar w:fldCharType="separate"/>
          </w:r>
          <w:r>
            <w:rPr>
              <w:rFonts w:hint="eastAsia" w:ascii="Times New Roman" w:hAnsi="Times New Roman" w:eastAsia="楷体_GB2312"/>
              <w:spacing w:val="-6"/>
            </w:rPr>
            <w:t>第</w:t>
          </w:r>
          <w:r>
            <w:rPr>
              <w:rFonts w:hint="eastAsia" w:ascii="Times New Roman" w:hAnsi="Times New Roman" w:eastAsia="楷体_GB2312"/>
              <w:spacing w:val="-6"/>
              <w:lang w:val="en-US" w:eastAsia="zh-CN"/>
            </w:rPr>
            <w:t>五</w:t>
          </w:r>
          <w:r>
            <w:rPr>
              <w:rFonts w:hint="eastAsia" w:ascii="Times New Roman" w:hAnsi="Times New Roman" w:eastAsia="楷体_GB2312"/>
              <w:spacing w:val="-6"/>
            </w:rPr>
            <w:t>节  打造一流营商环境</w:t>
          </w:r>
          <w:r>
            <w:tab/>
          </w:r>
          <w:r>
            <w:fldChar w:fldCharType="begin"/>
          </w:r>
          <w:r>
            <w:instrText xml:space="preserve"> PAGEREF _Toc3012 \h </w:instrText>
          </w:r>
          <w:r>
            <w:fldChar w:fldCharType="separate"/>
          </w:r>
          <w:r>
            <w:t>57</w:t>
          </w:r>
          <w:r>
            <w:fldChar w:fldCharType="end"/>
          </w:r>
          <w:r>
            <w:fldChar w:fldCharType="end"/>
          </w:r>
        </w:p>
        <w:p w14:paraId="0134E45E">
          <w:pPr>
            <w:pStyle w:val="16"/>
            <w:tabs>
              <w:tab w:val="right" w:leader="dot" w:pos="8306"/>
            </w:tabs>
            <w:ind w:left="640" w:firstLine="640"/>
            <w:rPr>
              <w:rFonts w:hint="eastAsia"/>
            </w:rPr>
          </w:pPr>
          <w:r>
            <w:fldChar w:fldCharType="begin"/>
          </w:r>
          <w:r>
            <w:instrText xml:space="preserve"> HYPERLINK \l "_Toc1414" </w:instrText>
          </w:r>
          <w:r>
            <w:fldChar w:fldCharType="separate"/>
          </w:r>
          <w:r>
            <w:rPr>
              <w:rFonts w:hint="eastAsia" w:ascii="Times New Roman" w:hAnsi="Times New Roman" w:eastAsia="楷体_GB2312"/>
              <w:spacing w:val="-6"/>
            </w:rPr>
            <w:t>第</w:t>
          </w:r>
          <w:r>
            <w:rPr>
              <w:rFonts w:hint="eastAsia" w:ascii="Times New Roman" w:hAnsi="Times New Roman" w:eastAsia="楷体_GB2312"/>
              <w:spacing w:val="-6"/>
              <w:lang w:val="en-US" w:eastAsia="zh-CN"/>
            </w:rPr>
            <w:t>六</w:t>
          </w:r>
          <w:r>
            <w:rPr>
              <w:rFonts w:hint="eastAsia" w:ascii="Times New Roman" w:hAnsi="Times New Roman" w:eastAsia="楷体_GB2312"/>
              <w:spacing w:val="-6"/>
            </w:rPr>
            <w:t>节  提高安全保障能力</w:t>
          </w:r>
          <w:r>
            <w:tab/>
          </w:r>
          <w:r>
            <w:fldChar w:fldCharType="begin"/>
          </w:r>
          <w:r>
            <w:instrText xml:space="preserve"> PAGEREF _Toc1414 \h </w:instrText>
          </w:r>
          <w:r>
            <w:fldChar w:fldCharType="separate"/>
          </w:r>
          <w:r>
            <w:t>58</w:t>
          </w:r>
          <w:r>
            <w:fldChar w:fldCharType="end"/>
          </w:r>
          <w:r>
            <w:fldChar w:fldCharType="end"/>
          </w:r>
        </w:p>
        <w:p w14:paraId="65299574">
          <w:pPr>
            <w:pStyle w:val="16"/>
            <w:tabs>
              <w:tab w:val="right" w:leader="dot" w:pos="8306"/>
            </w:tabs>
            <w:ind w:left="640" w:firstLine="640"/>
            <w:rPr>
              <w:rFonts w:hint="eastAsia"/>
            </w:rPr>
          </w:pPr>
          <w:r>
            <w:fldChar w:fldCharType="begin"/>
          </w:r>
          <w:r>
            <w:instrText xml:space="preserve"> HYPERLINK \l "_Toc28826" </w:instrText>
          </w:r>
          <w:r>
            <w:fldChar w:fldCharType="separate"/>
          </w:r>
          <w:r>
            <w:rPr>
              <w:rFonts w:hint="eastAsia" w:ascii="Times New Roman" w:hAnsi="Times New Roman" w:eastAsia="楷体_GB2312"/>
              <w:spacing w:val="-6"/>
            </w:rPr>
            <w:t>第</w:t>
          </w:r>
          <w:r>
            <w:rPr>
              <w:rFonts w:hint="eastAsia" w:ascii="Times New Roman" w:hAnsi="Times New Roman" w:eastAsia="楷体_GB2312"/>
              <w:spacing w:val="-6"/>
              <w:lang w:val="en-US" w:eastAsia="zh-CN"/>
            </w:rPr>
            <w:t>七</w:t>
          </w:r>
          <w:r>
            <w:rPr>
              <w:rFonts w:hint="eastAsia" w:ascii="Times New Roman" w:hAnsi="Times New Roman" w:eastAsia="楷体_GB2312"/>
              <w:spacing w:val="-6"/>
            </w:rPr>
            <w:t>节  加强规划管理</w:t>
          </w:r>
          <w:r>
            <w:tab/>
          </w:r>
          <w:r>
            <w:fldChar w:fldCharType="begin"/>
          </w:r>
          <w:r>
            <w:instrText xml:space="preserve"> PAGEREF _Toc28826 \h </w:instrText>
          </w:r>
          <w:r>
            <w:fldChar w:fldCharType="separate"/>
          </w:r>
          <w:r>
            <w:t>58</w:t>
          </w:r>
          <w:r>
            <w:fldChar w:fldCharType="end"/>
          </w:r>
          <w:r>
            <w:fldChar w:fldCharType="end"/>
          </w:r>
        </w:p>
        <w:p w14:paraId="075782E6">
          <w:pPr>
            <w:ind w:firstLine="640"/>
            <w:rPr>
              <w:rFonts w:hint="eastAsia"/>
            </w:rPr>
          </w:pPr>
          <w:r>
            <w:fldChar w:fldCharType="end"/>
          </w:r>
        </w:p>
      </w:sdtContent>
    </w:sdt>
    <w:p w14:paraId="434564E1">
      <w:pPr>
        <w:pStyle w:val="2"/>
        <w:rPr>
          <w:rFonts w:hint="eastAsia"/>
          <w:sz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
          <w:cols w:space="425" w:num="1"/>
          <w:docGrid w:type="lines" w:linePitch="312" w:charSpace="0"/>
        </w:sectPr>
      </w:pPr>
    </w:p>
    <w:p w14:paraId="22EFB8B4">
      <w:pPr>
        <w:spacing w:line="600" w:lineRule="exact"/>
        <w:ind w:firstLine="3600" w:firstLineChars="1000"/>
        <w:jc w:val="both"/>
        <w:rPr>
          <w:rFonts w:ascii="Times New Roman" w:hAnsi="Times New Roman"/>
          <w:bCs/>
        </w:rPr>
      </w:pPr>
      <w:bookmarkStart w:id="5" w:name="_Toc27722"/>
      <w:bookmarkStart w:id="6" w:name="_Toc31949"/>
      <w:bookmarkStart w:id="7" w:name="_Toc2912"/>
      <w:r>
        <w:rPr>
          <w:rFonts w:hint="eastAsia" w:ascii="Times New Roman" w:hAnsi="Times New Roman" w:eastAsia="黑体"/>
          <w:bCs/>
          <w:sz w:val="36"/>
          <w:szCs w:val="36"/>
          <w:lang w:val="en-US" w:eastAsia="zh-CN"/>
        </w:rPr>
        <w:t>引言</w:t>
      </w:r>
    </w:p>
    <w:p w14:paraId="494ABBCB">
      <w:pPr>
        <w:spacing w:line="600" w:lineRule="exact"/>
        <w:ind w:firstLine="640"/>
        <w:rPr>
          <w:rFonts w:ascii="Times New Roman" w:hAnsi="Times New Roman"/>
          <w:bCs/>
        </w:rPr>
      </w:pPr>
    </w:p>
    <w:p w14:paraId="1F0DC1F6">
      <w:pPr>
        <w:spacing w:line="600" w:lineRule="exact"/>
        <w:ind w:firstLine="640"/>
        <w:rPr>
          <w:rFonts w:ascii="方正仿宋_GB2312" w:hAnsi="方正仿宋_GB2312"/>
          <w:bCs/>
          <w:sz w:val="32"/>
        </w:rPr>
      </w:pPr>
      <w:r>
        <w:rPr>
          <w:rFonts w:ascii="方正仿宋_GB2312" w:hAnsi="方正仿宋_GB2312"/>
          <w:bCs/>
          <w:sz w:val="32"/>
        </w:rPr>
        <w:t>“十五五”时期（</w:t>
      </w:r>
      <w:r>
        <w:rPr>
          <w:rFonts w:hint="default" w:ascii="Times New Roman" w:hAnsi="Times New Roman" w:cs="Times New Roman"/>
          <w:bCs/>
          <w:sz w:val="32"/>
        </w:rPr>
        <w:t>2026-2030</w:t>
      </w:r>
      <w:r>
        <w:rPr>
          <w:rFonts w:ascii="方正仿宋_GB2312" w:hAnsi="方正仿宋_GB2312"/>
          <w:bCs/>
          <w:sz w:val="32"/>
        </w:rPr>
        <w:t>年），是</w:t>
      </w:r>
      <w:r>
        <w:rPr>
          <w:rFonts w:hint="eastAsia" w:ascii="方正仿宋_GB2312" w:hAnsi="方正仿宋_GB2312"/>
          <w:bCs/>
          <w:sz w:val="32"/>
        </w:rPr>
        <w:t>阳城开发区</w:t>
      </w:r>
      <w:r>
        <w:rPr>
          <w:rFonts w:ascii="方正仿宋_GB2312" w:hAnsi="方正仿宋_GB2312"/>
          <w:bCs/>
          <w:sz w:val="32"/>
        </w:rPr>
        <w:t>与全国同步基本实现社会主义现代化承上启下的重要时期，是</w:t>
      </w:r>
      <w:r>
        <w:rPr>
          <w:rFonts w:hint="eastAsia" w:ascii="方正仿宋_GB2312" w:hAnsi="方正仿宋_GB2312"/>
          <w:bCs/>
          <w:sz w:val="32"/>
        </w:rPr>
        <w:t>阳城开发区</w:t>
      </w:r>
      <w:r>
        <w:rPr>
          <w:rFonts w:ascii="方正仿宋_GB2312" w:hAnsi="方正仿宋_GB2312"/>
          <w:bCs/>
          <w:sz w:val="32"/>
        </w:rPr>
        <w:t>推动高质量发展的关键期、深化全方位转型的窗口期。研究提出“十五五”规划的基本思路，必须聚焦</w:t>
      </w:r>
      <w:r>
        <w:rPr>
          <w:rFonts w:hint="eastAsia" w:ascii="方正仿宋_GB2312" w:hAnsi="方正仿宋_GB2312"/>
          <w:bCs/>
          <w:sz w:val="32"/>
        </w:rPr>
        <w:t>阳城开发区发展实际</w:t>
      </w:r>
      <w:r>
        <w:rPr>
          <w:rFonts w:ascii="方正仿宋_GB2312" w:hAnsi="方正仿宋_GB2312"/>
          <w:bCs/>
          <w:sz w:val="32"/>
        </w:rPr>
        <w:t>，准确研判内外部发展环境和趋势性特征，系统谋划未来五年发展的指导方针、奋斗目标和重点任务举措，奋力谱写中国式现代化</w:t>
      </w:r>
      <w:r>
        <w:rPr>
          <w:rFonts w:hint="eastAsia" w:ascii="方正仿宋_GB2312" w:hAnsi="方正仿宋_GB2312"/>
          <w:bCs/>
          <w:sz w:val="32"/>
        </w:rPr>
        <w:t>阳城开发区</w:t>
      </w:r>
      <w:r>
        <w:rPr>
          <w:rFonts w:ascii="方正仿宋_GB2312" w:hAnsi="方正仿宋_GB2312"/>
          <w:bCs/>
          <w:sz w:val="32"/>
        </w:rPr>
        <w:t>篇章。</w:t>
      </w:r>
    </w:p>
    <w:p w14:paraId="22171285">
      <w:pPr>
        <w:spacing w:line="600" w:lineRule="exact"/>
        <w:ind w:firstLine="640"/>
        <w:rPr>
          <w:rFonts w:hint="eastAsia" w:ascii="方正仿宋_GB2312" w:hAnsi="方正仿宋_GB2312"/>
          <w:bCs/>
          <w:sz w:val="32"/>
        </w:rPr>
        <w:sectPr>
          <w:footerReference r:id="rId11" w:type="default"/>
          <w:pgSz w:w="11906" w:h="16838"/>
          <w:pgMar w:top="1440" w:right="1800" w:bottom="1440" w:left="1800" w:header="851" w:footer="992" w:gutter="0"/>
          <w:pgNumType w:start="1"/>
          <w:cols w:space="425" w:num="1"/>
          <w:docGrid w:type="lines" w:linePitch="312" w:charSpace="0"/>
        </w:sectPr>
      </w:pPr>
    </w:p>
    <w:p w14:paraId="583BF5D6">
      <w:pPr>
        <w:ind w:left="0" w:leftChars="0" w:firstLine="0" w:firstLineChars="0"/>
        <w:jc w:val="center"/>
        <w:outlineLvl w:val="0"/>
        <w:rPr>
          <w:rFonts w:ascii="Times New Roman" w:hAnsi="Times New Roman" w:eastAsia="黑体"/>
          <w:bCs/>
          <w:sz w:val="36"/>
          <w:szCs w:val="36"/>
        </w:rPr>
      </w:pPr>
      <w:r>
        <w:rPr>
          <w:rFonts w:hint="eastAsia" w:ascii="Times New Roman" w:hAnsi="Times New Roman" w:eastAsia="黑体"/>
          <w:bCs/>
          <w:sz w:val="36"/>
          <w:szCs w:val="36"/>
        </w:rPr>
        <w:t>第一章</w:t>
      </w:r>
      <w:r>
        <w:rPr>
          <w:rFonts w:hint="eastAsia" w:ascii="Times New Roman" w:hAnsi="Times New Roman" w:eastAsia="方正小标宋简体"/>
        </w:rPr>
        <w:t xml:space="preserve"> </w:t>
      </w:r>
      <w:r>
        <w:rPr>
          <w:rFonts w:hint="eastAsia" w:ascii="Times New Roman" w:hAnsi="Times New Roman" w:eastAsia="黑体"/>
          <w:bCs/>
          <w:sz w:val="36"/>
          <w:szCs w:val="36"/>
        </w:rPr>
        <w:t>发展基础与发展环境</w:t>
      </w:r>
      <w:bookmarkEnd w:id="5"/>
      <w:bookmarkEnd w:id="6"/>
      <w:bookmarkEnd w:id="7"/>
    </w:p>
    <w:p w14:paraId="4F60537E">
      <w:pPr>
        <w:spacing w:line="600" w:lineRule="exact"/>
        <w:ind w:left="0" w:leftChars="0" w:firstLine="0" w:firstLineChars="0"/>
        <w:jc w:val="center"/>
        <w:outlineLvl w:val="1"/>
        <w:rPr>
          <w:rFonts w:ascii="Times New Roman" w:hAnsi="Times New Roman" w:eastAsia="楷体_GB2312"/>
          <w:b/>
        </w:rPr>
      </w:pPr>
      <w:bookmarkStart w:id="8" w:name="_Toc27930"/>
      <w:bookmarkStart w:id="9" w:name="_Toc6327"/>
      <w:bookmarkStart w:id="10" w:name="_Toc14273"/>
      <w:r>
        <w:rPr>
          <w:rFonts w:hint="eastAsia" w:ascii="Times New Roman" w:hAnsi="Times New Roman" w:eastAsia="楷体_GB2312"/>
          <w:b/>
        </w:rPr>
        <w:t>第一节“十四五”发展基础</w:t>
      </w:r>
      <w:bookmarkEnd w:id="8"/>
      <w:bookmarkEnd w:id="9"/>
      <w:bookmarkEnd w:id="10"/>
    </w:p>
    <w:p w14:paraId="3D6FD7AC">
      <w:pPr>
        <w:spacing w:line="600" w:lineRule="exact"/>
        <w:ind w:firstLine="640"/>
        <w:rPr>
          <w:rFonts w:hint="eastAsia" w:ascii="方正仿宋_GB2312" w:hAnsi="方正仿宋_GB2312" w:eastAsia="方正仿宋_GB2312" w:cs="方正仿宋_GB2312"/>
          <w:bCs/>
        </w:rPr>
      </w:pPr>
      <w:r>
        <w:rPr>
          <w:rFonts w:hint="eastAsia" w:ascii="方正仿宋_GB2312" w:hAnsi="方正仿宋_GB2312" w:eastAsia="方正仿宋_GB2312" w:cs="方正仿宋_GB2312"/>
          <w:bCs/>
        </w:rPr>
        <w:t>面对复杂严峻形势和多重超预期因素冲击，阳城开发区上下始终牢记习近平总书记殷殷嘱托，坚决贯彻落实党中央、国务院战略部署，迎难而上，奋力攻坚，持续拓展发展新空间、塑造竞争新优势，高质量发展和全方位转型迈出坚实步伐，推动“十四五”规划目标顺利实现。</w:t>
      </w:r>
    </w:p>
    <w:p w14:paraId="06B1C598">
      <w:pPr>
        <w:widowControl/>
        <w:ind w:firstLine="643"/>
        <w:jc w:val="left"/>
        <w:rPr>
          <w:rFonts w:hint="eastAsia" w:ascii="方正仿宋_GB2312" w:hAnsi="方正仿宋_GB2312" w:eastAsia="方正仿宋_GB2312" w:cs="方正仿宋_GB2312"/>
        </w:rPr>
      </w:pPr>
      <w:r>
        <w:rPr>
          <w:rFonts w:ascii="Times New Roman" w:hAnsi="Times New Roman"/>
          <w:b/>
        </w:rPr>
        <w:t>综合实力稳步提升。</w:t>
      </w:r>
      <w:r>
        <w:rPr>
          <w:rFonts w:hint="eastAsia" w:ascii="方正仿宋_GB2312" w:hAnsi="方正仿宋_GB2312" w:eastAsia="方正仿宋_GB2312" w:cs="方正仿宋_GB2312"/>
          <w:bCs/>
        </w:rPr>
        <w:t>坚持转方式、调结构、提质量、增效益，主要经济指标均高于全省工业类开发区，实现了跨越式增长，</w:t>
      </w:r>
      <w:r>
        <w:rPr>
          <w:rFonts w:hint="eastAsia" w:ascii="方正仿宋_GB2312" w:hAnsi="方正仿宋_GB2312" w:eastAsia="方正仿宋_GB2312" w:cs="方正仿宋_GB2312"/>
        </w:rPr>
        <w:t>发展规模和质效不断提升</w:t>
      </w:r>
      <w:r>
        <w:rPr>
          <w:rFonts w:hint="eastAsia" w:ascii="方正仿宋_GB2312" w:hAnsi="方正仿宋_GB2312" w:eastAsia="方正仿宋_GB2312" w:cs="方正仿宋_GB2312"/>
          <w:bCs/>
        </w:rPr>
        <w:t>。“十四五”时期，</w:t>
      </w:r>
      <w:r>
        <w:rPr>
          <w:rFonts w:hint="eastAsia" w:ascii="方正仿宋_GB2312" w:hAnsi="方正仿宋_GB2312" w:eastAsia="方正仿宋_GB2312" w:cs="方正仿宋_GB2312"/>
        </w:rPr>
        <w:t>规模以上工业企业产值达</w:t>
      </w:r>
      <w:r>
        <w:rPr>
          <w:rFonts w:hint="default" w:ascii="Times New Roman" w:hAnsi="Times New Roman" w:eastAsia="方正仿宋_GB2312" w:cs="Times New Roman"/>
        </w:rPr>
        <w:t>85.8</w:t>
      </w:r>
      <w:r>
        <w:rPr>
          <w:rFonts w:hint="eastAsia" w:ascii="方正仿宋_GB2312" w:hAnsi="方正仿宋_GB2312" w:eastAsia="方正仿宋_GB2312" w:cs="方正仿宋_GB2312"/>
        </w:rPr>
        <w:t>亿元，增长</w:t>
      </w:r>
      <w:r>
        <w:rPr>
          <w:rFonts w:hint="eastAsia" w:ascii="Times New Roman" w:hAnsi="Times New Roman" w:eastAsia="方正仿宋_GB2312" w:cs="Times New Roman"/>
        </w:rPr>
        <w:t>150%</w:t>
      </w:r>
      <w:r>
        <w:rPr>
          <w:rFonts w:hint="eastAsia" w:ascii="方正仿宋_GB2312" w:hAnsi="方正仿宋_GB2312" w:eastAsia="方正仿宋_GB2312" w:cs="方正仿宋_GB2312"/>
        </w:rPr>
        <w:t>；工业增加值达</w:t>
      </w:r>
      <w:r>
        <w:rPr>
          <w:rFonts w:hint="eastAsia" w:ascii="Times New Roman" w:hAnsi="Times New Roman" w:eastAsia="方正仿宋_GB2312" w:cs="Times New Roman"/>
        </w:rPr>
        <w:t>33.3</w:t>
      </w:r>
      <w:r>
        <w:rPr>
          <w:rFonts w:hint="eastAsia" w:ascii="方正仿宋_GB2312" w:hAnsi="方正仿宋_GB2312" w:eastAsia="方正仿宋_GB2312" w:cs="方正仿宋_GB2312"/>
        </w:rPr>
        <w:t>亿元，增长</w:t>
      </w:r>
      <w:r>
        <w:rPr>
          <w:rFonts w:hint="eastAsia" w:ascii="Times New Roman" w:hAnsi="Times New Roman" w:eastAsia="方正仿宋_GB2312" w:cs="Times New Roman"/>
        </w:rPr>
        <w:t>155%</w:t>
      </w:r>
      <w:r>
        <w:rPr>
          <w:rFonts w:hint="eastAsia" w:ascii="方正仿宋_GB2312" w:hAnsi="方正仿宋_GB2312" w:eastAsia="方正仿宋_GB2312" w:cs="方正仿宋_GB2312"/>
        </w:rPr>
        <w:t>；固定资产投资达</w:t>
      </w:r>
      <w:r>
        <w:rPr>
          <w:rFonts w:hint="eastAsia" w:ascii="Times New Roman" w:hAnsi="Times New Roman" w:eastAsia="方正仿宋_GB2312" w:cs="Times New Roman"/>
        </w:rPr>
        <w:t>23.1</w:t>
      </w:r>
      <w:r>
        <w:rPr>
          <w:rFonts w:hint="eastAsia" w:ascii="方正仿宋_GB2312" w:hAnsi="方正仿宋_GB2312" w:eastAsia="方正仿宋_GB2312" w:cs="方正仿宋_GB2312"/>
        </w:rPr>
        <w:t>亿元，增长</w:t>
      </w:r>
      <w:r>
        <w:rPr>
          <w:rFonts w:hint="eastAsia" w:ascii="Times New Roman" w:hAnsi="Times New Roman" w:eastAsia="方正仿宋_GB2312" w:cs="Times New Roman"/>
        </w:rPr>
        <w:t>101%</w:t>
      </w:r>
      <w:r>
        <w:rPr>
          <w:rFonts w:hint="eastAsia" w:ascii="方正仿宋_GB2312" w:hAnsi="方正仿宋_GB2312" w:eastAsia="方正仿宋_GB2312" w:cs="方正仿宋_GB2312"/>
        </w:rPr>
        <w:t>，</w:t>
      </w:r>
      <w:r>
        <w:rPr>
          <w:rFonts w:hint="eastAsia" w:ascii="方正仿宋_GB2312" w:hAnsi="方正仿宋_GB2312" w:eastAsia="方正仿宋_GB2312" w:cs="方正仿宋_GB2312"/>
          <w:szCs w:val="24"/>
        </w:rPr>
        <w:t>高新技术企业增加到</w:t>
      </w:r>
      <w:r>
        <w:rPr>
          <w:rFonts w:hint="eastAsia" w:ascii="Times New Roman" w:hAnsi="Times New Roman" w:eastAsia="方正仿宋_GB2312" w:cs="Times New Roman"/>
        </w:rPr>
        <w:t>8</w:t>
      </w:r>
      <w:r>
        <w:rPr>
          <w:rFonts w:hint="eastAsia" w:ascii="方正仿宋_GB2312" w:hAnsi="方正仿宋_GB2312" w:eastAsia="方正仿宋_GB2312" w:cs="方正仿宋_GB2312"/>
          <w:szCs w:val="24"/>
        </w:rPr>
        <w:t>家，为</w:t>
      </w:r>
      <w:r>
        <w:rPr>
          <w:rFonts w:hint="eastAsia" w:ascii="方正仿宋_GB2312" w:hAnsi="方正仿宋_GB2312" w:eastAsia="方正仿宋_GB2312" w:cs="方正仿宋_GB2312"/>
          <w:bCs/>
        </w:rPr>
        <w:t>“十三五”时期</w:t>
      </w:r>
      <w:r>
        <w:rPr>
          <w:rFonts w:hint="eastAsia" w:ascii="Times New Roman" w:hAnsi="Times New Roman" w:eastAsia="方正仿宋_GB2312" w:cs="Times New Roman"/>
        </w:rPr>
        <w:t>8</w:t>
      </w:r>
      <w:r>
        <w:rPr>
          <w:rFonts w:hint="eastAsia" w:ascii="方正仿宋_GB2312" w:hAnsi="方正仿宋_GB2312" w:eastAsia="方正仿宋_GB2312" w:cs="方正仿宋_GB2312"/>
          <w:bCs/>
        </w:rPr>
        <w:t>倍</w:t>
      </w:r>
      <w:r>
        <w:rPr>
          <w:rFonts w:hint="eastAsia" w:ascii="方正仿宋_GB2312" w:hAnsi="方正仿宋_GB2312" w:eastAsia="方正仿宋_GB2312" w:cs="方正仿宋_GB2312"/>
          <w:szCs w:val="24"/>
        </w:rPr>
        <w:t>；</w:t>
      </w:r>
      <w:r>
        <w:rPr>
          <w:rFonts w:hint="eastAsia" w:ascii="方正仿宋_GB2312" w:hAnsi="方正仿宋_GB2312" w:eastAsia="方正仿宋_GB2312" w:cs="方正仿宋_GB2312"/>
        </w:rPr>
        <w:t>“四上”企业增加到</w:t>
      </w:r>
      <w:r>
        <w:rPr>
          <w:rFonts w:hint="eastAsia" w:ascii="Times New Roman" w:hAnsi="Times New Roman" w:eastAsia="方正仿宋_GB2312" w:cs="Times New Roman"/>
        </w:rPr>
        <w:t>61</w:t>
      </w:r>
      <w:r>
        <w:rPr>
          <w:rFonts w:hint="eastAsia" w:ascii="方正仿宋_GB2312" w:hAnsi="方正仿宋_GB2312" w:eastAsia="方正仿宋_GB2312" w:cs="方正仿宋_GB2312"/>
        </w:rPr>
        <w:t>户，</w:t>
      </w:r>
      <w:r>
        <w:rPr>
          <w:rFonts w:hint="eastAsia" w:ascii="方正仿宋_GB2312" w:hAnsi="方正仿宋_GB2312" w:eastAsia="方正仿宋_GB2312" w:cs="方正仿宋_GB2312"/>
          <w:szCs w:val="24"/>
        </w:rPr>
        <w:t>为</w:t>
      </w:r>
      <w:r>
        <w:rPr>
          <w:rFonts w:hint="eastAsia" w:ascii="方正仿宋_GB2312" w:hAnsi="方正仿宋_GB2312" w:eastAsia="方正仿宋_GB2312" w:cs="方正仿宋_GB2312"/>
          <w:bCs/>
        </w:rPr>
        <w:t>“十三五”时期的</w:t>
      </w:r>
      <w:r>
        <w:rPr>
          <w:rFonts w:hint="eastAsia" w:ascii="Times New Roman" w:hAnsi="Times New Roman" w:eastAsia="方正仿宋_GB2312" w:cs="Times New Roman"/>
        </w:rPr>
        <w:t>2.9</w:t>
      </w:r>
      <w:r>
        <w:rPr>
          <w:rFonts w:hint="eastAsia" w:ascii="方正仿宋_GB2312" w:hAnsi="方正仿宋_GB2312" w:eastAsia="方正仿宋_GB2312" w:cs="方正仿宋_GB2312"/>
          <w:bCs/>
        </w:rPr>
        <w:t>倍</w:t>
      </w:r>
      <w:r>
        <w:rPr>
          <w:rFonts w:hint="eastAsia" w:ascii="方正仿宋_GB2312" w:hAnsi="方正仿宋_GB2312" w:eastAsia="方正仿宋_GB2312" w:cs="方正仿宋_GB2312"/>
        </w:rPr>
        <w:t>；</w:t>
      </w:r>
      <w:r>
        <w:rPr>
          <w:rFonts w:hint="eastAsia" w:ascii="Times New Roman" w:hAnsi="Times New Roman" w:eastAsia="方正仿宋_GB2312" w:cs="Times New Roman"/>
        </w:rPr>
        <w:t>2025</w:t>
      </w:r>
      <w:r>
        <w:rPr>
          <w:rFonts w:hint="eastAsia" w:ascii="方正仿宋_GB2312" w:hAnsi="方正仿宋_GB2312" w:eastAsia="方正仿宋_GB2312" w:cs="方正仿宋_GB2312"/>
        </w:rPr>
        <w:t>年产出强度</w:t>
      </w:r>
      <w:r>
        <w:rPr>
          <w:rFonts w:hint="eastAsia" w:ascii="Times New Roman" w:hAnsi="Times New Roman" w:eastAsia="方正仿宋_GB2312" w:cs="Times New Roman"/>
        </w:rPr>
        <w:t>270</w:t>
      </w:r>
      <w:r>
        <w:rPr>
          <w:rFonts w:hint="eastAsia" w:ascii="方正仿宋_GB2312" w:hAnsi="方正仿宋_GB2312" w:eastAsia="方正仿宋_GB2312" w:cs="方正仿宋_GB2312"/>
          <w:bCs/>
        </w:rPr>
        <w:t>万元</w:t>
      </w:r>
      <w:r>
        <w:rPr>
          <w:rFonts w:hint="eastAsia" w:ascii="方正仿宋_GB2312" w:hAnsi="方正仿宋_GB2312" w:eastAsia="方正仿宋_GB2312" w:cs="方正仿宋_GB2312"/>
        </w:rPr>
        <w:t>/亩，比</w:t>
      </w:r>
      <w:r>
        <w:rPr>
          <w:rFonts w:hint="eastAsia" w:ascii="Times New Roman" w:hAnsi="Times New Roman" w:eastAsia="方正仿宋_GB2312" w:cs="Times New Roman"/>
        </w:rPr>
        <w:t>2020</w:t>
      </w:r>
      <w:r>
        <w:rPr>
          <w:rFonts w:hint="eastAsia" w:ascii="方正仿宋_GB2312" w:hAnsi="方正仿宋_GB2312" w:eastAsia="方正仿宋_GB2312" w:cs="方正仿宋_GB2312"/>
        </w:rPr>
        <w:t>年</w:t>
      </w:r>
      <w:r>
        <w:rPr>
          <w:rFonts w:hint="eastAsia" w:ascii="Times New Roman" w:hAnsi="Times New Roman" w:eastAsia="方正仿宋_GB2312" w:cs="Times New Roman"/>
        </w:rPr>
        <w:t>101</w:t>
      </w:r>
      <w:r>
        <w:rPr>
          <w:rFonts w:hint="eastAsia" w:ascii="方正仿宋_GB2312" w:hAnsi="方正仿宋_GB2312" w:eastAsia="方正仿宋_GB2312" w:cs="方正仿宋_GB2312"/>
          <w:bCs/>
        </w:rPr>
        <w:t>万元</w:t>
      </w:r>
      <w:r>
        <w:rPr>
          <w:rFonts w:hint="eastAsia" w:ascii="方正仿宋_GB2312" w:hAnsi="方正仿宋_GB2312" w:eastAsia="方正仿宋_GB2312" w:cs="方正仿宋_GB2312"/>
        </w:rPr>
        <w:t>/亩</w:t>
      </w:r>
      <w:r>
        <w:rPr>
          <w:rFonts w:hint="eastAsia" w:ascii="方正仿宋_GB2312" w:hAnsi="方正仿宋_GB2312" w:eastAsia="方正仿宋_GB2312" w:cs="方正仿宋_GB2312"/>
          <w:bCs/>
        </w:rPr>
        <w:t>提升了</w:t>
      </w:r>
      <w:r>
        <w:rPr>
          <w:rFonts w:hint="eastAsia" w:ascii="Times New Roman" w:hAnsi="Times New Roman" w:eastAsia="方正仿宋_GB2312" w:cs="Times New Roman"/>
        </w:rPr>
        <w:t>167%</w:t>
      </w:r>
      <w:r>
        <w:rPr>
          <w:rFonts w:hint="eastAsia" w:ascii="方正仿宋_GB2312" w:hAnsi="方正仿宋_GB2312" w:eastAsia="方正仿宋_GB2312" w:cs="方正仿宋_GB2312"/>
          <w:bCs/>
        </w:rPr>
        <w:t>，</w:t>
      </w:r>
      <w:r>
        <w:rPr>
          <w:rFonts w:hint="eastAsia" w:ascii="方正仿宋_GB2312" w:hAnsi="方正仿宋_GB2312" w:eastAsia="方正仿宋_GB2312" w:cs="方正仿宋_GB2312"/>
          <w:bCs/>
          <w:lang w:bidi="ar"/>
        </w:rPr>
        <w:t>进出口总额完成</w:t>
      </w:r>
      <w:r>
        <w:rPr>
          <w:rFonts w:hint="eastAsia" w:ascii="Times New Roman" w:hAnsi="Times New Roman" w:eastAsia="方正仿宋_GB2312" w:cs="Times New Roman"/>
        </w:rPr>
        <w:t>6939.08</w:t>
      </w:r>
      <w:r>
        <w:rPr>
          <w:rFonts w:hint="eastAsia" w:ascii="方正仿宋_GB2312" w:hAnsi="方正仿宋_GB2312" w:eastAsia="方正仿宋_GB2312" w:cs="方正仿宋_GB2312"/>
          <w:bCs/>
          <w:lang w:bidi="ar"/>
        </w:rPr>
        <w:t>万元，增速</w:t>
      </w:r>
      <w:r>
        <w:rPr>
          <w:rFonts w:hint="eastAsia" w:ascii="Times New Roman" w:hAnsi="Times New Roman" w:eastAsia="方正仿宋_GB2312" w:cs="Times New Roman"/>
        </w:rPr>
        <w:t>25.3%</w:t>
      </w:r>
      <w:r>
        <w:rPr>
          <w:rFonts w:hint="eastAsia" w:ascii="方正仿宋_GB2312" w:hAnsi="方正仿宋_GB2312" w:eastAsia="方正仿宋_GB2312" w:cs="方正仿宋_GB2312"/>
          <w:bCs/>
          <w:lang w:bidi="ar"/>
        </w:rPr>
        <w:t>；“十四五”期间</w:t>
      </w:r>
      <w:r>
        <w:rPr>
          <w:rFonts w:hint="eastAsia" w:ascii="方正仿宋_GB2312" w:hAnsi="方正仿宋_GB2312" w:eastAsia="方正仿宋_GB2312" w:cs="方正仿宋_GB2312"/>
        </w:rPr>
        <w:t>主要经济指标持续攀升，连续</w:t>
      </w:r>
      <w:r>
        <w:rPr>
          <w:rFonts w:hint="eastAsia" w:ascii="方正仿宋_GB2312" w:hAnsi="方正仿宋_GB2312" w:eastAsia="方正仿宋_GB2312" w:cs="方正仿宋_GB2312"/>
          <w:color w:val="auto"/>
        </w:rPr>
        <w:t>五</w:t>
      </w:r>
      <w:r>
        <w:rPr>
          <w:rFonts w:hint="eastAsia" w:ascii="方正仿宋_GB2312" w:hAnsi="方正仿宋_GB2312" w:eastAsia="方正仿宋_GB2312" w:cs="方正仿宋_GB2312"/>
        </w:rPr>
        <w:t>年在全省开发区考核中排名优秀。阳城陶瓷琉璃（珐华）专业镇入选省级专业镇，阳城开发区安阳园区入选省级消费品特色园区。</w:t>
      </w:r>
    </w:p>
    <w:p w14:paraId="6CF5FF1B">
      <w:pPr>
        <w:widowControl/>
        <w:numPr>
          <w:ilvl w:val="255"/>
          <w:numId w:val="0"/>
        </w:numPr>
        <w:ind w:firstLine="643" w:firstLineChars="200"/>
        <w:jc w:val="left"/>
        <w:rPr>
          <w:rFonts w:hint="eastAsia"/>
        </w:rPr>
      </w:pPr>
      <w:r>
        <w:rPr>
          <w:rFonts w:hint="eastAsia" w:ascii="Times New Roman" w:hAnsi="Times New Roman" w:cs="Times New Roman"/>
          <w:b/>
        </w:rPr>
        <w:t>空间布局逐步优化。</w:t>
      </w:r>
      <w:r>
        <w:rPr>
          <w:rFonts w:hint="eastAsia"/>
        </w:rPr>
        <w:t>阳城开发区在保持原核定面积</w:t>
      </w:r>
      <w:r>
        <w:rPr>
          <w:rFonts w:hint="default" w:ascii="Times New Roman" w:hAnsi="Times New Roman" w:cs="Times New Roman"/>
        </w:rPr>
        <w:t>8.66</w:t>
      </w:r>
      <w:r>
        <w:rPr>
          <w:rFonts w:hint="eastAsia"/>
        </w:rPr>
        <w:t>平方公里不变的基础上，进一步优化区位调整规划，调出部分村庄、河流、高陡边坡、泉域保护区、重要矿藏压覆区、重要交通沿线等不可开发区，调入可开发面积</w:t>
      </w:r>
      <w:r>
        <w:rPr>
          <w:rFonts w:hint="default" w:ascii="Times New Roman" w:hAnsi="Times New Roman" w:cs="Times New Roman"/>
        </w:rPr>
        <w:t>7500</w:t>
      </w:r>
      <w:r>
        <w:rPr>
          <w:rFonts w:hint="eastAsia"/>
        </w:rPr>
        <w:t>多亩，同时代管阳城县台头化工园区，大大提升了开发区项目承载力，有效缓解了项目落地难问题。</w:t>
      </w:r>
    </w:p>
    <w:p w14:paraId="2CE18D93">
      <w:pPr>
        <w:widowControl/>
        <w:ind w:firstLine="643"/>
        <w:jc w:val="left"/>
        <w:rPr>
          <w:rFonts w:hint="eastAsia" w:ascii="仿宋" w:hAnsi="仿宋" w:eastAsia="仿宋" w:cs="仿宋"/>
          <w:kern w:val="0"/>
          <w:lang w:bidi="ar"/>
        </w:rPr>
      </w:pPr>
      <w:r>
        <w:rPr>
          <w:rFonts w:hint="eastAsia" w:ascii="方正仿宋_GB2312" w:hAnsi="方正仿宋_GB2312" w:eastAsia="方正仿宋_GB2312" w:cs="方正仿宋_GB2312"/>
          <w:b/>
        </w:rPr>
        <w:t>“见新”动能不断增强。</w:t>
      </w:r>
      <w:r>
        <w:rPr>
          <w:rFonts w:hint="eastAsia" w:ascii="方正仿宋_GB2312" w:hAnsi="方正仿宋_GB2312" w:eastAsia="方正仿宋_GB2312" w:cs="方正仿宋_GB2312"/>
          <w:bCs/>
          <w:lang w:bidi="ar"/>
        </w:rPr>
        <w:t>坚持推动产业转型、积极培育发展新动能，</w:t>
      </w:r>
      <w:r>
        <w:rPr>
          <w:rFonts w:hint="default" w:ascii="Times New Roman" w:hAnsi="Times New Roman" w:eastAsia="方正仿宋_GB2312" w:cs="Times New Roman"/>
          <w:bCs/>
          <w:lang w:bidi="ar"/>
        </w:rPr>
        <w:t>2025</w:t>
      </w:r>
      <w:r>
        <w:rPr>
          <w:rFonts w:hint="eastAsia" w:ascii="方正仿宋_GB2312" w:hAnsi="方正仿宋_GB2312" w:eastAsia="方正仿宋_GB2312" w:cs="方正仿宋_GB2312"/>
          <w:bCs/>
          <w:lang w:bidi="ar"/>
        </w:rPr>
        <w:t>年新兴产业项目完成投资</w:t>
      </w:r>
      <w:r>
        <w:rPr>
          <w:rFonts w:hint="eastAsia" w:ascii="Times New Roman" w:hAnsi="Times New Roman" w:eastAsia="方正仿宋_GB2312" w:cs="Times New Roman"/>
          <w:bCs/>
          <w:lang w:bidi="ar"/>
        </w:rPr>
        <w:t>13.5</w:t>
      </w:r>
      <w:r>
        <w:rPr>
          <w:rFonts w:hint="eastAsia" w:ascii="方正仿宋_GB2312" w:hAnsi="方正仿宋_GB2312" w:eastAsia="方正仿宋_GB2312" w:cs="方正仿宋_GB2312"/>
          <w:bCs/>
          <w:lang w:bidi="ar"/>
        </w:rPr>
        <w:t>亿元，占工业投资的比重为</w:t>
      </w:r>
      <w:r>
        <w:rPr>
          <w:rFonts w:hint="eastAsia" w:ascii="Times New Roman" w:hAnsi="Times New Roman" w:eastAsia="方正仿宋_GB2312" w:cs="Times New Roman"/>
          <w:bCs/>
          <w:lang w:bidi="ar"/>
        </w:rPr>
        <w:t>65.3%</w:t>
      </w:r>
      <w:r>
        <w:rPr>
          <w:rFonts w:hint="eastAsia" w:ascii="方正仿宋_GB2312" w:hAnsi="方正仿宋_GB2312" w:eastAsia="方正仿宋_GB2312" w:cs="方正仿宋_GB2312"/>
          <w:bCs/>
          <w:lang w:bidi="ar"/>
        </w:rPr>
        <w:t>。引导陶瓷产业技改升级，建成</w:t>
      </w:r>
      <w:r>
        <w:rPr>
          <w:rFonts w:hint="eastAsia" w:ascii="Times New Roman" w:hAnsi="Times New Roman" w:eastAsia="方正仿宋_GB2312" w:cs="Times New Roman"/>
          <w:bCs/>
          <w:lang w:bidi="ar"/>
        </w:rPr>
        <w:t>26</w:t>
      </w:r>
      <w:r>
        <w:rPr>
          <w:rFonts w:hint="eastAsia" w:ascii="方正仿宋_GB2312" w:hAnsi="方正仿宋_GB2312" w:eastAsia="方正仿宋_GB2312" w:cs="方正仿宋_GB2312"/>
          <w:bCs/>
          <w:lang w:bidi="ar"/>
        </w:rPr>
        <w:t>条中高档生产线，加快精细化工、电子信息等新兴产业培育，台头化工园区以全省最高成绩通过第十四批省级复核验收，安全风险等级由</w:t>
      </w:r>
      <w:r>
        <w:rPr>
          <w:rFonts w:hint="eastAsia" w:ascii="Times New Roman" w:hAnsi="Times New Roman" w:eastAsia="方正仿宋_GB2312" w:cs="Times New Roman"/>
          <w:bCs/>
          <w:lang w:bidi="ar"/>
        </w:rPr>
        <w:t>C</w:t>
      </w:r>
      <w:r>
        <w:rPr>
          <w:rFonts w:hint="eastAsia" w:ascii="方正仿宋_GB2312" w:hAnsi="方正仿宋_GB2312" w:eastAsia="方正仿宋_GB2312" w:cs="方正仿宋_GB2312"/>
          <w:bCs/>
          <w:lang w:bidi="ar"/>
        </w:rPr>
        <w:t>级成功降至</w:t>
      </w:r>
      <w:r>
        <w:rPr>
          <w:rFonts w:hint="eastAsia" w:ascii="Times New Roman" w:hAnsi="Times New Roman" w:eastAsia="方正仿宋_GB2312" w:cs="Times New Roman"/>
          <w:bCs/>
          <w:lang w:bidi="ar"/>
        </w:rPr>
        <w:t>D</w:t>
      </w:r>
      <w:r>
        <w:rPr>
          <w:rFonts w:hint="eastAsia" w:ascii="方正仿宋_GB2312" w:hAnsi="方正仿宋_GB2312" w:eastAsia="方正仿宋_GB2312" w:cs="方正仿宋_GB2312"/>
          <w:bCs/>
          <w:lang w:bidi="ar"/>
        </w:rPr>
        <w:t>级，一批重大项目成为产业发展“新引擎”</w:t>
      </w:r>
      <w:r>
        <w:rPr>
          <w:rFonts w:hint="eastAsia" w:ascii="方正仿宋_GB2312" w:hAnsi="方正仿宋_GB2312" w:eastAsia="方正仿宋_GB2312" w:cs="方正仿宋_GB2312"/>
          <w:bCs/>
          <w:lang w:eastAsia="zh-CN" w:bidi="ar"/>
        </w:rPr>
        <w:t>，</w:t>
      </w:r>
      <w:r>
        <w:rPr>
          <w:rFonts w:hint="eastAsia" w:ascii="方正仿宋_GB2312" w:hAnsi="方正仿宋_GB2312" w:eastAsia="方正仿宋_GB2312" w:cs="方正仿宋_GB2312"/>
          <w:bCs/>
          <w:lang w:bidi="ar"/>
        </w:rPr>
        <w:t>新建年产</w:t>
      </w:r>
      <w:r>
        <w:rPr>
          <w:rFonts w:hint="default" w:ascii="Times New Roman" w:hAnsi="Times New Roman" w:eastAsia="方正仿宋_GB2312" w:cs="Times New Roman"/>
          <w:bCs/>
          <w:lang w:bidi="ar"/>
        </w:rPr>
        <w:t>5000</w:t>
      </w:r>
      <w:r>
        <w:rPr>
          <w:rFonts w:hint="eastAsia" w:ascii="方正仿宋_GB2312" w:hAnsi="方正仿宋_GB2312" w:eastAsia="方正仿宋_GB2312" w:cs="方正仿宋_GB2312"/>
          <w:bCs/>
          <w:lang w:bidi="ar"/>
        </w:rPr>
        <w:t>吨</w:t>
      </w:r>
      <w:r>
        <w:rPr>
          <w:rFonts w:hint="default" w:ascii="Times New Roman" w:hAnsi="Times New Roman" w:eastAsia="方正仿宋_GB2312" w:cs="Times New Roman"/>
          <w:bCs/>
          <w:lang w:bidi="ar"/>
        </w:rPr>
        <w:t>3</w:t>
      </w:r>
      <w:r>
        <w:rPr>
          <w:rFonts w:hint="eastAsia" w:ascii="方正仿宋_GB2312" w:hAnsi="方正仿宋_GB2312" w:eastAsia="方正仿宋_GB2312" w:cs="方正仿宋_GB2312"/>
          <w:bCs/>
          <w:lang w:bidi="ar"/>
        </w:rPr>
        <w:t>-巯基丙酸甲酯项目、年产</w:t>
      </w:r>
      <w:r>
        <w:rPr>
          <w:rFonts w:hint="eastAsia" w:ascii="Times New Roman" w:hAnsi="Times New Roman" w:eastAsia="方正仿宋_GB2312" w:cs="Times New Roman"/>
          <w:bCs/>
          <w:lang w:bidi="ar"/>
        </w:rPr>
        <w:t>2.5GWH</w:t>
      </w:r>
      <w:r>
        <w:rPr>
          <w:rFonts w:hint="eastAsia" w:ascii="方正仿宋_GB2312" w:hAnsi="方正仿宋_GB2312" w:eastAsia="方正仿宋_GB2312" w:cs="方正仿宋_GB2312"/>
          <w:bCs/>
          <w:lang w:bidi="ar"/>
        </w:rPr>
        <w:t>动力锂离子电池项目、年产</w:t>
      </w:r>
      <w:r>
        <w:rPr>
          <w:rFonts w:hint="eastAsia" w:ascii="Times New Roman" w:hAnsi="Times New Roman" w:eastAsia="方正仿宋_GB2312" w:cs="Times New Roman"/>
          <w:bCs/>
          <w:lang w:bidi="ar"/>
        </w:rPr>
        <w:t>1100</w:t>
      </w:r>
      <w:r>
        <w:rPr>
          <w:rFonts w:hint="eastAsia" w:ascii="方正仿宋_GB2312" w:hAnsi="方正仿宋_GB2312" w:eastAsia="方正仿宋_GB2312" w:cs="方正仿宋_GB2312"/>
          <w:bCs/>
          <w:lang w:bidi="ar"/>
        </w:rPr>
        <w:t>万平米墙地砖</w:t>
      </w:r>
      <w:r>
        <w:rPr>
          <w:rFonts w:hint="eastAsia" w:ascii="方正仿宋_GB2312" w:hAnsi="方正仿宋_GB2312" w:eastAsia="方正仿宋_GB2312" w:cs="方正仿宋_GB2312"/>
          <w:kern w:val="0"/>
          <w:lang w:bidi="ar"/>
        </w:rPr>
        <w:t>改扩建项目、新建</w:t>
      </w:r>
      <w:r>
        <w:rPr>
          <w:rFonts w:hint="eastAsia" w:ascii="Times New Roman" w:hAnsi="Times New Roman" w:eastAsia="方正仿宋_GB2312" w:cs="Times New Roman"/>
          <w:bCs/>
          <w:lang w:bidi="ar"/>
        </w:rPr>
        <w:t>LED</w:t>
      </w:r>
      <w:r>
        <w:rPr>
          <w:rFonts w:hint="eastAsia" w:ascii="方正仿宋_GB2312" w:hAnsi="方正仿宋_GB2312" w:eastAsia="方正仿宋_GB2312" w:cs="方正仿宋_GB2312"/>
          <w:kern w:val="0"/>
          <w:lang w:bidi="ar"/>
        </w:rPr>
        <w:t>显示屏灯珠项目等先后落地，填补了产业领域空白，更为主导产业升级提供了关键支撑。</w:t>
      </w:r>
    </w:p>
    <w:p w14:paraId="640103D7">
      <w:pPr>
        <w:widowControl/>
        <w:ind w:firstLine="643"/>
        <w:jc w:val="left"/>
        <w:rPr>
          <w:rFonts w:hint="eastAsia" w:ascii="方正仿宋_GB2312" w:hAnsi="方正仿宋_GB2312" w:eastAsia="方正仿宋_GB2312" w:cs="方正仿宋_GB2312"/>
          <w:bCs/>
          <w:lang w:bidi="ar"/>
        </w:rPr>
      </w:pPr>
      <w:r>
        <w:rPr>
          <w:rFonts w:hint="eastAsia" w:ascii="方正仿宋_GB2312" w:hAnsi="方正仿宋_GB2312" w:eastAsia="方正仿宋_GB2312" w:cs="方正仿宋_GB2312"/>
          <w:b/>
        </w:rPr>
        <w:t>“见绿”发展成效显著。</w:t>
      </w:r>
      <w:r>
        <w:rPr>
          <w:rFonts w:hint="eastAsia" w:ascii="方正仿宋_GB2312" w:hAnsi="方正仿宋_GB2312" w:eastAsia="方正仿宋_GB2312" w:cs="方正仿宋_GB2312"/>
        </w:rPr>
        <w:t>节能降耗取得新突破，建筑瓷、日用瓷、琉璃领域全部完成“煤改气”清洁能源改造，陶瓷单位产品煤层气消耗量降低</w:t>
      </w:r>
      <w:r>
        <w:rPr>
          <w:rFonts w:hint="default" w:ascii="Times New Roman" w:hAnsi="Times New Roman" w:eastAsia="方正仿宋_GB2312" w:cs="Times New Roman"/>
          <w:bCs/>
          <w:lang w:bidi="ar"/>
        </w:rPr>
        <w:t>0.4-0.9</w:t>
      </w:r>
      <w:r>
        <w:rPr>
          <w:rFonts w:hint="eastAsia" w:ascii="方正仿宋_GB2312" w:hAnsi="方正仿宋_GB2312" w:eastAsia="方正仿宋_GB2312" w:cs="方正仿宋_GB2312"/>
        </w:rPr>
        <w:t>立方米；工艺瓷、</w:t>
      </w:r>
      <w:r>
        <w:rPr>
          <w:rFonts w:hint="eastAsia" w:ascii="方正仿宋_GB2312" w:hAnsi="方正仿宋_GB2312" w:eastAsia="方正仿宋_GB2312" w:cs="方正仿宋_GB2312"/>
          <w:color w:val="auto"/>
        </w:rPr>
        <w:t>珐</w:t>
      </w:r>
      <w:r>
        <w:rPr>
          <w:rFonts w:hint="eastAsia" w:ascii="方正仿宋_GB2312" w:hAnsi="方正仿宋_GB2312" w:eastAsia="方正仿宋_GB2312" w:cs="方正仿宋_GB2312"/>
        </w:rPr>
        <w:t>华瓷、特种瓷全部完成“煤改电”改造，阳城开发区“煤改气”</w:t>
      </w:r>
      <w:r>
        <w:rPr>
          <w:rFonts w:hint="eastAsia" w:ascii="方正仿宋_GB2312" w:hAnsi="方正仿宋_GB2312" w:eastAsia="方正仿宋_GB2312" w:cs="方正仿宋_GB2312"/>
          <w:bCs/>
          <w:lang w:bidi="ar"/>
        </w:rPr>
        <w:t>“煤改电”率达</w:t>
      </w:r>
      <w:r>
        <w:rPr>
          <w:rFonts w:hint="eastAsia" w:ascii="Times New Roman" w:hAnsi="Times New Roman" w:eastAsia="方正仿宋_GB2312" w:cs="Times New Roman"/>
          <w:bCs/>
          <w:lang w:bidi="ar"/>
        </w:rPr>
        <w:t>100%</w:t>
      </w:r>
      <w:r>
        <w:rPr>
          <w:rFonts w:hint="eastAsia" w:ascii="方正仿宋_GB2312" w:hAnsi="方正仿宋_GB2312" w:eastAsia="方正仿宋_GB2312" w:cs="方正仿宋_GB2312"/>
          <w:bCs/>
          <w:lang w:bidi="ar"/>
        </w:rPr>
        <w:t>，全区已完成节能技改</w:t>
      </w:r>
      <w:r>
        <w:rPr>
          <w:rFonts w:hint="eastAsia" w:ascii="Times New Roman" w:hAnsi="Times New Roman" w:eastAsia="方正仿宋_GB2312" w:cs="Times New Roman"/>
          <w:bCs/>
          <w:lang w:bidi="ar"/>
        </w:rPr>
        <w:t>10</w:t>
      </w:r>
      <w:r>
        <w:rPr>
          <w:rFonts w:hint="eastAsia" w:ascii="方正仿宋_GB2312" w:hAnsi="方正仿宋_GB2312" w:eastAsia="方正仿宋_GB2312" w:cs="方正仿宋_GB2312"/>
          <w:bCs/>
          <w:lang w:bidi="ar"/>
        </w:rPr>
        <w:t>家企业、</w:t>
      </w:r>
      <w:r>
        <w:rPr>
          <w:rFonts w:hint="eastAsia" w:ascii="Times New Roman" w:hAnsi="Times New Roman" w:eastAsia="方正仿宋_GB2312" w:cs="Times New Roman"/>
          <w:bCs/>
          <w:lang w:bidi="ar"/>
        </w:rPr>
        <w:t>12</w:t>
      </w:r>
      <w:r>
        <w:rPr>
          <w:rFonts w:hint="eastAsia" w:ascii="方正仿宋_GB2312" w:hAnsi="方正仿宋_GB2312" w:eastAsia="方正仿宋_GB2312" w:cs="方正仿宋_GB2312"/>
          <w:bCs/>
          <w:lang w:bidi="ar"/>
        </w:rPr>
        <w:t>条生产线，生产自动化、智能化、数字化水平大幅提高。泓浩陶瓷引进干法制粉节能新工艺，较传统湿法球磨喷雾干燥塔工艺节能</w:t>
      </w:r>
      <w:r>
        <w:rPr>
          <w:rFonts w:hint="eastAsia" w:ascii="Times New Roman" w:hAnsi="Times New Roman" w:eastAsia="方正仿宋_GB2312" w:cs="Times New Roman"/>
          <w:bCs/>
          <w:lang w:bidi="ar"/>
        </w:rPr>
        <w:t>40%</w:t>
      </w:r>
      <w:r>
        <w:rPr>
          <w:rFonts w:hint="eastAsia" w:ascii="方正仿宋_GB2312" w:hAnsi="方正仿宋_GB2312" w:eastAsia="方正仿宋_GB2312" w:cs="方正仿宋_GB2312"/>
          <w:bCs/>
          <w:lang w:bidi="ar"/>
        </w:rPr>
        <w:t>；实施厂房光伏一体化改造项目，推广泓浩陶瓷厂房试点改造，产品绿电占比逐步提升</w:t>
      </w:r>
      <w:r>
        <w:rPr>
          <w:rFonts w:hint="eastAsia" w:ascii="方正仿宋_GB2312" w:hAnsi="方正仿宋_GB2312" w:eastAsia="方正仿宋_GB2312" w:cs="方正仿宋_GB2312"/>
        </w:rPr>
        <w:t>。绿色发展持续发力，</w:t>
      </w:r>
      <w:r>
        <w:rPr>
          <w:rFonts w:hint="eastAsia" w:ascii="方正仿宋_GB2312" w:hAnsi="方正仿宋_GB2312" w:eastAsia="方正仿宋_GB2312" w:cs="方正仿宋_GB2312"/>
          <w:bCs/>
          <w:lang w:bidi="ar"/>
        </w:rPr>
        <w:t>区内企业采用清洁生产技术，固废综合利用率达</w:t>
      </w:r>
      <w:r>
        <w:rPr>
          <w:rFonts w:hint="default" w:ascii="Times New Roman" w:hAnsi="Times New Roman" w:eastAsia="方正仿宋_GB2312" w:cs="Times New Roman"/>
          <w:bCs/>
          <w:lang w:bidi="ar"/>
        </w:rPr>
        <w:t xml:space="preserve">95% </w:t>
      </w:r>
      <w:r>
        <w:rPr>
          <w:rFonts w:hint="eastAsia" w:ascii="方正仿宋_GB2312" w:hAnsi="方正仿宋_GB2312" w:eastAsia="方正仿宋_GB2312" w:cs="方正仿宋_GB2312"/>
          <w:bCs/>
          <w:lang w:bidi="ar"/>
        </w:rPr>
        <w:t>以上，生产废水全部回用，单位工业增加值能耗同比</w:t>
      </w:r>
      <w:r>
        <w:rPr>
          <w:rFonts w:hint="eastAsia" w:ascii="方正仿宋_GB2312" w:hAnsi="方正仿宋_GB2312" w:eastAsia="方正仿宋_GB2312" w:cs="方正仿宋_GB2312"/>
          <w:bCs/>
          <w:lang w:val="en-US" w:eastAsia="zh-CN" w:bidi="ar"/>
        </w:rPr>
        <w:t>降低</w:t>
      </w:r>
      <w:r>
        <w:rPr>
          <w:rFonts w:hint="eastAsia" w:ascii="Times New Roman" w:hAnsi="Times New Roman" w:eastAsia="方正仿宋_GB2312" w:cs="Times New Roman"/>
          <w:bCs/>
          <w:lang w:bidi="ar"/>
        </w:rPr>
        <w:t>3.5%</w:t>
      </w:r>
      <w:r>
        <w:rPr>
          <w:rFonts w:hint="eastAsia" w:ascii="方正仿宋_GB2312" w:hAnsi="方正仿宋_GB2312" w:eastAsia="方正仿宋_GB2312" w:cs="方正仿宋_GB2312"/>
          <w:bCs/>
          <w:lang w:bidi="ar"/>
        </w:rPr>
        <w:t>；</w:t>
      </w:r>
      <w:r>
        <w:rPr>
          <w:rFonts w:hint="eastAsia" w:ascii="Times New Roman" w:hAnsi="Times New Roman" w:eastAsia="方正仿宋_GB2312" w:cs="Times New Roman"/>
          <w:bCs/>
          <w:lang w:bidi="ar"/>
        </w:rPr>
        <w:t>PM2.5</w:t>
      </w:r>
      <w:r>
        <w:rPr>
          <w:rFonts w:hint="eastAsia" w:ascii="方正仿宋_GB2312" w:hAnsi="方正仿宋_GB2312" w:eastAsia="方正仿宋_GB2312" w:cs="方正仿宋_GB2312"/>
          <w:bCs/>
          <w:lang w:bidi="ar"/>
        </w:rPr>
        <w:t>平均浓度</w:t>
      </w:r>
      <w:r>
        <w:rPr>
          <w:rFonts w:hint="eastAsia" w:ascii="Times New Roman" w:hAnsi="Times New Roman" w:eastAsia="方正仿宋_GB2312" w:cs="Times New Roman"/>
          <w:bCs/>
          <w:lang w:bidi="ar"/>
        </w:rPr>
        <w:t>30</w:t>
      </w:r>
      <w:r>
        <w:rPr>
          <w:rFonts w:hint="eastAsia" w:ascii="方正仿宋_GB2312" w:hAnsi="方正仿宋_GB2312" w:eastAsia="方正仿宋_GB2312" w:cs="方正仿宋_GB2312"/>
          <w:bCs/>
          <w:lang w:bidi="ar"/>
        </w:rPr>
        <w:t>微克/立方米，同比降低</w:t>
      </w:r>
      <w:r>
        <w:rPr>
          <w:rFonts w:hint="eastAsia" w:ascii="Times New Roman" w:hAnsi="Times New Roman" w:eastAsia="方正仿宋_GB2312" w:cs="Times New Roman"/>
          <w:bCs/>
          <w:lang w:bidi="ar"/>
        </w:rPr>
        <w:t>33%</w:t>
      </w:r>
      <w:r>
        <w:rPr>
          <w:rFonts w:hint="eastAsia" w:ascii="方正仿宋_GB2312" w:hAnsi="方正仿宋_GB2312" w:eastAsia="方正仿宋_GB2312" w:cs="方正仿宋_GB2312"/>
          <w:bCs/>
          <w:lang w:bidi="ar"/>
        </w:rPr>
        <w:t>。</w:t>
      </w:r>
    </w:p>
    <w:p w14:paraId="34489310">
      <w:pPr>
        <w:widowControl/>
        <w:numPr>
          <w:ilvl w:val="255"/>
          <w:numId w:val="0"/>
        </w:numPr>
        <w:ind w:firstLine="643" w:firstLineChars="200"/>
        <w:jc w:val="left"/>
        <w:rPr>
          <w:rFonts w:hint="eastAsia" w:ascii="Times New Roman" w:hAnsi="Times New Roman"/>
          <w:sz w:val="32"/>
        </w:rPr>
      </w:pPr>
      <w:r>
        <w:rPr>
          <w:rFonts w:ascii="Times New Roman" w:hAnsi="Times New Roman" w:cs="Times New Roman"/>
          <w:b/>
          <w:sz w:val="32"/>
        </w:rPr>
        <w:t>机制改革</w:t>
      </w:r>
      <w:r>
        <w:rPr>
          <w:rFonts w:hint="eastAsia" w:ascii="Times New Roman" w:hAnsi="Times New Roman" w:cs="Times New Roman"/>
          <w:b/>
          <w:sz w:val="32"/>
        </w:rPr>
        <w:t>纵深突破</w:t>
      </w:r>
      <w:r>
        <w:rPr>
          <w:rFonts w:ascii="Times New Roman" w:hAnsi="Times New Roman" w:cs="Times New Roman"/>
          <w:b/>
          <w:sz w:val="32"/>
        </w:rPr>
        <w:t>。</w:t>
      </w:r>
      <w:r>
        <w:rPr>
          <w:rFonts w:hint="eastAsia" w:ascii="Times New Roman" w:hAnsi="Times New Roman"/>
          <w:sz w:val="32"/>
        </w:rPr>
        <w:t>“十四五”期间，“</w:t>
      </w:r>
      <w:r>
        <w:rPr>
          <w:rFonts w:hint="eastAsia" w:ascii="Times New Roman" w:hAnsi="Times New Roman"/>
          <w:sz w:val="32"/>
          <w:lang w:bidi="ar"/>
        </w:rPr>
        <w:t>三化三制”改革稳步推进，全力推行“三化三制”“管运分离”改革。出台了《阳城经济技术开发区“三化三制”总体方案》，以扁平高效、运转顺畅为目标，对内设部室职能进行整合优化，明确部室、园区、运营公司三方职责，构建“权责清晰、协同联动、闭环管理”的工作机制，有效提升工作效率。</w:t>
      </w:r>
      <w:r>
        <w:rPr>
          <w:rFonts w:hint="eastAsia" w:ascii="Times New Roman" w:hAnsi="Times New Roman"/>
          <w:sz w:val="32"/>
        </w:rPr>
        <w:t>完成“三制”改革，</w:t>
      </w:r>
      <w:r>
        <w:rPr>
          <w:rFonts w:hint="eastAsia" w:ascii="Times New Roman" w:hAnsi="Times New Roman"/>
          <w:sz w:val="32"/>
          <w:lang w:bidi="ar"/>
        </w:rPr>
        <w:t>落实领导班子任期制，全员岗位聘任制,绩效工资制，通过组织选派、竞聘上岗、双向选择</w:t>
      </w:r>
      <w:r>
        <w:rPr>
          <w:rFonts w:hint="eastAsia" w:ascii="Times New Roman" w:hAnsi="Times New Roman"/>
          <w:sz w:val="32"/>
          <w:lang w:val="en-US" w:eastAsia="zh-CN" w:bidi="ar"/>
        </w:rPr>
        <w:t>的</w:t>
      </w:r>
      <w:r>
        <w:rPr>
          <w:rFonts w:hint="eastAsia" w:ascii="Times New Roman" w:hAnsi="Times New Roman"/>
          <w:sz w:val="32"/>
          <w:lang w:bidi="ar"/>
        </w:rPr>
        <w:t>方式，一次性配齐14名科级干部（其中7名副科级干部在全县干部中竞聘，为全省首例）；</w:t>
      </w:r>
      <w:r>
        <w:rPr>
          <w:rFonts w:hint="eastAsia" w:ascii="Times New Roman" w:hAnsi="Times New Roman"/>
          <w:sz w:val="32"/>
        </w:rPr>
        <w:t>“三化”改革取得突破，</w:t>
      </w:r>
      <w:r>
        <w:rPr>
          <w:rFonts w:hint="eastAsia" w:ascii="Times New Roman" w:hAnsi="Times New Roman"/>
          <w:sz w:val="32"/>
          <w:lang w:bidi="ar"/>
        </w:rPr>
        <w:t>聚焦专业化</w:t>
      </w:r>
      <w:r>
        <w:rPr>
          <w:rFonts w:hint="eastAsia" w:ascii="Times New Roman" w:hAnsi="Times New Roman"/>
          <w:sz w:val="32"/>
          <w:lang w:eastAsia="zh-CN" w:bidi="ar"/>
        </w:rPr>
        <w:t>、</w:t>
      </w:r>
      <w:r>
        <w:rPr>
          <w:rFonts w:hint="eastAsia" w:ascii="Times New Roman" w:hAnsi="Times New Roman"/>
          <w:sz w:val="32"/>
          <w:lang w:bidi="ar"/>
        </w:rPr>
        <w:t>市场化</w:t>
      </w:r>
      <w:r>
        <w:rPr>
          <w:rFonts w:hint="eastAsia" w:ascii="Times New Roman" w:hAnsi="Times New Roman"/>
          <w:sz w:val="32"/>
          <w:lang w:eastAsia="zh-CN" w:bidi="ar"/>
        </w:rPr>
        <w:t>、</w:t>
      </w:r>
      <w:r>
        <w:rPr>
          <w:rFonts w:hint="eastAsia" w:ascii="Times New Roman" w:hAnsi="Times New Roman"/>
          <w:sz w:val="32"/>
          <w:lang w:val="en-US" w:eastAsia="zh-CN" w:bidi="ar"/>
        </w:rPr>
        <w:t>国际化：</w:t>
      </w:r>
      <w:r>
        <w:rPr>
          <w:rFonts w:hint="eastAsia" w:ascii="Times New Roman" w:hAnsi="Times New Roman"/>
          <w:sz w:val="32"/>
        </w:rPr>
        <w:t>管运分离稳步推进，成功组建运营阳城开发区开投公司；</w:t>
      </w:r>
      <w:r>
        <w:rPr>
          <w:rFonts w:hint="eastAsia" w:ascii="Times New Roman" w:hAnsi="Times New Roman"/>
          <w:sz w:val="32"/>
          <w:lang w:bidi="ar"/>
        </w:rPr>
        <w:t>面向社会公开选聘符合发展需求的高级管理人才1名</w:t>
      </w:r>
      <w:r>
        <w:rPr>
          <w:rFonts w:hint="eastAsia" w:ascii="Times New Roman" w:hAnsi="Times New Roman"/>
          <w:sz w:val="32"/>
        </w:rPr>
        <w:t>，</w:t>
      </w:r>
      <w:r>
        <w:rPr>
          <w:rFonts w:hint="eastAsia" w:ascii="Times New Roman" w:hAnsi="Times New Roman"/>
          <w:sz w:val="32"/>
          <w:lang w:bidi="ar"/>
        </w:rPr>
        <w:t>通过公开招聘、企业调配，补充37名企业职工</w:t>
      </w:r>
      <w:r>
        <w:rPr>
          <w:rFonts w:hint="eastAsia" w:ascii="Times New Roman" w:hAnsi="Times New Roman"/>
          <w:sz w:val="32"/>
          <w:lang w:eastAsia="zh-CN" w:bidi="ar"/>
        </w:rPr>
        <w:t>；</w:t>
      </w:r>
      <w:r>
        <w:rPr>
          <w:rFonts w:hint="eastAsia" w:ascii="Times New Roman" w:hAnsi="Times New Roman"/>
          <w:sz w:val="32"/>
        </w:rPr>
        <w:t>推动</w:t>
      </w:r>
      <w:bookmarkStart w:id="11" w:name="OLE_LINK21"/>
      <w:r>
        <w:rPr>
          <w:rFonts w:hint="eastAsia" w:ascii="Times New Roman" w:hAnsi="Times New Roman"/>
          <w:sz w:val="32"/>
        </w:rPr>
        <w:t>园区国际合作，不断提升国际化水平</w:t>
      </w:r>
      <w:bookmarkEnd w:id="11"/>
      <w:r>
        <w:rPr>
          <w:rFonts w:hint="eastAsia" w:ascii="Times New Roman" w:hAnsi="Times New Roman"/>
          <w:sz w:val="32"/>
        </w:rPr>
        <w:t>。</w:t>
      </w:r>
    </w:p>
    <w:p w14:paraId="5F3EA826">
      <w:pPr>
        <w:widowControl/>
        <w:numPr>
          <w:ilvl w:val="255"/>
          <w:numId w:val="0"/>
        </w:numPr>
        <w:ind w:firstLine="643" w:firstLineChars="200"/>
        <w:jc w:val="left"/>
        <w:rPr>
          <w:rFonts w:ascii="Times New Roman" w:hAnsi="Times New Roman" w:eastAsia="方正仿宋_GB2312" w:cs="Times New Roman"/>
          <w:b/>
          <w:bCs/>
          <w:sz w:val="32"/>
        </w:rPr>
      </w:pPr>
      <w:r>
        <w:rPr>
          <w:rFonts w:hint="eastAsia" w:ascii="Times New Roman" w:hAnsi="Times New Roman"/>
          <w:b/>
          <w:bCs/>
          <w:sz w:val="32"/>
        </w:rPr>
        <w:t>管运分离有序推进。</w:t>
      </w:r>
      <w:r>
        <w:rPr>
          <w:rFonts w:hint="eastAsia" w:ascii="Times New Roman" w:hAnsi="Times New Roman"/>
          <w:sz w:val="32"/>
        </w:rPr>
        <w:t>坚持以做精管委会、做强平台公司为方向，全力推行“管运分离”改革。制定了《阳城开发区“管运分离”改革三阶段实施总体方案》，明确管委会和平台公司职责，建立形成总公司+园区公司+专业公司的管理运行架构。根据市场化运营管理服务需求，成立山西同耀建设</w:t>
      </w:r>
      <w:r>
        <w:rPr>
          <w:rFonts w:hint="eastAsia" w:ascii="Times New Roman" w:hAnsi="Times New Roman" w:eastAsia="方正仿宋_GB2312"/>
          <w:sz w:val="32"/>
        </w:rPr>
        <w:t>运营公司、阳城坤泰建设投资公司、阳城台头现代精细化工园运营公司等园区运营公司和阳城荣开人力资源服务公司、阳城恒业土地综合整治公司、山西方之圆陶瓷产品检验公司等专业公司，积极参与开发区基础设施建设、园区管理运营、专业化服务，聚焦开发区发展战略和中心任务，充分发挥国有资金“四两拨千斤”作用，投资拉动系数逐年放大。</w:t>
      </w:r>
    </w:p>
    <w:p w14:paraId="163438EC">
      <w:pPr>
        <w:widowControl/>
        <w:ind w:firstLine="643"/>
        <w:jc w:val="left"/>
        <w:rPr>
          <w:rFonts w:hint="eastAsia" w:ascii="Times New Roman" w:hAnsi="Times New Roman" w:eastAsia="方正仿宋_GB2312" w:cs="仿宋"/>
          <w:kern w:val="0"/>
          <w:sz w:val="32"/>
          <w:lang w:bidi="ar"/>
        </w:rPr>
      </w:pPr>
      <w:r>
        <w:rPr>
          <w:rFonts w:hint="eastAsia" w:ascii="Times New Roman" w:hAnsi="Times New Roman" w:eastAsia="方正仿宋_GB2312"/>
          <w:b/>
          <w:sz w:val="32"/>
        </w:rPr>
        <w:t>创新驱动引领发展</w:t>
      </w:r>
      <w:r>
        <w:rPr>
          <w:rFonts w:ascii="Times New Roman" w:hAnsi="Times New Roman" w:eastAsia="方正仿宋_GB2312"/>
          <w:b/>
          <w:sz w:val="32"/>
        </w:rPr>
        <w:t>。</w:t>
      </w:r>
      <w:r>
        <w:rPr>
          <w:rFonts w:hint="eastAsia" w:ascii="Times New Roman" w:hAnsi="Times New Roman" w:eastAsia="方正仿宋_GB2312"/>
          <w:sz w:val="32"/>
        </w:rPr>
        <w:t>持续推动产品升级和新产品开发，与中国建材咸阳陶瓷研究院合作成立了“阳城县方圆陶瓷琉璃研发中心”，</w:t>
      </w:r>
      <w:r>
        <w:rPr>
          <w:rFonts w:hint="eastAsia" w:ascii="Times New Roman" w:hAnsi="Times New Roman" w:eastAsia="方正仿宋_GB2312"/>
          <w:sz w:val="32"/>
          <w:lang w:bidi="ar"/>
        </w:rPr>
        <w:t>建成省内唯一的建筑陶瓷检测检验机构，</w:t>
      </w:r>
      <w:r>
        <w:rPr>
          <w:rFonts w:hint="eastAsia" w:ascii="Times New Roman" w:hAnsi="Times New Roman" w:eastAsia="方正仿宋_GB2312"/>
          <w:sz w:val="32"/>
        </w:rPr>
        <w:t>为我县建筑陶瓷及琉璃制品生产企业提供技术开发相关服务。企业专注科技研发蔚然成风，鑫途化工、铁峰化工</w:t>
      </w:r>
      <w:r>
        <w:rPr>
          <w:rFonts w:hint="eastAsia" w:ascii="Times New Roman" w:hAnsi="Times New Roman" w:eastAsia="方正仿宋_GB2312"/>
          <w:sz w:val="32"/>
          <w:lang w:bidi="ar"/>
        </w:rPr>
        <w:t>获评国家级专精特新“小巨人”企业，</w:t>
      </w:r>
      <w:r>
        <w:rPr>
          <w:rFonts w:hint="eastAsia" w:ascii="Times New Roman" w:hAnsi="Times New Roman" w:eastAsia="方正仿宋_GB2312"/>
          <w:sz w:val="32"/>
        </w:rPr>
        <w:t>区内福龙、华冠等企业建成市级企业技术研发中心，目前阳城开发区各类企业已累计申请通过专利20余项。</w:t>
      </w:r>
      <w:r>
        <w:rPr>
          <w:rFonts w:hint="eastAsia" w:ascii="Times New Roman" w:hAnsi="Times New Roman" w:eastAsia="方正仿宋_GB2312"/>
          <w:sz w:val="32"/>
          <w:lang w:bidi="ar"/>
        </w:rPr>
        <w:t>开发区内企业数字化改造成效明显，美陶陶瓷获得两化融合管理体系评定，8家</w:t>
      </w:r>
      <w:r>
        <w:rPr>
          <w:rFonts w:ascii="Times New Roman" w:hAnsi="Times New Roman" w:eastAsia="方正仿宋_GB2312" w:cs="仿宋"/>
          <w:kern w:val="0"/>
          <w:sz w:val="32"/>
          <w:lang w:bidi="ar"/>
        </w:rPr>
        <w:t>陶瓷企业接入工业互联网，关键设备数据实时监测与智能控制，数字化赋能传统陶瓷产业。</w:t>
      </w:r>
    </w:p>
    <w:p w14:paraId="6C78786B">
      <w:pPr>
        <w:spacing w:line="600" w:lineRule="exact"/>
        <w:ind w:firstLine="643"/>
        <w:outlineLvl w:val="2"/>
        <w:rPr>
          <w:rFonts w:hint="eastAsia" w:ascii="Times New Roman" w:hAnsi="Times New Roman" w:eastAsia="方正仿宋_GB2312" w:cs="仿宋"/>
          <w:sz w:val="32"/>
        </w:rPr>
      </w:pPr>
      <w:r>
        <w:rPr>
          <w:rFonts w:hint="eastAsia" w:ascii="Times New Roman" w:hAnsi="Times New Roman" w:eastAsia="方正仿宋_GB2312" w:cs="仿宋"/>
          <w:b/>
          <w:bCs/>
          <w:sz w:val="32"/>
        </w:rPr>
        <w:t>项目招引落地见效。</w:t>
      </w:r>
      <w:r>
        <w:rPr>
          <w:rFonts w:hint="eastAsia" w:ascii="Times New Roman" w:hAnsi="Times New Roman" w:eastAsia="方正仿宋_GB2312" w:cs="仿宋"/>
          <w:sz w:val="32"/>
        </w:rPr>
        <w:t>开发区</w:t>
      </w:r>
      <w:r>
        <w:rPr>
          <w:rFonts w:hint="eastAsia" w:ascii="Times New Roman" w:hAnsi="Times New Roman" w:eastAsia="方正仿宋_GB2312"/>
          <w:bCs/>
          <w:sz w:val="32"/>
          <w:lang w:bidi="ar"/>
        </w:rPr>
        <w:t>制定并实施《阳城经济技术开发区招商引资工作流程方案》《阳城经济技术开发区产业招商小分队实施方案》，在全国统一大市场新形势下，以完善产业生态优化产业发展环境为核心，探索产</w:t>
      </w:r>
      <w:r>
        <w:rPr>
          <w:rFonts w:hint="eastAsia" w:ascii="Times New Roman" w:hAnsi="Times New Roman" w:eastAsia="方正仿宋_GB2312" w:cs="仿宋"/>
          <w:sz w:val="32"/>
        </w:rPr>
        <w:t>业链招商、专业镇招商、基金招商以及“政府+开发区+社会资本+公司”招商新模式。以“签约-开工-投产”全链条推进为抓手，实现项目建设量质齐升。“十四五”期间，累计完成签约项目</w:t>
      </w:r>
      <w:r>
        <w:rPr>
          <w:rFonts w:hint="eastAsia" w:ascii="Times New Roman" w:hAnsi="Times New Roman" w:eastAsia="方正仿宋_GB2312"/>
          <w:bCs/>
          <w:sz w:val="32"/>
          <w:lang w:bidi="ar"/>
        </w:rPr>
        <w:t>45个，总投资达112.86亿元；推动开工项目42个，总投资 91.43亿元；实现投产项目46个，总投资80.79亿元，形成“</w:t>
      </w:r>
      <w:r>
        <w:rPr>
          <w:rFonts w:hint="eastAsia" w:ascii="Times New Roman" w:hAnsi="Times New Roman" w:eastAsia="方正仿宋_GB2312" w:cs="仿宋"/>
          <w:sz w:val="32"/>
        </w:rPr>
        <w:t>签约有储备、开工有进度、投产有效益”的良性循环。</w:t>
      </w:r>
    </w:p>
    <w:p w14:paraId="64B09409">
      <w:pPr>
        <w:widowControl/>
        <w:ind w:firstLine="643"/>
        <w:jc w:val="left"/>
        <w:rPr>
          <w:rFonts w:ascii="Times New Roman" w:hAnsi="Times New Roman" w:eastAsia="方正仿宋_GB2312"/>
          <w:bCs/>
          <w:sz w:val="32"/>
          <w:lang w:bidi="ar"/>
        </w:rPr>
      </w:pPr>
      <w:r>
        <w:rPr>
          <w:rFonts w:hint="eastAsia" w:ascii="Times New Roman" w:hAnsi="Times New Roman" w:eastAsia="方正仿宋_GB2312"/>
          <w:b/>
          <w:sz w:val="32"/>
        </w:rPr>
        <w:t>营商环境日臻优化。</w:t>
      </w:r>
      <w:r>
        <w:rPr>
          <w:rFonts w:hint="eastAsia" w:ascii="Times New Roman" w:hAnsi="Times New Roman" w:eastAsia="方正仿宋_GB2312"/>
          <w:sz w:val="32"/>
        </w:rPr>
        <w:t>完成承接赋权三批63项审批事项，</w:t>
      </w:r>
      <w:r>
        <w:rPr>
          <w:rFonts w:hint="eastAsia" w:ascii="Times New Roman" w:hAnsi="Times New Roman" w:eastAsia="方正仿宋_GB2312" w:cs="仿宋"/>
          <w:kern w:val="0"/>
          <w:sz w:val="32"/>
          <w:lang w:bidi="ar"/>
        </w:rPr>
        <w:t>“承诺制+标准地+全代办”改革全面推进。“承诺制”改革，</w:t>
      </w:r>
      <w:r>
        <w:rPr>
          <w:rFonts w:hint="eastAsia" w:ascii="Times New Roman" w:hAnsi="Times New Roman" w:eastAsia="方正仿宋_GB2312"/>
          <w:sz w:val="32"/>
          <w:lang w:bidi="ar"/>
        </w:rPr>
        <w:t>全面推行“一本制”审批模式，对备案类一般工业新建投资项目</w:t>
      </w:r>
      <w:r>
        <w:rPr>
          <w:rFonts w:hint="eastAsia" w:ascii="Times New Roman" w:hAnsi="Times New Roman" w:eastAsia="方正仿宋_GB2312"/>
          <w:bCs/>
          <w:sz w:val="32"/>
          <w:lang w:bidi="ar"/>
        </w:rPr>
        <w:t>100%实行承诺制，对符合“一本制”条件项目100%实</w:t>
      </w:r>
      <w:r>
        <w:rPr>
          <w:rFonts w:hint="eastAsia" w:ascii="Times New Roman" w:hAnsi="Times New Roman" w:eastAsia="方正仿宋_GB2312"/>
          <w:sz w:val="32"/>
          <w:lang w:bidi="ar"/>
        </w:rPr>
        <w:t>行“一本制”，将环评、能评、施工许可等多个审批事项打包办理，大力提升行</w:t>
      </w:r>
      <w:r>
        <w:rPr>
          <w:rFonts w:hint="eastAsia" w:ascii="Times New Roman" w:hAnsi="Times New Roman" w:eastAsia="方正仿宋_GB2312" w:cs="仿宋"/>
          <w:kern w:val="0"/>
          <w:sz w:val="32"/>
          <w:lang w:bidi="ar"/>
        </w:rPr>
        <w:t>政审批效率。“标准地”改革</w:t>
      </w:r>
      <w:r>
        <w:rPr>
          <w:rFonts w:hint="eastAsia" w:ascii="Times New Roman" w:hAnsi="Times New Roman" w:eastAsia="方正仿宋_GB2312"/>
          <w:sz w:val="32"/>
          <w:lang w:bidi="ar"/>
        </w:rPr>
        <w:t>，构建“地等项目”新格局，通过超前谋划和主动作为，实现土地要素高效配置，“十四五”时期共收储土地16宗</w:t>
      </w:r>
      <w:r>
        <w:rPr>
          <w:rFonts w:hint="eastAsia" w:ascii="Times New Roman" w:hAnsi="Times New Roman" w:eastAsia="方正仿宋_GB2312"/>
          <w:sz w:val="32"/>
          <w:lang w:val="en-US" w:eastAsia="zh-CN" w:bidi="ar"/>
        </w:rPr>
        <w:t>约</w:t>
      </w:r>
      <w:r>
        <w:rPr>
          <w:rFonts w:hint="eastAsia" w:ascii="Times New Roman" w:hAnsi="Times New Roman" w:eastAsia="方正仿宋_GB2312" w:cs="宋体"/>
          <w:sz w:val="32"/>
          <w:lang w:bidi="ar"/>
        </w:rPr>
        <w:t>1851</w:t>
      </w:r>
      <w:r>
        <w:rPr>
          <w:rFonts w:hint="eastAsia" w:ascii="Times New Roman" w:hAnsi="Times New Roman" w:eastAsia="方正仿宋_GB2312"/>
          <w:sz w:val="32"/>
          <w:lang w:bidi="ar"/>
        </w:rPr>
        <w:t>亩</w:t>
      </w:r>
      <w:r>
        <w:rPr>
          <w:rFonts w:hint="eastAsia" w:ascii="Times New Roman" w:hAnsi="Times New Roman" w:eastAsia="方正仿宋_GB2312"/>
          <w:bCs/>
          <w:sz w:val="32"/>
          <w:lang w:bidi="ar"/>
        </w:rPr>
        <w:t>，土地收储顺利推进，为园区建设夯实了基础。“全代办”改革深化推进，推行项目审批靠前全代办服务机制，全面打造项目全生命周期“一站式”陪跑服务，</w:t>
      </w:r>
      <w:r>
        <w:rPr>
          <w:rFonts w:hint="eastAsia" w:ascii="Times New Roman" w:hAnsi="Times New Roman" w:eastAsia="方正仿宋_GB2312"/>
          <w:bCs/>
          <w:sz w:val="32"/>
          <w:lang w:val="en-US" w:eastAsia="zh-CN" w:bidi="ar"/>
        </w:rPr>
        <w:t>累计</w:t>
      </w:r>
      <w:r>
        <w:rPr>
          <w:rFonts w:hint="eastAsia" w:ascii="Times New Roman" w:hAnsi="Times New Roman" w:eastAsia="方正仿宋_GB2312"/>
          <w:bCs/>
          <w:sz w:val="32"/>
          <w:lang w:bidi="ar"/>
        </w:rPr>
        <w:t>完成</w:t>
      </w:r>
      <w:r>
        <w:rPr>
          <w:rFonts w:hint="eastAsia" w:ascii="Times New Roman" w:hAnsi="Times New Roman" w:eastAsia="方正仿宋_GB2312"/>
          <w:bCs/>
          <w:sz w:val="32"/>
          <w:lang w:val="en-US" w:eastAsia="zh-CN" w:bidi="ar"/>
        </w:rPr>
        <w:t>312</w:t>
      </w:r>
      <w:r>
        <w:rPr>
          <w:rFonts w:hint="eastAsia" w:ascii="Times New Roman" w:hAnsi="Times New Roman" w:eastAsia="方正仿宋_GB2312"/>
          <w:bCs/>
          <w:sz w:val="32"/>
          <w:lang w:bidi="ar"/>
        </w:rPr>
        <w:t>个项目</w:t>
      </w:r>
      <w:r>
        <w:rPr>
          <w:rFonts w:hint="eastAsia" w:ascii="Times New Roman" w:hAnsi="Times New Roman" w:eastAsia="方正仿宋_GB2312"/>
          <w:bCs/>
          <w:sz w:val="32"/>
          <w:lang w:eastAsia="zh-CN" w:bidi="ar"/>
        </w:rPr>
        <w:t>、</w:t>
      </w:r>
      <w:r>
        <w:rPr>
          <w:rFonts w:hint="eastAsia" w:ascii="Times New Roman" w:hAnsi="Times New Roman" w:eastAsia="方正仿宋_GB2312"/>
          <w:bCs/>
          <w:sz w:val="32"/>
          <w:lang w:val="en-US" w:eastAsia="zh-CN" w:bidi="ar"/>
        </w:rPr>
        <w:t>607</w:t>
      </w:r>
      <w:r>
        <w:rPr>
          <w:rFonts w:hint="eastAsia" w:ascii="Times New Roman" w:hAnsi="Times New Roman" w:eastAsia="方正仿宋_GB2312"/>
          <w:bCs/>
          <w:sz w:val="32"/>
          <w:lang w:bidi="ar"/>
        </w:rPr>
        <w:t>件</w:t>
      </w:r>
      <w:r>
        <w:rPr>
          <w:rFonts w:hint="eastAsia" w:ascii="Times New Roman" w:hAnsi="Times New Roman" w:eastAsia="方正仿宋_GB2312"/>
          <w:bCs/>
          <w:sz w:val="32"/>
          <w:lang w:val="en-US" w:eastAsia="zh-CN" w:bidi="ar"/>
        </w:rPr>
        <w:t>审批事项全代办</w:t>
      </w:r>
      <w:r>
        <w:rPr>
          <w:rFonts w:hint="eastAsia" w:ascii="Times New Roman" w:hAnsi="Times New Roman" w:eastAsia="方正仿宋_GB2312"/>
          <w:bCs/>
          <w:sz w:val="32"/>
          <w:lang w:bidi="ar"/>
        </w:rPr>
        <w:t>。</w:t>
      </w:r>
    </w:p>
    <w:p w14:paraId="652BFE26">
      <w:pPr>
        <w:widowControl/>
        <w:ind w:firstLine="643"/>
        <w:jc w:val="left"/>
        <w:rPr>
          <w:rFonts w:hint="eastAsia" w:ascii="Times New Roman" w:hAnsi="Times New Roman" w:eastAsia="方正仿宋_GB2312" w:cs="仿宋"/>
          <w:kern w:val="0"/>
          <w:sz w:val="32"/>
          <w:lang w:bidi="ar"/>
        </w:rPr>
      </w:pPr>
      <w:r>
        <w:rPr>
          <w:rFonts w:hint="eastAsia" w:ascii="Times New Roman" w:hAnsi="Times New Roman" w:eastAsia="方正仿宋_GB2312" w:cs="楷体_GB2312"/>
          <w:b/>
          <w:bCs/>
          <w:sz w:val="32"/>
          <w:szCs w:val="40"/>
        </w:rPr>
        <w:t>基础设施逐步完善。</w:t>
      </w:r>
      <w:r>
        <w:rPr>
          <w:rFonts w:hint="eastAsia" w:ascii="Times New Roman" w:hAnsi="Times New Roman" w:eastAsia="方正仿宋_GB2312"/>
          <w:bCs/>
          <w:sz w:val="32"/>
          <w:lang w:bidi="ar"/>
        </w:rPr>
        <w:t>统筹“一区三园”基础设施和公共配套设施的规划建设，完成安阳（含八甲口）、台头、演礼等园区10条线路新建改造，升级道路、中水管网、电网、燃气。安阳园区建成供水管网10公里、供气管线6.7公里，建成23条10kV和1条35kV输电线路。台头化工园区完成消防站、应急管理中心、智慧化平台、雨水收集池等设施建设，完成投资约 2.8 亿元。演礼新兴科技产业园完成25栋标准化厂房主体建设，同步完成管网、供电、供气等设施建设并顺利投入使用。</w:t>
      </w:r>
    </w:p>
    <w:p w14:paraId="22881F95">
      <w:pPr>
        <w:ind w:left="0" w:leftChars="0" w:firstLine="0" w:firstLineChars="0"/>
        <w:jc w:val="center"/>
        <w:rPr>
          <w:rFonts w:ascii="Times New Roman" w:hAnsi="Times New Roman" w:eastAsia="楷体_GB2312"/>
          <w:b/>
        </w:rPr>
      </w:pPr>
      <w:bookmarkStart w:id="12" w:name="_Toc22883"/>
      <w:bookmarkStart w:id="13" w:name="_Toc23756"/>
      <w:bookmarkStart w:id="14" w:name="_Toc3020"/>
      <w:r>
        <w:rPr>
          <w:rFonts w:hint="eastAsia" w:ascii="Times New Roman" w:hAnsi="Times New Roman" w:eastAsia="楷体_GB2312"/>
          <w:b/>
        </w:rPr>
        <w:t>第二节 发展优势及存在问题</w:t>
      </w:r>
      <w:bookmarkEnd w:id="12"/>
      <w:bookmarkEnd w:id="13"/>
      <w:bookmarkEnd w:id="14"/>
    </w:p>
    <w:p w14:paraId="5B306235">
      <w:pPr>
        <w:spacing w:line="600" w:lineRule="exact"/>
        <w:ind w:firstLine="643"/>
        <w:outlineLvl w:val="2"/>
        <w:rPr>
          <w:rFonts w:ascii="Times New Roman" w:hAnsi="Times New Roman" w:eastAsia="楷体_GB2312"/>
          <w:b/>
        </w:rPr>
      </w:pPr>
      <w:r>
        <w:rPr>
          <w:rFonts w:hint="eastAsia" w:ascii="Times New Roman" w:hAnsi="Times New Roman" w:eastAsia="楷体_GB2312"/>
          <w:b/>
        </w:rPr>
        <w:t>一、阳城开发区发展优势</w:t>
      </w:r>
    </w:p>
    <w:p w14:paraId="771CDB21">
      <w:pPr>
        <w:numPr>
          <w:ilvl w:val="0"/>
          <w:numId w:val="0"/>
        </w:numPr>
        <w:ind w:firstLine="643" w:firstLineChars="200"/>
        <w:rPr>
          <w:rFonts w:hint="eastAsia" w:ascii="Times New Roman" w:hAnsi="Times New Roman"/>
          <w:sz w:val="32"/>
        </w:rPr>
      </w:pPr>
      <w:r>
        <w:rPr>
          <w:rFonts w:hint="eastAsia" w:ascii="Times New Roman" w:hAnsi="Times New Roman"/>
          <w:b/>
          <w:bCs/>
          <w:sz w:val="32"/>
        </w:rPr>
        <w:t>区位优势</w:t>
      </w:r>
      <w:r>
        <w:rPr>
          <w:rFonts w:hint="eastAsia" w:ascii="Times New Roman" w:hAnsi="Times New Roman"/>
          <w:b/>
          <w:bCs/>
          <w:sz w:val="32"/>
          <w:lang w:eastAsia="zh-CN"/>
        </w:rPr>
        <w:t>。</w:t>
      </w:r>
      <w:r>
        <w:rPr>
          <w:rFonts w:hint="eastAsia" w:ascii="Times New Roman" w:hAnsi="Times New Roman"/>
          <w:sz w:val="32"/>
        </w:rPr>
        <w:t>阳城开发区位于晋东南城镇群、黄河金三角群、中原城市群三大城市群几何中心，具有得天独厚的地理优势。阳翼、晋阳、阳济高速和规划阳运高速四通周边，太郑高铁近在咫尺，规划中的晋运客专、郑银高铁交集阳城，周边洛阳、长治、运城和在建的晋城机场都在1小时车程，使阳城成为中原城市群、晋东南城镇群的交汇点，地缘优势、融合态势正开始展开。</w:t>
      </w:r>
    </w:p>
    <w:p w14:paraId="518E958C">
      <w:pPr>
        <w:numPr>
          <w:ilvl w:val="0"/>
          <w:numId w:val="0"/>
        </w:numPr>
        <w:ind w:firstLine="643" w:firstLineChars="200"/>
        <w:rPr>
          <w:rFonts w:hint="eastAsia" w:ascii="Times New Roman" w:hAnsi="Times New Roman" w:eastAsia="方正仿宋_GB2312"/>
          <w:sz w:val="32"/>
        </w:rPr>
      </w:pPr>
      <w:r>
        <w:rPr>
          <w:rFonts w:hint="eastAsia" w:ascii="Times New Roman" w:hAnsi="Times New Roman"/>
          <w:b/>
          <w:bCs/>
          <w:sz w:val="32"/>
        </w:rPr>
        <w:t>能源资源优势</w:t>
      </w:r>
      <w:r>
        <w:rPr>
          <w:rFonts w:hint="eastAsia" w:ascii="Times New Roman" w:hAnsi="Times New Roman"/>
          <w:b/>
          <w:bCs/>
          <w:sz w:val="32"/>
          <w:lang w:eastAsia="zh-CN"/>
        </w:rPr>
        <w:t>。</w:t>
      </w:r>
      <w:r>
        <w:rPr>
          <w:rFonts w:hint="eastAsia" w:ascii="Times New Roman" w:hAnsi="Times New Roman"/>
          <w:bCs/>
          <w:sz w:val="32"/>
          <w:lang w:bidi="ar"/>
        </w:rPr>
        <w:t>2025年阳城县规上企业原煤产量达2136.3万吨，液化天然气产量6.94万吨，煤层气产量5.91 亿立方米（探明储量514亿立方米），总装机330万kW，发电量195.6亿千瓦时，新能源装机容量增至 89.3万千瓦时，为产业发展提供了坚实的能源保障。阳城电价0.52元/千瓦时、煤层气价2.2-2.5元/立方米，处于全国较低水平。</w:t>
      </w:r>
      <w:r>
        <w:rPr>
          <w:rFonts w:ascii="Times New Roman" w:hAnsi="Times New Roman"/>
          <w:bCs/>
          <w:sz w:val="32"/>
          <w:lang w:bidi="ar"/>
        </w:rPr>
        <w:t>县内拥有沁河、</w:t>
      </w:r>
      <w:r>
        <w:rPr>
          <w:rFonts w:hint="eastAsia" w:ascii="Times New Roman" w:hAnsi="Times New Roman"/>
          <w:bCs/>
          <w:color w:val="000000"/>
          <w:sz w:val="32"/>
          <w:lang w:bidi="ar"/>
        </w:rPr>
        <w:t>芦苇河</w:t>
      </w:r>
      <w:r>
        <w:rPr>
          <w:rFonts w:ascii="Times New Roman" w:hAnsi="Times New Roman"/>
          <w:bCs/>
          <w:color w:val="000000"/>
          <w:sz w:val="32"/>
          <w:lang w:bidi="ar"/>
        </w:rPr>
        <w:t>等大小河流48条</w:t>
      </w:r>
      <w:r>
        <w:rPr>
          <w:rFonts w:ascii="Times New Roman" w:hAnsi="Times New Roman"/>
          <w:bCs/>
          <w:sz w:val="32"/>
          <w:lang w:bidi="ar"/>
        </w:rPr>
        <w:t>，水资源可利用储量15.8亿立方米，在山西属于相对富水县</w:t>
      </w:r>
      <w:r>
        <w:rPr>
          <w:rFonts w:hint="eastAsia" w:ascii="Times New Roman" w:hAnsi="Times New Roman"/>
          <w:bCs/>
          <w:sz w:val="32"/>
          <w:lang w:bidi="ar"/>
        </w:rPr>
        <w:t>，</w:t>
      </w:r>
      <w:r>
        <w:rPr>
          <w:rFonts w:ascii="Times New Roman" w:hAnsi="Times New Roman"/>
          <w:bCs/>
          <w:sz w:val="32"/>
          <w:lang w:bidi="ar"/>
        </w:rPr>
        <w:t>万元工业增加值用水指标</w:t>
      </w:r>
      <w:r>
        <w:rPr>
          <w:rFonts w:hint="default" w:ascii="Times New Roman" w:hAnsi="Times New Roman" w:cs="Times New Roman"/>
          <w:bCs/>
          <w:sz w:val="32"/>
          <w:lang w:bidi="ar"/>
        </w:rPr>
        <w:t>16.98</w:t>
      </w:r>
      <w:r>
        <w:rPr>
          <w:rFonts w:hint="default" w:ascii="Times New Roman" w:hAnsi="Times New Roman" w:eastAsia="微软雅黑" w:cs="Times New Roman"/>
          <w:bCs/>
          <w:sz w:val="32"/>
          <w:lang w:eastAsia="zh-CN" w:bidi="ar"/>
        </w:rPr>
        <w:t>m³</w:t>
      </w:r>
      <w:r>
        <w:rPr>
          <w:rFonts w:ascii="Times New Roman" w:hAnsi="Times New Roman"/>
          <w:bCs/>
          <w:sz w:val="32"/>
          <w:lang w:bidi="ar"/>
        </w:rPr>
        <w:t>，</w:t>
      </w:r>
      <w:r>
        <w:rPr>
          <w:rFonts w:ascii="Times New Roman" w:hAnsi="Times New Roman"/>
          <w:sz w:val="32"/>
        </w:rPr>
        <w:t>居晋城</w:t>
      </w:r>
      <w:r>
        <w:rPr>
          <w:rFonts w:ascii="Times New Roman" w:hAnsi="Times New Roman"/>
          <w:bCs/>
          <w:sz w:val="32"/>
          <w:lang w:bidi="ar"/>
        </w:rPr>
        <w:t>第2位。</w:t>
      </w:r>
      <w:r>
        <w:rPr>
          <w:rFonts w:hint="eastAsia" w:ascii="Times New Roman" w:hAnsi="Times New Roman"/>
          <w:sz w:val="32"/>
        </w:rPr>
        <w:t>县内电力资源丰富，蒸汽价格</w:t>
      </w:r>
      <w:r>
        <w:rPr>
          <w:rFonts w:hint="eastAsia" w:ascii="Times New Roman" w:hAnsi="Times New Roman" w:eastAsia="方正仿宋_GB2312"/>
          <w:sz w:val="32"/>
        </w:rPr>
        <w:t>明显低于东部地区，在生产要素价格上具有比较优势。县域内丰富的煤炭、煤层气、铝矾土、硫铁矿、陶瓷粘土、白云石等数十种矿产资源为发展先进制造、精细化工和电子信息制造业提供了丰富的原材料基础。</w:t>
      </w:r>
    </w:p>
    <w:p w14:paraId="777E1BED">
      <w:pPr>
        <w:numPr>
          <w:ilvl w:val="0"/>
          <w:numId w:val="0"/>
        </w:numPr>
        <w:ind w:firstLine="643" w:firstLineChars="200"/>
        <w:rPr>
          <w:rFonts w:hint="eastAsia" w:ascii="Times New Roman" w:hAnsi="Times New Roman" w:eastAsia="方正仿宋_GB2312"/>
          <w:sz w:val="32"/>
        </w:rPr>
      </w:pPr>
      <w:r>
        <w:rPr>
          <w:rFonts w:hint="eastAsia" w:ascii="Times New Roman" w:hAnsi="Times New Roman" w:eastAsia="方正仿宋_GB2312"/>
          <w:b/>
          <w:bCs/>
          <w:sz w:val="32"/>
        </w:rPr>
        <w:t>产业</w:t>
      </w:r>
      <w:r>
        <w:rPr>
          <w:rFonts w:hint="eastAsia" w:ascii="Times New Roman" w:hAnsi="Times New Roman" w:eastAsia="方正仿宋_GB2312"/>
          <w:b/>
          <w:bCs/>
          <w:sz w:val="32"/>
          <w:lang w:val="en-US" w:eastAsia="zh-CN"/>
        </w:rPr>
        <w:t>发展</w:t>
      </w:r>
      <w:r>
        <w:rPr>
          <w:rFonts w:hint="eastAsia" w:ascii="Times New Roman" w:hAnsi="Times New Roman" w:eastAsia="方正仿宋_GB2312"/>
          <w:b/>
          <w:bCs/>
          <w:sz w:val="32"/>
        </w:rPr>
        <w:t>优势</w:t>
      </w:r>
      <w:r>
        <w:rPr>
          <w:rFonts w:hint="eastAsia" w:ascii="Times New Roman" w:hAnsi="Times New Roman" w:eastAsia="方正仿宋_GB2312"/>
          <w:b/>
          <w:bCs/>
          <w:sz w:val="32"/>
          <w:lang w:eastAsia="zh-CN"/>
        </w:rPr>
        <w:t>。</w:t>
      </w:r>
      <w:r>
        <w:rPr>
          <w:rFonts w:hint="eastAsia" w:ascii="Times New Roman" w:hAnsi="Times New Roman" w:eastAsia="方正仿宋_GB2312"/>
          <w:sz w:val="32"/>
        </w:rPr>
        <w:t>建区以来，开发区根据自身资源禀赋聚焦产业发展，已逐步形成陶瓷、精细化工和加工制造三大产业方向的发展路径。陶瓷产业作为全国建筑陶瓷的主产地之一，具有十余年的产业积淀，有规上建瓷企业11家，形成年产2亿平方米的生产规模。精细化工产业依托阳城</w:t>
      </w:r>
      <w:r>
        <w:rPr>
          <w:rFonts w:hint="eastAsia" w:ascii="Times New Roman" w:hAnsi="Times New Roman" w:eastAsia="方正仿宋_GB2312"/>
          <w:bCs/>
          <w:sz w:val="32"/>
          <w:lang w:bidi="ar"/>
        </w:rPr>
        <w:t>独特的</w:t>
      </w:r>
      <w:r>
        <w:rPr>
          <w:rFonts w:hint="eastAsia" w:ascii="Times New Roman" w:hAnsi="Times New Roman" w:eastAsia="方正仿宋_GB2312"/>
          <w:sz w:val="32"/>
        </w:rPr>
        <w:t>“硫系化工”比较优势，已经积累了一批优质企业和多年的生产经验，台头化工园区首批获批省化工园区（全省共批准</w:t>
      </w:r>
      <w:r>
        <w:rPr>
          <w:rFonts w:ascii="Times New Roman" w:hAnsi="Times New Roman" w:eastAsia="方正仿宋_GB2312"/>
          <w:bCs/>
          <w:sz w:val="32"/>
          <w:lang w:bidi="ar"/>
        </w:rPr>
        <w:t>25个化工园区，大多以煤焦副产品煤化工为主</w:t>
      </w:r>
      <w:r>
        <w:rPr>
          <w:rFonts w:hint="eastAsia" w:ascii="Times New Roman" w:hAnsi="Times New Roman" w:eastAsia="方正仿宋_GB2312"/>
          <w:bCs/>
          <w:sz w:val="32"/>
          <w:lang w:bidi="ar"/>
        </w:rPr>
        <w:t>）</w:t>
      </w:r>
      <w:r>
        <w:rPr>
          <w:rFonts w:ascii="Times New Roman" w:hAnsi="Times New Roman" w:eastAsia="方正仿宋_GB2312"/>
          <w:bCs/>
          <w:sz w:val="32"/>
          <w:lang w:bidi="ar"/>
        </w:rPr>
        <w:t>，</w:t>
      </w:r>
      <w:r>
        <w:rPr>
          <w:rFonts w:hint="eastAsia" w:ascii="Times New Roman" w:hAnsi="Times New Roman" w:eastAsia="方正仿宋_GB2312"/>
          <w:sz w:val="32"/>
        </w:rPr>
        <w:t>具备了较强的产业承接优势。加工制造业着力培育新兴产业链条，依托区域固废资源，大力发展“资源—产业—环保”一体化项目，积极探索资源型地区产业转型路径，打造特色产业集群，同步按照“精准、靶向、链式”的理念与原则招商引资，引入电子信息、加工制造等产业，阳城开发区特色优势现代产业体系已初步建立。</w:t>
      </w:r>
    </w:p>
    <w:p w14:paraId="3C2F1197">
      <w:pPr>
        <w:numPr>
          <w:ilvl w:val="0"/>
          <w:numId w:val="0"/>
        </w:numPr>
        <w:ind w:firstLine="643" w:firstLineChars="200"/>
        <w:rPr>
          <w:rFonts w:hint="eastAsia"/>
        </w:rPr>
      </w:pPr>
      <w:r>
        <w:rPr>
          <w:rFonts w:hint="eastAsia" w:ascii="Times New Roman" w:hAnsi="Times New Roman" w:eastAsia="方正仿宋_GB2312"/>
          <w:b/>
          <w:bCs/>
          <w:sz w:val="32"/>
        </w:rPr>
        <w:t>空间优势</w:t>
      </w:r>
      <w:r>
        <w:rPr>
          <w:rFonts w:hint="eastAsia" w:ascii="Times New Roman" w:hAnsi="Times New Roman" w:eastAsia="方正仿宋_GB2312"/>
          <w:b/>
          <w:bCs/>
          <w:sz w:val="32"/>
          <w:lang w:eastAsia="zh-CN"/>
        </w:rPr>
        <w:t>。</w:t>
      </w:r>
      <w:r>
        <w:rPr>
          <w:rFonts w:hint="eastAsia" w:ascii="Times New Roman" w:hAnsi="Times New Roman" w:eastAsia="方正仿宋_GB2312" w:cs="仿宋"/>
          <w:sz w:val="32"/>
        </w:rPr>
        <w:t>“十五五”时期，开发区优化调整方案将城镇开发边界外的覆压采矿区、村庄居民集中区安全距离范围、陡坎地等地块调出；将阳城县台头化工园区整体调入。调整优化后，开发区总用地面积将更加优化，全部位于城镇开发</w:t>
      </w:r>
      <w:r>
        <w:rPr>
          <w:rFonts w:hint="eastAsia" w:ascii="方正仿宋_GB2312" w:hAnsi="方正仿宋_GB2312" w:eastAsia="方正仿宋_GB2312" w:cs="方正仿宋_GB2312"/>
        </w:rPr>
        <w:t>边界内、未占永久基本农田和生态保护红线，符合相关规划、自然生态、环境保护及国家安全等方面的要求。将阳城县台头化工园区调入开发区后，进一步发挥开发区产业集聚发展优势的同时，台头园区也统一享受开发区优惠政策，为产业发展奠定了坚实基础。</w:t>
      </w:r>
    </w:p>
    <w:p w14:paraId="74C2A704">
      <w:pPr>
        <w:spacing w:line="600" w:lineRule="exact"/>
        <w:ind w:firstLine="643"/>
        <w:outlineLvl w:val="2"/>
        <w:rPr>
          <w:rFonts w:ascii="Times New Roman" w:hAnsi="Times New Roman" w:eastAsia="楷体_GB2312"/>
          <w:b/>
        </w:rPr>
      </w:pPr>
      <w:r>
        <w:rPr>
          <w:rFonts w:hint="eastAsia" w:ascii="Times New Roman" w:hAnsi="Times New Roman" w:eastAsia="楷体_GB2312"/>
          <w:b/>
        </w:rPr>
        <w:t>二、阳城开发区发展存在问题</w:t>
      </w:r>
    </w:p>
    <w:p w14:paraId="6A8E4A7F">
      <w:pPr>
        <w:ind w:firstLine="640"/>
        <w:rPr>
          <w:rFonts w:hint="eastAsia" w:ascii="Times New Roman" w:hAnsi="Times New Roman" w:eastAsia="方正仿宋_GB2312"/>
          <w:sz w:val="32"/>
        </w:rPr>
      </w:pPr>
      <w:r>
        <w:rPr>
          <w:rFonts w:hint="eastAsia" w:ascii="Times New Roman" w:hAnsi="Times New Roman" w:eastAsia="方正仿宋_GB2312"/>
          <w:bCs/>
          <w:sz w:val="32"/>
        </w:rPr>
        <w:t>阳城开发区</w:t>
      </w:r>
      <w:r>
        <w:rPr>
          <w:rFonts w:ascii="Times New Roman" w:hAnsi="Times New Roman" w:eastAsia="方正仿宋_GB2312"/>
          <w:bCs/>
          <w:sz w:val="32"/>
        </w:rPr>
        <w:t>发展</w:t>
      </w:r>
      <w:r>
        <w:rPr>
          <w:rFonts w:ascii="Times New Roman" w:hAnsi="Times New Roman" w:eastAsia="方正仿宋_GB2312"/>
          <w:sz w:val="32"/>
        </w:rPr>
        <w:t>仍</w:t>
      </w:r>
      <w:r>
        <w:rPr>
          <w:rFonts w:ascii="Times New Roman" w:hAnsi="Times New Roman" w:eastAsia="方正仿宋_GB2312"/>
          <w:bCs/>
          <w:sz w:val="32"/>
        </w:rPr>
        <w:t>面临着一些挑战和不利因素，资源型经济固有的结构性、体制性、素质性矛盾依然突出，“十五五”时期还面临着传统动能增长空间收窄与新动能积蓄不足的双重压力</w:t>
      </w:r>
      <w:r>
        <w:rPr>
          <w:rFonts w:hint="eastAsia" w:ascii="Times New Roman" w:hAnsi="Times New Roman" w:eastAsia="方正仿宋_GB2312"/>
          <w:bCs/>
          <w:sz w:val="32"/>
        </w:rPr>
        <w:t>。</w:t>
      </w:r>
      <w:r>
        <w:rPr>
          <w:rFonts w:ascii="Times New Roman" w:hAnsi="Times New Roman" w:eastAsia="方正仿宋_GB2312"/>
          <w:sz w:val="32"/>
        </w:rPr>
        <w:t>主要表现为经济总量不大，</w:t>
      </w:r>
      <w:r>
        <w:rPr>
          <w:rFonts w:hint="eastAsia" w:ascii="Times New Roman" w:hAnsi="Times New Roman" w:eastAsia="方正仿宋_GB2312"/>
          <w:sz w:val="32"/>
        </w:rPr>
        <w:t>产业转型迟缓，战略</w:t>
      </w:r>
      <w:r>
        <w:rPr>
          <w:rFonts w:hint="eastAsia" w:ascii="Times New Roman" w:hAnsi="Times New Roman" w:eastAsia="方正仿宋_GB2312"/>
          <w:sz w:val="32"/>
          <w:lang w:val="en-US" w:eastAsia="zh-CN"/>
        </w:rPr>
        <w:t>性</w:t>
      </w:r>
      <w:r>
        <w:rPr>
          <w:rFonts w:hint="eastAsia" w:ascii="Times New Roman" w:hAnsi="Times New Roman" w:eastAsia="方正仿宋_GB2312"/>
          <w:sz w:val="32"/>
        </w:rPr>
        <w:t>新兴产业发展不足；</w:t>
      </w:r>
      <w:r>
        <w:rPr>
          <w:rFonts w:ascii="Times New Roman" w:hAnsi="Times New Roman" w:eastAsia="方正仿宋_GB2312"/>
          <w:sz w:val="32"/>
        </w:rPr>
        <w:t>产业层次偏低，产业链条短，配套能力弱；科技对经济的贡献度不高，创新生态建设滞后。</w:t>
      </w:r>
    </w:p>
    <w:p w14:paraId="6FCCE8B0">
      <w:pPr>
        <w:spacing w:line="640" w:lineRule="exact"/>
        <w:ind w:firstLine="643"/>
        <w:rPr>
          <w:rFonts w:hint="eastAsia" w:ascii="Times New Roman" w:hAnsi="Times New Roman" w:eastAsia="方正仿宋_GB2312"/>
          <w:sz w:val="32"/>
          <w:highlight w:val="none"/>
          <w:lang w:bidi="ar"/>
        </w:rPr>
      </w:pPr>
      <w:r>
        <w:rPr>
          <w:rFonts w:hint="eastAsia" w:ascii="Times New Roman" w:hAnsi="Times New Roman" w:eastAsia="方正仿宋_GB2312" w:cs="仿宋"/>
          <w:b/>
          <w:bCs/>
          <w:sz w:val="32"/>
        </w:rPr>
        <w:t>产业结构性矛盾突出</w:t>
      </w:r>
      <w:r>
        <w:rPr>
          <w:rFonts w:hint="eastAsia" w:ascii="Times New Roman" w:hAnsi="Times New Roman" w:eastAsia="方正仿宋_GB2312"/>
          <w:b/>
          <w:sz w:val="32"/>
        </w:rPr>
        <w:t>。</w:t>
      </w:r>
      <w:r>
        <w:rPr>
          <w:rFonts w:hint="eastAsia" w:ascii="Times New Roman" w:hAnsi="Times New Roman" w:eastAsia="方正仿宋_GB2312" w:cs="仿宋"/>
          <w:sz w:val="32"/>
        </w:rPr>
        <w:t>受行业宏观环境影响，开发区主导产业中高耗能陶瓷产业转型滞后，稳定性不足；化工产业进入运营期，产业链条尚未形成，产能刚开始释放；加工制造等新兴产业还处于“起步阶段”，企业数量少、规模小，尚未形成有效替代和强大支撑。</w:t>
      </w:r>
      <w:r>
        <w:rPr>
          <w:rFonts w:hint="eastAsia" w:ascii="Times New Roman" w:hAnsi="Times New Roman" w:eastAsia="方正仿宋_GB2312"/>
          <w:sz w:val="32"/>
          <w:highlight w:val="none"/>
        </w:rPr>
        <w:t>阳城开发区</w:t>
      </w:r>
      <w:r>
        <w:rPr>
          <w:rFonts w:hint="eastAsia" w:ascii="Times New Roman" w:hAnsi="Times New Roman" w:eastAsia="方正仿宋_GB2312" w:cs="仿宋"/>
          <w:sz w:val="32"/>
        </w:rPr>
        <w:t>2025年完成工业增加值33.3亿元，同比增长14.4%，占全县（199.3亿</w:t>
      </w:r>
      <w:r>
        <w:rPr>
          <w:rFonts w:hint="eastAsia" w:ascii="Times New Roman" w:hAnsi="Times New Roman" w:eastAsia="方正仿宋_GB2312"/>
          <w:bCs/>
          <w:sz w:val="32"/>
          <w:highlight w:val="none"/>
          <w:lang w:bidi="ar"/>
        </w:rPr>
        <w:t>元）的16.7%。固定资产投资完成21.1亿元，同比增长9.7%，占全县（170.4亿元）的12.4%</w:t>
      </w:r>
      <w:r>
        <w:rPr>
          <w:rFonts w:hint="eastAsia" w:ascii="Times New Roman" w:hAnsi="Times New Roman" w:eastAsia="方正仿宋_GB2312" w:cs="仿宋"/>
          <w:sz w:val="32"/>
          <w:highlight w:val="none"/>
        </w:rPr>
        <w:t>，开发区转型主阵地作用还不够突出</w:t>
      </w:r>
      <w:r>
        <w:rPr>
          <w:rFonts w:hint="eastAsia" w:ascii="Times New Roman" w:hAnsi="Times New Roman" w:eastAsia="方正仿宋_GB2312"/>
          <w:bCs/>
          <w:sz w:val="32"/>
          <w:highlight w:val="none"/>
          <w:lang w:bidi="ar"/>
        </w:rPr>
        <w:t>。</w:t>
      </w:r>
      <w:r>
        <w:rPr>
          <w:rFonts w:hint="eastAsia" w:ascii="Times New Roman" w:hAnsi="Times New Roman" w:eastAsia="方正仿宋_GB2312"/>
          <w:sz w:val="32"/>
          <w:highlight w:val="none"/>
        </w:rPr>
        <w:t>发展</w:t>
      </w:r>
      <w:r>
        <w:rPr>
          <w:rFonts w:hint="eastAsia" w:ascii="Times New Roman" w:hAnsi="Times New Roman" w:eastAsia="方正仿宋_GB2312"/>
          <w:sz w:val="32"/>
          <w:highlight w:val="none"/>
          <w:lang w:bidi="ar"/>
        </w:rPr>
        <w:t>过度依赖传统产业，新兴产业尚未发力，多处于产业链前端和价值链低端，</w:t>
      </w:r>
      <w:r>
        <w:rPr>
          <w:rFonts w:hint="eastAsia" w:ascii="Times New Roman" w:hAnsi="Times New Roman" w:eastAsia="方正仿宋_GB2312" w:cs="Times New Roman"/>
          <w:sz w:val="32"/>
          <w:szCs w:val="28"/>
          <w:highlight w:val="none"/>
        </w:rPr>
        <w:t>增长路径过度依赖投资与要素投入，与新兴技术融合深度不足，产业附加值与技术含量较低</w:t>
      </w:r>
      <w:r>
        <w:rPr>
          <w:rFonts w:hint="eastAsia" w:ascii="Times New Roman" w:hAnsi="Times New Roman" w:eastAsia="方正仿宋_GB2312"/>
          <w:sz w:val="32"/>
          <w:highlight w:val="none"/>
          <w:lang w:bidi="ar"/>
        </w:rPr>
        <w:t>，科技含量不高，尚未形成真正意义上产业集群。</w:t>
      </w:r>
    </w:p>
    <w:p w14:paraId="2307A020">
      <w:pPr>
        <w:spacing w:line="640" w:lineRule="exact"/>
        <w:ind w:firstLine="643"/>
        <w:rPr>
          <w:rFonts w:hint="eastAsia" w:ascii="Times New Roman" w:hAnsi="Times New Roman" w:eastAsia="方正仿宋_GB2312" w:cs="仿宋"/>
          <w:sz w:val="32"/>
          <w:highlight w:val="none"/>
        </w:rPr>
      </w:pPr>
      <w:r>
        <w:rPr>
          <w:rFonts w:hint="eastAsia" w:ascii="Times New Roman" w:hAnsi="Times New Roman" w:eastAsia="方正仿宋_GB2312" w:cs="仿宋"/>
          <w:b/>
          <w:bCs/>
          <w:sz w:val="32"/>
          <w:highlight w:val="none"/>
        </w:rPr>
        <w:t>产业集聚协同效能较低。</w:t>
      </w:r>
      <w:r>
        <w:rPr>
          <w:rFonts w:hint="eastAsia" w:ascii="Times New Roman" w:hAnsi="Times New Roman" w:eastAsia="方正仿宋_GB2312" w:cs="仿宋"/>
          <w:sz w:val="32"/>
          <w:highlight w:val="none"/>
        </w:rPr>
        <w:t>开发区精细化工、</w:t>
      </w:r>
      <w:r>
        <w:rPr>
          <w:rFonts w:hint="eastAsia" w:ascii="Times New Roman" w:hAnsi="Times New Roman" w:eastAsia="方正仿宋_GB2312" w:cs="仿宋"/>
          <w:sz w:val="32"/>
          <w:highlight w:val="none"/>
          <w:lang w:val="en-US" w:eastAsia="zh-CN"/>
        </w:rPr>
        <w:t>陶瓷、加工</w:t>
      </w:r>
      <w:r>
        <w:rPr>
          <w:rFonts w:hint="eastAsia" w:ascii="Times New Roman" w:hAnsi="Times New Roman" w:eastAsia="方正仿宋_GB2312" w:cs="仿宋"/>
          <w:sz w:val="32"/>
          <w:highlight w:val="none"/>
        </w:rPr>
        <w:t>制造等核心三大产业分散于“一区三园”三个园区，土地增量空间有限，基础设施建设仍有短板，存量资产盘活迟滞。一方面新增建设用地指标稀缺，另一方面，低效用地，“僵尸企业”与空置厂房并存，资源错配问题突出，亟需通过二次开发拓展产业空间。在产业协同上，产业集聚度不高，企业协同配套能力弱，各园区产业缺乏协同发展机制，尚未形成产业集聚“成链成群”的态势，制约了区域产业整体竞争力提升。</w:t>
      </w:r>
    </w:p>
    <w:p w14:paraId="7696AC96">
      <w:pPr>
        <w:widowControl/>
        <w:spacing w:line="640" w:lineRule="exact"/>
        <w:ind w:firstLine="643"/>
        <w:jc w:val="left"/>
        <w:rPr>
          <w:rFonts w:hint="eastAsia" w:ascii="Times New Roman" w:hAnsi="Times New Roman" w:eastAsia="方正仿宋_GB2312" w:cs="仿宋"/>
          <w:sz w:val="32"/>
        </w:rPr>
      </w:pPr>
      <w:r>
        <w:rPr>
          <w:rFonts w:hint="eastAsia" w:ascii="Times New Roman" w:hAnsi="Times New Roman" w:eastAsia="方正仿宋_GB2312" w:cs="仿宋"/>
          <w:b/>
          <w:bCs/>
          <w:sz w:val="32"/>
        </w:rPr>
        <w:t>投资增长后劲面临考验</w:t>
      </w:r>
      <w:r>
        <w:rPr>
          <w:rFonts w:hint="eastAsia" w:ascii="Times New Roman" w:hAnsi="Times New Roman" w:eastAsia="方正仿宋_GB2312" w:cs="仿宋"/>
          <w:b/>
          <w:bCs/>
          <w:color w:val="auto"/>
          <w:sz w:val="32"/>
        </w:rPr>
        <w:t>。</w:t>
      </w:r>
      <w:r>
        <w:rPr>
          <w:rFonts w:hint="eastAsia" w:ascii="Times New Roman" w:hAnsi="Times New Roman" w:eastAsia="方正仿宋_GB2312" w:cs="Times New Roman"/>
          <w:sz w:val="32"/>
          <w:szCs w:val="28"/>
        </w:rPr>
        <w:t>工业投资增速逐步放缓（2021年32.9%，</w:t>
      </w:r>
      <w:r>
        <w:rPr>
          <w:rFonts w:hint="eastAsia" w:ascii="Times New Roman" w:hAnsi="Times New Roman" w:eastAsia="方正仿宋_GB2312" w:cs="Times New Roman"/>
          <w:sz w:val="32"/>
          <w:szCs w:val="28"/>
          <w:lang w:val="en-US" w:eastAsia="zh-CN"/>
        </w:rPr>
        <w:t>2</w:t>
      </w:r>
      <w:r>
        <w:rPr>
          <w:rFonts w:hint="eastAsia" w:ascii="Times New Roman" w:hAnsi="Times New Roman" w:eastAsia="方正仿宋_GB2312" w:cs="Times New Roman"/>
          <w:sz w:val="32"/>
          <w:szCs w:val="28"/>
        </w:rPr>
        <w:t>022年30.2%，2023年23.7%，2024年14.2%，2025年13.2%），陶瓷产业</w:t>
      </w:r>
      <w:r>
        <w:rPr>
          <w:rFonts w:hint="eastAsia" w:ascii="Times New Roman" w:hAnsi="Times New Roman" w:eastAsia="方正仿宋_GB2312" w:cs="仿宋"/>
          <w:sz w:val="32"/>
        </w:rPr>
        <w:t>投资大幅萎缩，企业产能利用率不足60%。在全国统一大市场背景下，传统招商模式效能正逐步递减，面对硬科技与未来产业项目，阳城开发区专业基金招商等现代招商模式匮乏，缺乏对前沿技术的甄别能力和股权投资能力，导致招商引资长期陷入同质化拼杀，缺乏科技引领型新项目大项目，难以推动持续投资增长。</w:t>
      </w:r>
    </w:p>
    <w:p w14:paraId="0D67E2D8">
      <w:pPr>
        <w:widowControl/>
        <w:ind w:firstLine="643"/>
        <w:jc w:val="left"/>
        <w:rPr>
          <w:rFonts w:hint="eastAsia" w:ascii="方正仿宋_GB2312" w:hAnsi="方正仿宋_GB2312" w:eastAsia="方正仿宋_GB2312" w:cs="方正仿宋_GB2312"/>
        </w:rPr>
      </w:pPr>
      <w:r>
        <w:rPr>
          <w:rFonts w:hint="eastAsia" w:ascii="Times New Roman" w:hAnsi="Times New Roman" w:eastAsia="方正仿宋_GB2312" w:cs="仿宋"/>
          <w:b/>
          <w:bCs/>
          <w:sz w:val="32"/>
        </w:rPr>
        <w:t>创新发展动能仍待加强。</w:t>
      </w:r>
      <w:r>
        <w:rPr>
          <w:rFonts w:hint="eastAsia" w:ascii="Times New Roman" w:hAnsi="Times New Roman" w:eastAsia="方正仿宋_GB2312" w:cs="仿宋"/>
          <w:sz w:val="32"/>
        </w:rPr>
        <w:t>2025年开发区规上工业企业61个，占全县（152个）的26.3%，高新技术企业8个，占全县的20%，但真正具有高技术含量、高附加值的产业规模</w:t>
      </w:r>
      <w:r>
        <w:rPr>
          <w:rFonts w:hint="eastAsia" w:ascii="方正仿宋_GB2312" w:hAnsi="方正仿宋_GB2312" w:eastAsia="方正仿宋_GB2312" w:cs="方正仿宋_GB2312"/>
        </w:rPr>
        <w:t>和竞争力尚未完全形成，</w:t>
      </w:r>
      <w:r>
        <w:rPr>
          <w:rFonts w:hint="eastAsia" w:ascii="方正仿宋_GB2312" w:hAnsi="方正仿宋_GB2312" w:eastAsia="方正仿宋_GB2312" w:cs="方正仿宋_GB2312"/>
          <w:szCs w:val="28"/>
        </w:rPr>
        <w:t>区域内企业科技创新意识薄弱，研发投入占比偏低，高能级创新平台匮乏，技术改造升级步伐缓慢，尚未构建起以自主创新为核心的经济增长模式。信息化水平滞后于产业发展需求，难以适应数字化、智能化转型趋势</w:t>
      </w:r>
      <w:r>
        <w:rPr>
          <w:rFonts w:hint="eastAsia" w:ascii="方正仿宋_GB2312" w:hAnsi="方正仿宋_GB2312" w:eastAsia="方正仿宋_GB2312" w:cs="方正仿宋_GB2312"/>
          <w:lang w:bidi="ar"/>
        </w:rPr>
        <w:t>。企业的技术研发能力和自主创新能力亟待提升，未能形成良好的创新生态系统，</w:t>
      </w:r>
      <w:r>
        <w:rPr>
          <w:rFonts w:hint="eastAsia" w:ascii="方正仿宋_GB2312" w:hAnsi="方正仿宋_GB2312" w:eastAsia="方正仿宋_GB2312" w:cs="方正仿宋_GB2312"/>
        </w:rPr>
        <w:t>科技创新对产业的引领支撑作用有待加强。</w:t>
      </w:r>
    </w:p>
    <w:p w14:paraId="65761EC1">
      <w:pPr>
        <w:widowControl/>
        <w:ind w:firstLine="64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财政体制尚待理顺。</w:t>
      </w:r>
      <w:r>
        <w:rPr>
          <w:rFonts w:hint="eastAsia" w:ascii="方正仿宋_GB2312" w:hAnsi="方正仿宋_GB2312" w:eastAsia="方正仿宋_GB2312" w:cs="方正仿宋_GB2312"/>
        </w:rPr>
        <w:t>开发区财政尚未独立核算，基础设施投资和产业发展资金缺口较大，财权与事权不匹配问题突出。受县域支柱产业煤炭价格下滑，县财政收入紧张，无法保障开发区</w:t>
      </w:r>
      <w:r>
        <w:rPr>
          <w:rFonts w:hint="eastAsia" w:ascii="方正仿宋_GB2312" w:hAnsi="方正仿宋_GB2312" w:eastAsia="方正仿宋_GB2312" w:cs="方正仿宋_GB2312"/>
          <w:lang w:bidi="ar"/>
        </w:rPr>
        <w:t>基建开发、产业培育、园区运营等进一步</w:t>
      </w:r>
      <w:r>
        <w:rPr>
          <w:rFonts w:hint="eastAsia" w:ascii="方正仿宋_GB2312" w:hAnsi="方正仿宋_GB2312" w:eastAsia="方正仿宋_GB2312" w:cs="方正仿宋_GB2312"/>
        </w:rPr>
        <w:t>发展的需要，难以充分释放经济发展主引擎与改革试验田的功能作用。</w:t>
      </w:r>
    </w:p>
    <w:p w14:paraId="7F86CB58">
      <w:pPr>
        <w:widowControl/>
        <w:ind w:firstLine="640"/>
        <w:jc w:val="left"/>
        <w:rPr>
          <w:rFonts w:hint="eastAsia" w:ascii="方正仿宋_GB2312" w:hAnsi="方正仿宋_GB2312" w:eastAsia="方正仿宋_GB2312" w:cs="方正仿宋_GB2312"/>
          <w:lang w:bidi="ar"/>
        </w:rPr>
      </w:pPr>
      <w:r>
        <w:rPr>
          <w:rFonts w:hint="eastAsia" w:ascii="方正仿宋_GB2312" w:hAnsi="方正仿宋_GB2312" w:eastAsia="方正仿宋_GB2312" w:cs="方正仿宋_GB2312"/>
          <w:b/>
          <w:bCs/>
        </w:rPr>
        <w:t>平台公司赋能不足。</w:t>
      </w:r>
      <w:r>
        <w:rPr>
          <w:rFonts w:hint="eastAsia" w:ascii="方正仿宋_GB2312" w:hAnsi="方正仿宋_GB2312" w:eastAsia="方正仿宋_GB2312" w:cs="方正仿宋_GB2312"/>
        </w:rPr>
        <w:t>开发区平台公司</w:t>
      </w:r>
      <w:r>
        <w:rPr>
          <w:rFonts w:hint="eastAsia" w:ascii="方正仿宋_GB2312" w:hAnsi="方正仿宋_GB2312" w:eastAsia="方正仿宋_GB2312" w:cs="方正仿宋_GB2312"/>
          <w:lang w:bidi="ar"/>
        </w:rPr>
        <w:t>存量资产偏弱、经营性现金流匮乏、市场化信用评级有待提高、合规风控体系不完善，在对接大型银行中长期低息授信、政策性专项融资产品，大额基建融资、产业配套融资等方面仍有短板。平台公司投入产出闭环失衡，前期基础设施配套一次性重资产投入规模大、资金沉淀周期长，而入区优质企业体量不足、长效税源培育缓慢、经营性收益渠道偏少，长期陷入持续刚性投入、长效收益滞后、偿债压力叠加的资金闭环困局。</w:t>
      </w:r>
    </w:p>
    <w:p w14:paraId="6FD003B6">
      <w:pPr>
        <w:spacing w:line="600" w:lineRule="exact"/>
        <w:ind w:firstLine="643"/>
        <w:rPr>
          <w:rFonts w:hint="eastAsia"/>
        </w:rPr>
      </w:pPr>
      <w:r>
        <w:rPr>
          <w:rFonts w:hint="eastAsia" w:ascii="方正仿宋_GB2312" w:hAnsi="方正仿宋_GB2312" w:eastAsia="方正仿宋_GB2312" w:cs="方正仿宋_GB2312"/>
          <w:b/>
          <w:bCs/>
        </w:rPr>
        <w:t>绿色转型压力沉重。</w:t>
      </w:r>
      <w:r>
        <w:rPr>
          <w:rFonts w:hint="eastAsia" w:ascii="方正仿宋_GB2312" w:hAnsi="方正仿宋_GB2312" w:eastAsia="方正仿宋_GB2312" w:cs="方正仿宋_GB2312"/>
        </w:rPr>
        <w:t>绿色发展面临较大压力，在</w:t>
      </w:r>
      <w:r>
        <w:rPr>
          <w:rFonts w:hint="eastAsia" w:ascii="方正仿宋_GB2312" w:hAnsi="方正仿宋_GB2312" w:eastAsia="方正仿宋_GB2312" w:cs="方正仿宋_GB2312"/>
          <w:lang w:bidi="ar"/>
        </w:rPr>
        <w:t>环保能</w:t>
      </w:r>
      <w:r>
        <w:rPr>
          <w:rFonts w:hint="eastAsia"/>
          <w:lang w:bidi="ar"/>
        </w:rPr>
        <w:t>耗约束趋紧，严格落实“四水四定”背景下，</w:t>
      </w:r>
      <w:r>
        <w:rPr>
          <w:rFonts w:hint="eastAsia"/>
        </w:rPr>
        <w:t>区内陶瓷、化工</w:t>
      </w:r>
      <w:r>
        <w:rPr>
          <w:rFonts w:hint="eastAsia"/>
          <w:lang w:val="en-US" w:eastAsia="zh-CN"/>
        </w:rPr>
        <w:t>产业</w:t>
      </w:r>
      <w:r>
        <w:rPr>
          <w:rFonts w:hint="eastAsia"/>
        </w:rPr>
        <w:t>均属于高耗能、高排放产业，</w:t>
      </w:r>
      <w:r>
        <w:rPr>
          <w:rFonts w:hint="eastAsia"/>
          <w:lang w:bidi="ar"/>
        </w:rPr>
        <w:t>在“能耗”“双碳”“以产定水”等目标刚性约束下，面临严峻的能耗指标、碳排放指标和用水指标三重压力，急需转变发展方式，淘汰落后产能，提高绿色化、智能化水平。</w:t>
      </w:r>
    </w:p>
    <w:p w14:paraId="1A2B5C46">
      <w:pPr>
        <w:spacing w:line="600" w:lineRule="exact"/>
        <w:ind w:left="0" w:leftChars="0" w:firstLine="0" w:firstLineChars="0"/>
        <w:jc w:val="center"/>
        <w:outlineLvl w:val="1"/>
        <w:rPr>
          <w:rFonts w:ascii="Times New Roman" w:hAnsi="Times New Roman" w:eastAsia="楷体_GB2312"/>
          <w:b/>
        </w:rPr>
      </w:pPr>
      <w:bookmarkStart w:id="15" w:name="_Toc12039"/>
      <w:bookmarkStart w:id="16" w:name="_Toc5302"/>
      <w:bookmarkStart w:id="17" w:name="_Toc22122"/>
      <w:r>
        <w:rPr>
          <w:rFonts w:hint="eastAsia" w:ascii="Times New Roman" w:hAnsi="Times New Roman" w:eastAsia="楷体_GB2312"/>
          <w:b/>
        </w:rPr>
        <w:t>第三节“十五五”发展环境</w:t>
      </w:r>
      <w:bookmarkEnd w:id="15"/>
      <w:bookmarkEnd w:id="16"/>
      <w:bookmarkEnd w:id="17"/>
    </w:p>
    <w:p w14:paraId="0C7FA65A">
      <w:pPr>
        <w:spacing w:line="600" w:lineRule="exact"/>
        <w:ind w:firstLine="0" w:firstLineChars="0"/>
        <w:outlineLvl w:val="2"/>
        <w:rPr>
          <w:rFonts w:ascii="Times New Roman" w:hAnsi="Times New Roman" w:eastAsia="楷体_GB2312"/>
          <w:b/>
        </w:rPr>
      </w:pPr>
      <w:r>
        <w:rPr>
          <w:rFonts w:hint="eastAsia" w:ascii="Times New Roman" w:hAnsi="Times New Roman" w:eastAsia="楷体_GB2312"/>
          <w:b/>
        </w:rPr>
        <w:t xml:space="preserve">     一、国际国内环境分析</w:t>
      </w:r>
    </w:p>
    <w:p w14:paraId="3C9E2541">
      <w:pPr>
        <w:spacing w:line="600" w:lineRule="exact"/>
        <w:ind w:firstLine="643"/>
        <w:outlineLvl w:val="2"/>
        <w:rPr>
          <w:rFonts w:hint="eastAsia" w:ascii="方正仿宋_GB2312" w:hAnsi="方正仿宋_GB2312" w:eastAsia="方正仿宋_GB2312" w:cs="方正仿宋_GB2312"/>
          <w:bCs/>
        </w:rPr>
      </w:pPr>
      <w:r>
        <w:rPr>
          <w:rFonts w:ascii="Times New Roman" w:hAnsi="Times New Roman" w:eastAsia="楷体_GB2312"/>
          <w:b/>
        </w:rPr>
        <w:t>国际环境更趋复杂，但我国发展机遇与挑战并存</w:t>
      </w:r>
      <w:r>
        <w:rPr>
          <w:rFonts w:hint="eastAsia" w:ascii="Times New Roman" w:hAnsi="Times New Roman" w:eastAsia="楷体_GB2312"/>
          <w:b/>
          <w:lang w:eastAsia="zh-CN"/>
        </w:rPr>
        <w:t>。</w:t>
      </w:r>
      <w:r>
        <w:rPr>
          <w:rFonts w:hint="eastAsia" w:ascii="方正仿宋_GB2312" w:hAnsi="方正仿宋_GB2312" w:eastAsia="方正仿宋_GB2312" w:cs="方正仿宋_GB2312"/>
          <w:bCs/>
        </w:rPr>
        <w:t>世界百年未有之大变局加速演进，全球化发展深度调整，世界经济增长潜力下降，地缘冲突易发频发，新一轮科技革命和产业变革竞争更加激烈，产业链供应链区域化</w:t>
      </w:r>
      <w:r>
        <w:rPr>
          <w:rFonts w:hint="eastAsia" w:ascii="方正仿宋_GB2312" w:hAnsi="方正仿宋_GB2312" w:eastAsia="方正仿宋_GB2312" w:cs="方正仿宋_GB2312"/>
          <w:bCs/>
          <w:lang w:eastAsia="zh-CN"/>
        </w:rPr>
        <w:t>、</w:t>
      </w:r>
      <w:r>
        <w:rPr>
          <w:rFonts w:hint="eastAsia" w:ascii="方正仿宋_GB2312" w:hAnsi="方正仿宋_GB2312" w:eastAsia="方正仿宋_GB2312" w:cs="方正仿宋_GB2312"/>
          <w:bCs/>
        </w:rPr>
        <w:t>集团化特征更趋明显。中美战略博弈将长期持续，但挑战中更孕育着新机遇，世界“东升西降”趋势更加清晰，我国的经济实力、科技实力、综合国力显著提升，在全球经济治理中的作用增强，在以人工智能为代表的第四次工业革命中日益抢占前沿阵地，将成为改变世界版图的关键因素，有力支撑我国在世界百年变局中赢得战略主动。</w:t>
      </w:r>
    </w:p>
    <w:p w14:paraId="40CEC099">
      <w:pPr>
        <w:spacing w:line="600" w:lineRule="exact"/>
        <w:ind w:firstLine="643"/>
        <w:outlineLvl w:val="2"/>
        <w:rPr>
          <w:rFonts w:ascii="Times New Roman" w:hAnsi="Times New Roman"/>
          <w:bCs/>
        </w:rPr>
      </w:pPr>
      <w:r>
        <w:rPr>
          <w:rFonts w:ascii="Times New Roman" w:hAnsi="Times New Roman" w:eastAsia="楷体_GB2312"/>
          <w:b/>
        </w:rPr>
        <w:t>国内结构性矛盾交织，但长期向好趋势没有改变</w:t>
      </w:r>
      <w:r>
        <w:rPr>
          <w:rFonts w:hint="eastAsia" w:ascii="Times New Roman" w:hAnsi="Times New Roman" w:eastAsia="楷体_GB2312"/>
          <w:b/>
          <w:lang w:eastAsia="zh-CN"/>
        </w:rPr>
        <w:t>。</w:t>
      </w:r>
      <w:r>
        <w:rPr>
          <w:rFonts w:hint="eastAsia" w:ascii="方正仿宋_GB2312" w:hAnsi="方正仿宋_GB2312" w:eastAsia="方正仿宋_GB2312" w:cs="方正仿宋_GB2312"/>
          <w:bCs/>
        </w:rPr>
        <w:t>我国发展不平衡不充分问题仍然突出，传统动能增长空间收窄，消费和有效投资不足，区域南北分化日益明显，如期实现碳达峰目标任务艰巨，改革开放仍有不少硬骨头要啃，重点领域安全风险叠加。但国内经济发展的有利条件和支撑因素依</w:t>
      </w:r>
      <w:r>
        <w:rPr>
          <w:rFonts w:ascii="Times New Roman" w:hAnsi="Times New Roman"/>
          <w:bCs/>
        </w:rPr>
        <w:t>然较多，我国经济的基本面及市场广阔、经济韧性强、潜力大等有利条件并未改变。特别是党的二十届三中</w:t>
      </w:r>
      <w:r>
        <w:rPr>
          <w:rFonts w:hint="eastAsia" w:ascii="Times New Roman" w:hAnsi="Times New Roman"/>
          <w:bCs/>
        </w:rPr>
        <w:t>、四中</w:t>
      </w:r>
      <w:r>
        <w:rPr>
          <w:rFonts w:ascii="Times New Roman" w:hAnsi="Times New Roman"/>
          <w:bCs/>
        </w:rPr>
        <w:t>全会部署的重大</w:t>
      </w:r>
      <w:r>
        <w:rPr>
          <w:rFonts w:hint="eastAsia" w:ascii="Times New Roman" w:hAnsi="Times New Roman"/>
          <w:bCs/>
        </w:rPr>
        <w:t>战略</w:t>
      </w:r>
      <w:r>
        <w:rPr>
          <w:rFonts w:ascii="Times New Roman" w:hAnsi="Times New Roman"/>
          <w:bCs/>
        </w:rPr>
        <w:t>举措正在加快落地，一系列宏观政策组合效应不断显现，将持续激发全社会内生动力和创新活力，充分释放我国超大规模的内需潜力。</w:t>
      </w:r>
    </w:p>
    <w:p w14:paraId="3E7C1D36">
      <w:pPr>
        <w:spacing w:line="600" w:lineRule="exact"/>
        <w:ind w:firstLine="643"/>
        <w:outlineLvl w:val="2"/>
        <w:rPr>
          <w:rFonts w:hint="eastAsia" w:ascii="宋体" w:hAnsi="宋体" w:eastAsia="宋体" w:cs="宋体"/>
          <w:b/>
        </w:rPr>
      </w:pPr>
      <w:bookmarkStart w:id="18" w:name="_Toc1798757981"/>
      <w:bookmarkStart w:id="19" w:name="_Toc2114988790"/>
      <w:bookmarkStart w:id="20" w:name="_Toc1674757858"/>
      <w:bookmarkStart w:id="21" w:name="_Toc180"/>
      <w:bookmarkStart w:id="22" w:name="_Toc1325594257"/>
      <w:bookmarkStart w:id="23" w:name="_Toc190452970"/>
      <w:r>
        <w:rPr>
          <w:rFonts w:hint="eastAsia" w:ascii="Times New Roman" w:hAnsi="Times New Roman" w:eastAsia="楷体_GB2312"/>
          <w:b/>
          <w:lang w:val="en-US" w:eastAsia="zh-CN"/>
        </w:rPr>
        <w:t>二</w:t>
      </w:r>
      <w:r>
        <w:rPr>
          <w:rFonts w:hint="eastAsia" w:ascii="Times New Roman" w:hAnsi="Times New Roman" w:eastAsia="楷体_GB2312"/>
          <w:b/>
        </w:rPr>
        <w:t>、阳城开发区面临的机遇</w:t>
      </w:r>
    </w:p>
    <w:p w14:paraId="262518AB">
      <w:pPr>
        <w:spacing w:line="600" w:lineRule="exact"/>
        <w:ind w:firstLine="640"/>
        <w:outlineLvl w:val="2"/>
        <w:rPr>
          <w:rFonts w:ascii="Times New Roman" w:hAnsi="Times New Roman"/>
          <w:bCs/>
        </w:rPr>
      </w:pPr>
      <w:r>
        <w:rPr>
          <w:rFonts w:ascii="Times New Roman" w:hAnsi="Times New Roman"/>
          <w:bCs/>
        </w:rPr>
        <w:t>党的十八大以来，习近平总书记</w:t>
      </w:r>
      <w:r>
        <w:rPr>
          <w:rFonts w:hint="eastAsia" w:ascii="Times New Roman" w:hAnsi="Times New Roman"/>
          <w:bCs/>
        </w:rPr>
        <w:t>五</w:t>
      </w:r>
      <w:r>
        <w:rPr>
          <w:rFonts w:ascii="Times New Roman" w:hAnsi="Times New Roman"/>
          <w:bCs/>
        </w:rPr>
        <w:t>次莅晋考察调研，赋予</w:t>
      </w:r>
      <w:r>
        <w:rPr>
          <w:rFonts w:hint="eastAsia" w:ascii="Times New Roman" w:hAnsi="Times New Roman"/>
          <w:bCs/>
        </w:rPr>
        <w:t>山西</w:t>
      </w:r>
      <w:r>
        <w:rPr>
          <w:rFonts w:ascii="Times New Roman" w:hAnsi="Times New Roman"/>
          <w:bCs/>
        </w:rPr>
        <w:t>建设国家资源型经济转型综合配套改革试验区、开展能源革命综合改革试点、打造内陆地区对外开放新高地、推动黄河流域生态保护和高质量发展、推动中部地区崛起等重大使命任务，</w:t>
      </w:r>
      <w:r>
        <w:rPr>
          <w:rFonts w:hint="eastAsia" w:ascii="Times New Roman" w:hAnsi="Times New Roman"/>
          <w:bCs/>
        </w:rPr>
        <w:t>习近平总书记视察阳城“见新见绿”重要指示</w:t>
      </w:r>
      <w:r>
        <w:rPr>
          <w:rFonts w:ascii="Times New Roman" w:hAnsi="Times New Roman"/>
          <w:bCs/>
        </w:rPr>
        <w:t>为</w:t>
      </w:r>
      <w:r>
        <w:rPr>
          <w:rFonts w:hint="eastAsia" w:ascii="Times New Roman" w:hAnsi="Times New Roman"/>
          <w:bCs/>
        </w:rPr>
        <w:t>阳城开发区</w:t>
      </w:r>
      <w:r>
        <w:rPr>
          <w:rFonts w:ascii="Times New Roman" w:hAnsi="Times New Roman"/>
          <w:bCs/>
        </w:rPr>
        <w:t>各项事业的开展指明了战略重点和主攻方向。当前，</w:t>
      </w:r>
      <w:r>
        <w:rPr>
          <w:rFonts w:hint="eastAsia" w:ascii="Times New Roman" w:hAnsi="Times New Roman"/>
          <w:bCs/>
        </w:rPr>
        <w:t>阳城开发区</w:t>
      </w:r>
      <w:r>
        <w:rPr>
          <w:rFonts w:ascii="Times New Roman" w:hAnsi="Times New Roman"/>
          <w:bCs/>
        </w:rPr>
        <w:t>处于推动高质量发展的关键期、深化全方位转型的窗口期，发展呈现一系列</w:t>
      </w:r>
      <w:r>
        <w:rPr>
          <w:rFonts w:hint="eastAsia" w:ascii="Times New Roman" w:hAnsi="Times New Roman"/>
          <w:bCs/>
          <w:lang w:val="en-US" w:eastAsia="zh-CN"/>
        </w:rPr>
        <w:t>新的机遇</w:t>
      </w:r>
      <w:r>
        <w:rPr>
          <w:rFonts w:ascii="Times New Roman" w:hAnsi="Times New Roman"/>
          <w:bCs/>
        </w:rPr>
        <w:t>。</w:t>
      </w:r>
    </w:p>
    <w:p w14:paraId="61364DDB">
      <w:pPr>
        <w:spacing w:line="600" w:lineRule="exact"/>
        <w:ind w:firstLine="640"/>
        <w:outlineLvl w:val="2"/>
        <w:rPr>
          <w:rFonts w:ascii="Times New Roman" w:hAnsi="Times New Roman"/>
        </w:rPr>
      </w:pPr>
      <w:r>
        <w:rPr>
          <w:rFonts w:ascii="Times New Roman" w:hAnsi="Times New Roman"/>
        </w:rPr>
        <w:t>一是</w:t>
      </w:r>
      <w:r>
        <w:rPr>
          <w:rFonts w:hint="eastAsia"/>
        </w:rPr>
        <w:t>国家中部</w:t>
      </w:r>
      <w:r>
        <w:rPr>
          <w:rFonts w:hint="eastAsia"/>
          <w:lang w:val="en-US" w:eastAsia="zh-CN"/>
        </w:rPr>
        <w:t>地区崛起</w:t>
      </w:r>
      <w:r>
        <w:rPr>
          <w:rFonts w:hint="eastAsia"/>
        </w:rPr>
        <w:t>、黄河流域生态保护和高质量发展</w:t>
      </w:r>
      <w:r>
        <w:t>带来战略叠加效应，</w:t>
      </w:r>
      <w:r>
        <w:rPr>
          <w:rFonts w:ascii="Times New Roman" w:hAnsi="Times New Roman"/>
        </w:rPr>
        <w:t>为</w:t>
      </w:r>
      <w:r>
        <w:rPr>
          <w:rFonts w:hint="eastAsia" w:ascii="Times New Roman" w:hAnsi="Times New Roman"/>
        </w:rPr>
        <w:t>阳城开发区</w:t>
      </w:r>
      <w:r>
        <w:rPr>
          <w:rFonts w:hint="eastAsia" w:ascii="Times New Roman" w:hAnsi="Times New Roman"/>
          <w:lang w:val="en-US" w:eastAsia="zh-CN"/>
        </w:rPr>
        <w:t>利用区位优势</w:t>
      </w:r>
      <w:r>
        <w:rPr>
          <w:rFonts w:ascii="Times New Roman" w:hAnsi="Times New Roman"/>
        </w:rPr>
        <w:t>拓展</w:t>
      </w:r>
      <w:r>
        <w:rPr>
          <w:rFonts w:hint="eastAsia" w:ascii="Times New Roman" w:hAnsi="Times New Roman"/>
          <w:lang w:val="en-US" w:eastAsia="zh-CN"/>
        </w:rPr>
        <w:t>了</w:t>
      </w:r>
      <w:r>
        <w:rPr>
          <w:rFonts w:ascii="Times New Roman" w:hAnsi="Times New Roman"/>
        </w:rPr>
        <w:t>发展新空间</w:t>
      </w:r>
      <w:r>
        <w:rPr>
          <w:rFonts w:hint="eastAsia" w:ascii="Times New Roman" w:hAnsi="Times New Roman"/>
        </w:rPr>
        <w:t>，</w:t>
      </w:r>
      <w:r>
        <w:rPr>
          <w:rFonts w:hint="eastAsia" w:ascii="Times New Roman" w:hAnsi="Times New Roman"/>
          <w:lang w:val="en-US" w:eastAsia="zh-CN"/>
        </w:rPr>
        <w:t>有利于阳城开发区</w:t>
      </w:r>
      <w:r>
        <w:rPr>
          <w:rFonts w:hint="eastAsia" w:ascii="Times New Roman" w:hAnsi="Times New Roman"/>
        </w:rPr>
        <w:t>加强区域协同发展，深度融入区域经济，承接</w:t>
      </w:r>
      <w:r>
        <w:rPr>
          <w:rFonts w:hint="eastAsia" w:ascii="Times New Roman" w:hAnsi="Times New Roman"/>
          <w:lang w:val="en-US" w:eastAsia="zh-CN"/>
        </w:rPr>
        <w:t>东部</w:t>
      </w:r>
      <w:r>
        <w:rPr>
          <w:rFonts w:hint="eastAsia" w:ascii="Times New Roman" w:hAnsi="Times New Roman"/>
        </w:rPr>
        <w:t>产业转移</w:t>
      </w:r>
      <w:r>
        <w:rPr>
          <w:rFonts w:ascii="Times New Roman" w:hAnsi="Times New Roman"/>
        </w:rPr>
        <w:t>。</w:t>
      </w:r>
    </w:p>
    <w:p w14:paraId="7B55B328">
      <w:pPr>
        <w:spacing w:line="600" w:lineRule="exact"/>
        <w:ind w:firstLine="640"/>
        <w:outlineLvl w:val="2"/>
        <w:rPr>
          <w:rFonts w:ascii="Times New Roman" w:hAnsi="Times New Roman"/>
        </w:rPr>
      </w:pPr>
      <w:r>
        <w:rPr>
          <w:rFonts w:ascii="Times New Roman" w:hAnsi="Times New Roman"/>
        </w:rPr>
        <w:t>二是长期转型积累的能源</w:t>
      </w:r>
      <w:r>
        <w:rPr>
          <w:rFonts w:hint="eastAsia" w:ascii="Times New Roman" w:hAnsi="Times New Roman"/>
          <w:lang w:val="en-US" w:eastAsia="zh-CN"/>
        </w:rPr>
        <w:t>资源</w:t>
      </w:r>
      <w:r>
        <w:rPr>
          <w:rFonts w:ascii="Times New Roman" w:hAnsi="Times New Roman"/>
        </w:rPr>
        <w:t>、</w:t>
      </w:r>
      <w:r>
        <w:rPr>
          <w:rFonts w:hint="eastAsia" w:ascii="Times New Roman" w:hAnsi="Times New Roman"/>
        </w:rPr>
        <w:t>产业基础</w:t>
      </w:r>
      <w:r>
        <w:rPr>
          <w:rFonts w:ascii="Times New Roman" w:hAnsi="Times New Roman"/>
        </w:rPr>
        <w:t>等成果</w:t>
      </w:r>
      <w:r>
        <w:rPr>
          <w:rFonts w:hint="eastAsia" w:ascii="Times New Roman" w:hAnsi="Times New Roman"/>
        </w:rPr>
        <w:t>，用能、用气比较优势</w:t>
      </w:r>
      <w:r>
        <w:rPr>
          <w:rFonts w:ascii="Times New Roman" w:hAnsi="Times New Roman"/>
        </w:rPr>
        <w:t>为</w:t>
      </w:r>
      <w:r>
        <w:rPr>
          <w:rFonts w:hint="eastAsia" w:ascii="Times New Roman" w:hAnsi="Times New Roman"/>
        </w:rPr>
        <w:t>阳城开发区</w:t>
      </w:r>
      <w:r>
        <w:rPr>
          <w:rFonts w:ascii="Times New Roman" w:hAnsi="Times New Roman"/>
        </w:rPr>
        <w:t>发展</w:t>
      </w:r>
      <w:r>
        <w:rPr>
          <w:rFonts w:hint="eastAsia" w:ascii="Times New Roman" w:hAnsi="Times New Roman"/>
        </w:rPr>
        <w:t>精细化工、陶瓷和加工制造等优势</w:t>
      </w:r>
      <w:r>
        <w:rPr>
          <w:rFonts w:ascii="Times New Roman" w:hAnsi="Times New Roman"/>
        </w:rPr>
        <w:t>产业奠定了良好基础。</w:t>
      </w:r>
    </w:p>
    <w:p w14:paraId="21C6F540">
      <w:pPr>
        <w:spacing w:line="600" w:lineRule="exact"/>
        <w:ind w:firstLine="640"/>
        <w:outlineLvl w:val="2"/>
        <w:rPr>
          <w:rFonts w:ascii="Times New Roman" w:hAnsi="Times New Roman"/>
        </w:rPr>
      </w:pPr>
      <w:r>
        <w:rPr>
          <w:rFonts w:hint="eastAsia" w:ascii="Times New Roman" w:hAnsi="Times New Roman"/>
        </w:rPr>
        <w:t>三</w:t>
      </w:r>
      <w:r>
        <w:rPr>
          <w:rFonts w:ascii="Times New Roman" w:hAnsi="Times New Roman"/>
        </w:rPr>
        <w:t>是全球新一轮科技革命和产业变革加速突破，尤其是人工智能将进入深度应用阶段，为</w:t>
      </w:r>
      <w:r>
        <w:rPr>
          <w:rFonts w:hint="eastAsia" w:ascii="Times New Roman" w:hAnsi="Times New Roman"/>
        </w:rPr>
        <w:t>阳城开发区利用资源、绿色算力优势，</w:t>
      </w:r>
      <w:r>
        <w:rPr>
          <w:rFonts w:ascii="Times New Roman" w:hAnsi="Times New Roman"/>
        </w:rPr>
        <w:t>以科技创新引领产业创新、</w:t>
      </w:r>
      <w:r>
        <w:rPr>
          <w:rFonts w:hint="eastAsia" w:ascii="Times New Roman" w:hAnsi="Times New Roman"/>
        </w:rPr>
        <w:t>发展清洁能源、</w:t>
      </w:r>
      <w:r>
        <w:rPr>
          <w:rFonts w:hint="eastAsia" w:ascii="方正仿宋_GB2312" w:hAnsi="方正仿宋_GB2312" w:eastAsia="方正仿宋_GB2312" w:cs="方正仿宋_GB2312"/>
        </w:rPr>
        <w:t>智能加工制造</w:t>
      </w:r>
      <w:r>
        <w:rPr>
          <w:rFonts w:hint="eastAsia" w:ascii="方正仿宋_GB2312" w:hAnsi="方正仿宋_GB2312" w:eastAsia="方正仿宋_GB2312" w:cs="方正仿宋_GB2312"/>
          <w:lang w:val="en-US" w:eastAsia="zh-CN"/>
        </w:rPr>
        <w:t>等新兴产业</w:t>
      </w:r>
      <w:r>
        <w:rPr>
          <w:rFonts w:ascii="Times New Roman" w:hAnsi="Times New Roman"/>
        </w:rPr>
        <w:t>提供了强大动能。</w:t>
      </w:r>
    </w:p>
    <w:p w14:paraId="56BF85FF">
      <w:pPr>
        <w:spacing w:line="600" w:lineRule="exact"/>
        <w:ind w:firstLine="643"/>
        <w:outlineLvl w:val="2"/>
        <w:rPr>
          <w:rFonts w:hint="eastAsia" w:ascii="Times New Roman" w:hAnsi="Times New Roman" w:eastAsia="楷体_GB2312"/>
          <w:b/>
        </w:rPr>
      </w:pPr>
      <w:r>
        <w:rPr>
          <w:rFonts w:hint="eastAsia" w:ascii="Times New Roman" w:hAnsi="Times New Roman" w:eastAsia="楷体_GB2312"/>
          <w:b/>
        </w:rPr>
        <w:t>三</w:t>
      </w:r>
      <w:r>
        <w:rPr>
          <w:rFonts w:hint="eastAsia" w:ascii="宋体" w:hAnsi="宋体" w:eastAsia="宋体" w:cs="宋体"/>
          <w:b/>
        </w:rPr>
        <w:t>、</w:t>
      </w:r>
      <w:r>
        <w:rPr>
          <w:rFonts w:hint="eastAsia" w:ascii="Times New Roman" w:hAnsi="Times New Roman" w:eastAsia="楷体_GB2312"/>
          <w:b/>
        </w:rPr>
        <w:t>阳城开发区面临的挑战</w:t>
      </w:r>
    </w:p>
    <w:bookmarkEnd w:id="18"/>
    <w:bookmarkEnd w:id="19"/>
    <w:bookmarkEnd w:id="20"/>
    <w:bookmarkEnd w:id="21"/>
    <w:bookmarkEnd w:id="22"/>
    <w:bookmarkEnd w:id="23"/>
    <w:p w14:paraId="4F8AC0BF">
      <w:pPr>
        <w:spacing w:line="600" w:lineRule="exact"/>
        <w:ind w:firstLine="643"/>
        <w:outlineLvl w:val="2"/>
        <w:rPr>
          <w:rFonts w:ascii="Times New Roman" w:hAnsi="Times New Roman"/>
          <w:sz w:val="32"/>
        </w:rPr>
      </w:pPr>
      <w:r>
        <w:rPr>
          <w:rFonts w:hint="eastAsia" w:ascii="方正仿宋_GB2312" w:hAnsi="方正仿宋_GB2312" w:eastAsia="方正仿宋_GB2312" w:cs="方正仿宋_GB2312"/>
          <w:b/>
          <w:bCs/>
          <w:sz w:val="32"/>
        </w:rPr>
        <w:t>“</w:t>
      </w:r>
      <w:r>
        <w:rPr>
          <w:rFonts w:ascii="Times New Roman" w:hAnsi="Times New Roman"/>
          <w:b/>
          <w:bCs/>
          <w:sz w:val="32"/>
        </w:rPr>
        <w:t>十五五</w:t>
      </w:r>
      <w:r>
        <w:rPr>
          <w:rFonts w:hint="eastAsia" w:ascii="方正仿宋_GB2312" w:hAnsi="方正仿宋_GB2312" w:eastAsia="方正仿宋_GB2312" w:cs="方正仿宋_GB2312"/>
          <w:b/>
          <w:bCs/>
          <w:sz w:val="32"/>
        </w:rPr>
        <w:t>”</w:t>
      </w:r>
      <w:r>
        <w:rPr>
          <w:rFonts w:ascii="Times New Roman" w:hAnsi="Times New Roman"/>
          <w:b/>
          <w:bCs/>
          <w:sz w:val="32"/>
        </w:rPr>
        <w:t>时期基本完成资源型经济转型任务</w:t>
      </w:r>
      <w:r>
        <w:rPr>
          <w:rFonts w:hint="eastAsia" w:ascii="Times New Roman" w:hAnsi="Times New Roman"/>
          <w:b/>
          <w:bCs/>
          <w:sz w:val="32"/>
        </w:rPr>
        <w:t>对阳城开发区产业转型提出了新要求</w:t>
      </w:r>
      <w:r>
        <w:rPr>
          <w:rFonts w:ascii="Times New Roman" w:hAnsi="Times New Roman"/>
          <w:b/>
          <w:bCs/>
          <w:sz w:val="32"/>
        </w:rPr>
        <w:t>。</w:t>
      </w:r>
      <w:r>
        <w:rPr>
          <w:rFonts w:ascii="Times New Roman" w:hAnsi="Times New Roman"/>
          <w:sz w:val="32"/>
        </w:rPr>
        <w:t>2030年基本完成资源型经济转型任务，是党中央对</w:t>
      </w:r>
      <w:r>
        <w:rPr>
          <w:rFonts w:hint="eastAsia" w:ascii="Times New Roman" w:hAnsi="Times New Roman"/>
          <w:sz w:val="32"/>
        </w:rPr>
        <w:t>山西</w:t>
      </w:r>
      <w:r>
        <w:rPr>
          <w:rFonts w:ascii="Times New Roman" w:hAnsi="Times New Roman"/>
          <w:sz w:val="32"/>
        </w:rPr>
        <w:t>提出的重大要求。</w:t>
      </w:r>
      <w:r>
        <w:rPr>
          <w:rFonts w:hint="eastAsia" w:ascii="方正仿宋_GB2312" w:hAnsi="方正仿宋_GB2312" w:eastAsia="方正仿宋_GB2312" w:cs="方正仿宋_GB2312"/>
          <w:sz w:val="32"/>
        </w:rPr>
        <w:t>“</w:t>
      </w:r>
      <w:r>
        <w:rPr>
          <w:rFonts w:ascii="Times New Roman" w:hAnsi="Times New Roman"/>
          <w:sz w:val="32"/>
        </w:rPr>
        <w:t>十五五</w:t>
      </w:r>
      <w:r>
        <w:rPr>
          <w:rFonts w:hint="eastAsia" w:ascii="方正仿宋_GB2312" w:hAnsi="方正仿宋_GB2312" w:eastAsia="方正仿宋_GB2312" w:cs="方正仿宋_GB2312"/>
          <w:sz w:val="32"/>
        </w:rPr>
        <w:t>”</w:t>
      </w:r>
      <w:r>
        <w:rPr>
          <w:rFonts w:ascii="Times New Roman" w:hAnsi="Times New Roman"/>
          <w:sz w:val="32"/>
        </w:rPr>
        <w:t>时期，</w:t>
      </w:r>
      <w:r>
        <w:rPr>
          <w:rFonts w:hint="eastAsia" w:ascii="Times New Roman" w:hAnsi="Times New Roman"/>
          <w:bCs/>
          <w:sz w:val="32"/>
        </w:rPr>
        <w:t>阳城开发区既要实现产业转型，又要保持合理的经济增长速度，必须</w:t>
      </w:r>
      <w:r>
        <w:rPr>
          <w:rFonts w:ascii="Times New Roman" w:hAnsi="Times New Roman"/>
          <w:sz w:val="32"/>
        </w:rPr>
        <w:t>聚焦培育发展新质生产力，以科技创新为引领，推动构建传统与新兴产业协同融合发展格局，加快新旧动能转换接续，</w:t>
      </w:r>
      <w:r>
        <w:rPr>
          <w:rFonts w:ascii="Times New Roman" w:hAnsi="Times New Roman"/>
          <w:bCs/>
          <w:sz w:val="32"/>
        </w:rPr>
        <w:t>在</w:t>
      </w:r>
      <w:r>
        <w:rPr>
          <w:rFonts w:hint="eastAsia" w:ascii="Times New Roman" w:hAnsi="Times New Roman"/>
          <w:bCs/>
          <w:sz w:val="32"/>
        </w:rPr>
        <w:t>产业发展上</w:t>
      </w:r>
      <w:r>
        <w:rPr>
          <w:rFonts w:ascii="Times New Roman" w:hAnsi="Times New Roman"/>
          <w:bCs/>
          <w:sz w:val="32"/>
        </w:rPr>
        <w:t>实现</w:t>
      </w:r>
      <w:r>
        <w:rPr>
          <w:rFonts w:hint="eastAsia" w:ascii="方正仿宋_GB2312" w:hAnsi="方正仿宋_GB2312" w:eastAsia="方正仿宋_GB2312" w:cs="方正仿宋_GB2312"/>
          <w:bCs/>
          <w:sz w:val="32"/>
        </w:rPr>
        <w:t>“</w:t>
      </w:r>
      <w:r>
        <w:rPr>
          <w:rFonts w:ascii="Times New Roman" w:hAnsi="Times New Roman"/>
          <w:bCs/>
          <w:sz w:val="32"/>
        </w:rPr>
        <w:t>质的有效提升</w:t>
      </w:r>
      <w:r>
        <w:rPr>
          <w:rFonts w:hint="eastAsia" w:ascii="方正仿宋_GB2312" w:hAnsi="方正仿宋_GB2312" w:eastAsia="方正仿宋_GB2312" w:cs="方正仿宋_GB2312"/>
          <w:bCs/>
          <w:sz w:val="32"/>
        </w:rPr>
        <w:t>”</w:t>
      </w:r>
      <w:r>
        <w:rPr>
          <w:rFonts w:ascii="Times New Roman" w:hAnsi="Times New Roman"/>
          <w:bCs/>
          <w:sz w:val="32"/>
        </w:rPr>
        <w:t>同时，</w:t>
      </w:r>
      <w:r>
        <w:rPr>
          <w:rFonts w:hint="eastAsia" w:ascii="Times New Roman" w:hAnsi="Times New Roman"/>
          <w:bCs/>
          <w:sz w:val="32"/>
        </w:rPr>
        <w:t>实现</w:t>
      </w:r>
      <w:r>
        <w:rPr>
          <w:rFonts w:hint="eastAsia" w:ascii="方正仿宋_GB2312" w:hAnsi="方正仿宋_GB2312" w:eastAsia="方正仿宋_GB2312" w:cs="方正仿宋_GB2312"/>
          <w:bCs/>
          <w:sz w:val="32"/>
        </w:rPr>
        <w:t>“</w:t>
      </w:r>
      <w:r>
        <w:rPr>
          <w:rFonts w:ascii="Times New Roman" w:hAnsi="Times New Roman"/>
          <w:bCs/>
          <w:sz w:val="32"/>
        </w:rPr>
        <w:t>量的合理增长</w:t>
      </w:r>
      <w:r>
        <w:rPr>
          <w:rFonts w:hint="eastAsia" w:ascii="方正仿宋_GB2312" w:hAnsi="方正仿宋_GB2312" w:eastAsia="方正仿宋_GB2312" w:cs="方正仿宋_GB2312"/>
          <w:bCs/>
          <w:sz w:val="32"/>
        </w:rPr>
        <w:t>”</w:t>
      </w:r>
      <w:r>
        <w:rPr>
          <w:rFonts w:ascii="Times New Roman" w:hAnsi="Times New Roman"/>
          <w:sz w:val="32"/>
        </w:rPr>
        <w:t>。</w:t>
      </w:r>
    </w:p>
    <w:p w14:paraId="19114CDC">
      <w:pPr>
        <w:spacing w:line="600" w:lineRule="exact"/>
        <w:ind w:firstLine="643"/>
        <w:outlineLvl w:val="2"/>
        <w:rPr>
          <w:rFonts w:ascii="Times New Roman" w:hAnsi="Times New Roman"/>
          <w:sz w:val="32"/>
        </w:rPr>
      </w:pPr>
      <w:r>
        <w:rPr>
          <w:rFonts w:hint="eastAsia" w:ascii="方正仿宋_GB2312" w:hAnsi="方正仿宋_GB2312" w:eastAsia="方正仿宋_GB2312" w:cs="方正仿宋_GB2312"/>
          <w:b/>
          <w:bCs w:val="0"/>
          <w:sz w:val="32"/>
        </w:rPr>
        <w:t>“</w:t>
      </w:r>
      <w:r>
        <w:rPr>
          <w:rFonts w:ascii="Times New Roman" w:hAnsi="Times New Roman"/>
          <w:b/>
          <w:bCs w:val="0"/>
          <w:sz w:val="32"/>
        </w:rPr>
        <w:t>十五五</w:t>
      </w:r>
      <w:r>
        <w:rPr>
          <w:rFonts w:hint="eastAsia" w:ascii="方正仿宋_GB2312" w:hAnsi="方正仿宋_GB2312" w:eastAsia="方正仿宋_GB2312" w:cs="方正仿宋_GB2312"/>
          <w:b/>
          <w:bCs w:val="0"/>
          <w:sz w:val="32"/>
        </w:rPr>
        <w:t>”</w:t>
      </w:r>
      <w:r>
        <w:rPr>
          <w:rFonts w:ascii="Times New Roman" w:hAnsi="Times New Roman"/>
          <w:b/>
          <w:sz w:val="32"/>
        </w:rPr>
        <w:t>全面深化改革</w:t>
      </w:r>
      <w:r>
        <w:rPr>
          <w:rFonts w:hint="eastAsia" w:ascii="Times New Roman" w:hAnsi="Times New Roman"/>
          <w:b/>
          <w:sz w:val="32"/>
        </w:rPr>
        <w:t>对阳城开发区体制机制建设提出除了新要求</w:t>
      </w:r>
      <w:r>
        <w:rPr>
          <w:rFonts w:ascii="Times New Roman" w:hAnsi="Times New Roman"/>
          <w:b/>
          <w:sz w:val="32"/>
        </w:rPr>
        <w:t>。</w:t>
      </w:r>
      <w:r>
        <w:rPr>
          <w:rFonts w:ascii="Times New Roman" w:hAnsi="Times New Roman"/>
          <w:bCs/>
          <w:sz w:val="32"/>
        </w:rPr>
        <w:t>党的二十届三中全会对进一步全面深化改革作了战略部署，明确要求到2029年完成相关改革任务。</w:t>
      </w:r>
      <w:r>
        <w:rPr>
          <w:rFonts w:hint="eastAsia" w:ascii="方正仿宋_GB2312" w:hAnsi="方正仿宋_GB2312" w:eastAsia="方正仿宋_GB2312" w:cs="方正仿宋_GB2312"/>
          <w:bCs/>
          <w:sz w:val="32"/>
        </w:rPr>
        <w:t>“</w:t>
      </w:r>
      <w:r>
        <w:rPr>
          <w:rFonts w:ascii="Times New Roman" w:hAnsi="Times New Roman"/>
          <w:bCs/>
          <w:sz w:val="32"/>
        </w:rPr>
        <w:t>十五五</w:t>
      </w:r>
      <w:r>
        <w:rPr>
          <w:rFonts w:hint="eastAsia" w:ascii="方正仿宋_GB2312" w:hAnsi="方正仿宋_GB2312" w:eastAsia="方正仿宋_GB2312" w:cs="方正仿宋_GB2312"/>
          <w:bCs/>
          <w:sz w:val="32"/>
        </w:rPr>
        <w:t>”</w:t>
      </w:r>
      <w:r>
        <w:rPr>
          <w:rFonts w:ascii="Times New Roman" w:hAnsi="Times New Roman"/>
          <w:bCs/>
          <w:sz w:val="32"/>
        </w:rPr>
        <w:t>时期，劳动力和资本等传统要素对经济增长的贡献持续下降，推动高质量发展和全方位转型，更加迫切地需要用改革的方法和手段去激发活力、培育优势，以进一步全面深化改革为强大动力，着力破解</w:t>
      </w:r>
      <w:r>
        <w:rPr>
          <w:rFonts w:hint="eastAsia" w:ascii="Times New Roman" w:hAnsi="Times New Roman"/>
          <w:bCs/>
          <w:sz w:val="32"/>
        </w:rPr>
        <w:t>阳城开发区作为</w:t>
      </w:r>
      <w:r>
        <w:rPr>
          <w:rFonts w:ascii="Times New Roman" w:hAnsi="Times New Roman"/>
          <w:bCs/>
          <w:sz w:val="32"/>
        </w:rPr>
        <w:t>资源型地区结构性矛盾突出、创新发展、绿色发展、开放发展等方面难题，切实打通束缚新质生产力发展的堵点卡点，推动改革和发展深度融合、高效联动。</w:t>
      </w:r>
    </w:p>
    <w:p w14:paraId="47BE55DC">
      <w:pPr>
        <w:spacing w:line="600" w:lineRule="exact"/>
        <w:ind w:firstLine="643"/>
        <w:outlineLvl w:val="2"/>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val="0"/>
          <w:sz w:val="32"/>
        </w:rPr>
        <w:t>“</w:t>
      </w:r>
      <w:r>
        <w:rPr>
          <w:rFonts w:ascii="Times New Roman" w:hAnsi="Times New Roman"/>
          <w:b/>
          <w:sz w:val="32"/>
        </w:rPr>
        <w:t>十五五</w:t>
      </w:r>
      <w:r>
        <w:rPr>
          <w:rFonts w:hint="eastAsia" w:ascii="方正仿宋_GB2312" w:hAnsi="方正仿宋_GB2312" w:eastAsia="方正仿宋_GB2312" w:cs="方正仿宋_GB2312"/>
          <w:b/>
          <w:bCs w:val="0"/>
          <w:sz w:val="32"/>
        </w:rPr>
        <w:t>”</w:t>
      </w:r>
      <w:r>
        <w:rPr>
          <w:rFonts w:ascii="Times New Roman" w:hAnsi="Times New Roman"/>
          <w:b/>
          <w:sz w:val="32"/>
        </w:rPr>
        <w:t>时期如期实现碳达峰</w:t>
      </w:r>
      <w:r>
        <w:rPr>
          <w:rFonts w:hint="eastAsia" w:ascii="Times New Roman" w:hAnsi="Times New Roman"/>
          <w:b/>
          <w:sz w:val="32"/>
        </w:rPr>
        <w:t>对阳城开发区发展方式提出了新要求</w:t>
      </w:r>
      <w:r>
        <w:rPr>
          <w:rFonts w:ascii="Times New Roman" w:hAnsi="Times New Roman"/>
          <w:b/>
          <w:sz w:val="32"/>
        </w:rPr>
        <w:t>。</w:t>
      </w:r>
      <w:r>
        <w:rPr>
          <w:rFonts w:ascii="Times New Roman" w:hAnsi="Times New Roman"/>
          <w:sz w:val="32"/>
        </w:rPr>
        <w:t>2030年前实现碳达峰是党中央经过深思熟虑</w:t>
      </w:r>
      <w:r>
        <w:rPr>
          <w:rFonts w:hint="eastAsia" w:ascii="方正仿宋_GB2312" w:hAnsi="方正仿宋_GB2312" w:eastAsia="方正仿宋_GB2312" w:cs="方正仿宋_GB2312"/>
        </w:rPr>
        <w:t>作出的重大战略决策，以碳达峰引领经济社会全面绿色转型成为阳城开发区谋划“十五五”的重要背景。开发区是推进碳达峰的主战场，能源消费总量仍将刚性增长，新能源体系支撑替代能力尚待形成，实现碳减排时间紧迫、任务艰巨。必须统筹绿色经济新优势和控制碳排放，提升新能源比重，协同推进降碳、节能、扩绿、增长，分步骤实施碳达峰行动。</w:t>
      </w:r>
    </w:p>
    <w:p w14:paraId="6BF0ACC4">
      <w:pPr>
        <w:spacing w:line="600" w:lineRule="exact"/>
        <w:ind w:firstLine="643"/>
        <w:outlineLvl w:val="2"/>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“十五五”时期双循环发展对</w:t>
      </w:r>
      <w:r>
        <w:rPr>
          <w:rFonts w:hint="eastAsia" w:ascii="方正仿宋_GB2312" w:hAnsi="方正仿宋_GB2312" w:eastAsia="方正仿宋_GB2312" w:cs="方正仿宋_GB2312"/>
          <w:b/>
        </w:rPr>
        <w:t>阳城开发区融入全国统一大市场提出了新要求</w:t>
      </w:r>
      <w:r>
        <w:rPr>
          <w:rFonts w:hint="eastAsia" w:ascii="方正仿宋_GB2312" w:hAnsi="方正仿宋_GB2312" w:eastAsia="方正仿宋_GB2312" w:cs="方正仿宋_GB2312"/>
          <w:b/>
          <w:bCs/>
        </w:rPr>
        <w:t>。</w:t>
      </w:r>
      <w:r>
        <w:rPr>
          <w:rFonts w:hint="eastAsia" w:ascii="方正仿宋_GB2312" w:hAnsi="方正仿宋_GB2312" w:eastAsia="方正仿宋_GB2312" w:cs="方正仿宋_GB2312"/>
        </w:rPr>
        <w:t>当前，全国统一大市场加快构建，国家重大区域战略深度融合集成，国内大循环动力和格局逐步深化，但阳城开发区对外开放整体水平不高，在双循环发展格局中的战略地位偏弱。“十五五”时期，必须强化开放理念、树立国际视野、弘扬晋商精神，稳步扩大制度型开放，统筹开放大通道、大平台、大枢纽建设，深度嵌入全国产业链供应链，奋力在区域融合和对外开放中实现高水平崛起。</w:t>
      </w:r>
    </w:p>
    <w:p w14:paraId="09559873">
      <w:pPr>
        <w:spacing w:line="600" w:lineRule="exact"/>
        <w:ind w:firstLine="643"/>
        <w:outlineLvl w:val="2"/>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“十五五”时期深化开发区改革创新推动高质量发展对阳城开发区发展质量提出了新要求。</w:t>
      </w:r>
      <w:r>
        <w:rPr>
          <w:rFonts w:hint="eastAsia" w:ascii="方正仿宋_GB2312" w:hAnsi="方正仿宋_GB2312" w:eastAsia="方正仿宋_GB2312" w:cs="方正仿宋_GB2312"/>
        </w:rPr>
        <w:t>“十五五”时期全国全省将进一步深化开发区改革、提升产业集聚度、提高资源利用效率，强化开发区主阵地作用。全省将有序规范开发区的发展，对发展水平较差、功能较弱的开发区实现有序退出。阳城开发区必须锚定高质量发展主线，坚持提升产业集聚度和资源利用效率，持续推动创新提升和高质量发展。</w:t>
      </w:r>
    </w:p>
    <w:p w14:paraId="251A07F8">
      <w:pPr>
        <w:ind w:firstLine="640"/>
        <w:rPr>
          <w:rFonts w:hint="eastAsia" w:ascii="方正仿宋_GB2312" w:hAnsi="方正仿宋_GB2312" w:eastAsia="方正仿宋_GB2312" w:cs="方正仿宋_GB2312"/>
          <w:b/>
        </w:rPr>
      </w:pPr>
      <w:r>
        <w:rPr>
          <w:rFonts w:hint="eastAsia" w:ascii="方正仿宋_GB2312" w:hAnsi="方正仿宋_GB2312" w:eastAsia="方正仿宋_GB2312" w:cs="方正仿宋_GB2312"/>
        </w:rPr>
        <w:t>综合判断，阳城开发区仍处于大有可为的重要战略机遇期，经济整体向好，现代化产业体系加快构建，新旧动能持续转换，高质量发展基础不断夯实，能源、资源、区位等多重比较优势正在转化为竞争优势。阳城开发区要抢抓机遇，坚持转型升级蹚新路，将新发展理念贯穿到新旧动能转换、经济高质量发展过程当中，率先在阳城开发区转型大势中奋力蹚出一条</w:t>
      </w:r>
      <w:r>
        <w:rPr>
          <w:rFonts w:hint="eastAsia" w:ascii="方正仿宋_GB2312" w:hAnsi="方正仿宋_GB2312" w:eastAsia="方正仿宋_GB2312" w:cs="方正仿宋_GB2312"/>
          <w:lang w:val="en-US" w:eastAsia="zh-CN"/>
        </w:rPr>
        <w:t>县域经济</w:t>
      </w:r>
      <w:r>
        <w:rPr>
          <w:rFonts w:hint="eastAsia" w:ascii="方正仿宋_GB2312" w:hAnsi="方正仿宋_GB2312" w:eastAsia="方正仿宋_GB2312" w:cs="方正仿宋_GB2312"/>
        </w:rPr>
        <w:t>转型发展</w:t>
      </w:r>
      <w:r>
        <w:rPr>
          <w:rFonts w:hint="eastAsia" w:ascii="方正仿宋_GB2312" w:hAnsi="方正仿宋_GB2312" w:eastAsia="方正仿宋_GB2312" w:cs="方正仿宋_GB2312"/>
          <w:lang w:val="en-US" w:eastAsia="zh-CN"/>
        </w:rPr>
        <w:t>主引擎</w:t>
      </w:r>
      <w:r>
        <w:rPr>
          <w:rFonts w:hint="eastAsia" w:ascii="方正仿宋_GB2312" w:hAnsi="方正仿宋_GB2312" w:eastAsia="方正仿宋_GB2312" w:cs="方正仿宋_GB2312"/>
        </w:rPr>
        <w:t>新路。</w:t>
      </w:r>
      <w:r>
        <w:rPr>
          <w:rFonts w:hint="eastAsia" w:ascii="方正仿宋_GB2312" w:hAnsi="方正仿宋_GB2312" w:eastAsia="方正仿宋_GB2312" w:cs="方正仿宋_GB2312"/>
          <w:b/>
        </w:rPr>
        <w:br w:type="page"/>
      </w:r>
    </w:p>
    <w:p w14:paraId="72B07CF2">
      <w:pPr>
        <w:ind w:left="0" w:leftChars="0" w:firstLine="0" w:firstLineChars="0"/>
        <w:jc w:val="center"/>
        <w:outlineLvl w:val="0"/>
        <w:rPr>
          <w:rFonts w:ascii="Times New Roman" w:hAnsi="Times New Roman" w:eastAsia="黑体"/>
          <w:bCs/>
          <w:sz w:val="36"/>
          <w:szCs w:val="36"/>
        </w:rPr>
      </w:pPr>
      <w:bookmarkStart w:id="24" w:name="_Toc24366"/>
      <w:bookmarkStart w:id="25" w:name="_Toc28002"/>
      <w:bookmarkStart w:id="26" w:name="_Toc18218"/>
      <w:r>
        <w:rPr>
          <w:rFonts w:hint="eastAsia" w:ascii="Times New Roman" w:hAnsi="Times New Roman" w:eastAsia="黑体"/>
          <w:bCs/>
          <w:sz w:val="36"/>
          <w:szCs w:val="36"/>
        </w:rPr>
        <w:t>第二章</w:t>
      </w:r>
      <w:r>
        <w:rPr>
          <w:rFonts w:hint="eastAsia" w:ascii="Times New Roman" w:hAnsi="Times New Roman" w:eastAsia="方正小标宋简体"/>
        </w:rPr>
        <w:t xml:space="preserve"> </w:t>
      </w:r>
      <w:r>
        <w:rPr>
          <w:rFonts w:hint="eastAsia" w:ascii="Times New Roman" w:hAnsi="Times New Roman" w:eastAsia="黑体"/>
          <w:bCs/>
          <w:sz w:val="36"/>
          <w:szCs w:val="36"/>
        </w:rPr>
        <w:t>“十五五”发展原则与定位</w:t>
      </w:r>
      <w:bookmarkEnd w:id="24"/>
      <w:bookmarkEnd w:id="25"/>
      <w:bookmarkEnd w:id="26"/>
    </w:p>
    <w:p w14:paraId="2948F3EB">
      <w:pPr>
        <w:spacing w:line="600" w:lineRule="exact"/>
        <w:ind w:left="0" w:leftChars="0" w:firstLine="0" w:firstLineChars="0"/>
        <w:jc w:val="center"/>
        <w:outlineLvl w:val="1"/>
        <w:rPr>
          <w:rFonts w:ascii="Times New Roman" w:hAnsi="Times New Roman" w:eastAsia="楷体_GB2312"/>
          <w:b/>
        </w:rPr>
      </w:pPr>
      <w:bookmarkStart w:id="27" w:name="_Toc11559"/>
      <w:bookmarkStart w:id="28" w:name="_Toc17220"/>
      <w:bookmarkStart w:id="29" w:name="_Toc22881"/>
      <w:r>
        <w:rPr>
          <w:rFonts w:hint="eastAsia" w:ascii="Times New Roman" w:hAnsi="Times New Roman" w:eastAsia="楷体_GB2312"/>
          <w:b/>
        </w:rPr>
        <w:t>第一节 指导思想</w:t>
      </w:r>
      <w:bookmarkEnd w:id="27"/>
      <w:bookmarkEnd w:id="28"/>
      <w:bookmarkEnd w:id="29"/>
    </w:p>
    <w:p w14:paraId="6EC24D6B">
      <w:pPr>
        <w:widowControl/>
        <w:ind w:firstLine="643"/>
        <w:jc w:val="left"/>
        <w:rPr>
          <w:rFonts w:ascii="Times New Roman" w:hAnsi="Times New Roman" w:eastAsia="楷体_GB2312"/>
          <w:bCs/>
        </w:rPr>
      </w:pPr>
      <w:r>
        <w:rPr>
          <w:rFonts w:hint="eastAsia" w:ascii="Times New Roman" w:hAnsi="Times New Roman" w:eastAsia="楷体_GB2312"/>
          <w:b/>
        </w:rPr>
        <w:t>一、指导思想</w:t>
      </w:r>
    </w:p>
    <w:p w14:paraId="2F20F3EA">
      <w:pPr>
        <w:widowControl/>
        <w:ind w:firstLine="640"/>
        <w:jc w:val="left"/>
        <w:rPr>
          <w:rFonts w:hint="eastAsia" w:ascii="方正仿宋_GB2312" w:hAnsi="方正仿宋_GB2312" w:eastAsia="方正仿宋_GB2312" w:cs="方正仿宋_GB2312"/>
          <w:bCs/>
        </w:rPr>
      </w:pPr>
      <w:r>
        <w:rPr>
          <w:rFonts w:hint="eastAsia" w:ascii="方正仿宋_GB2312" w:hAnsi="方正仿宋_GB2312" w:eastAsia="方正仿宋_GB2312" w:cs="方正仿宋_GB2312"/>
          <w:bCs/>
        </w:rPr>
        <w:t>坚持以习近平新时代中国特色社会主义思想为指导，全面贯彻落实党的二十大和二十届历次全会精神，坚定不移践行习近平总书记视察阳城“见新见绿”重要指示精神，全面落实省委关于能源转型、产业升级、适度多元的重大决策和市委“大抓工业 大兴产业”的战略部署</w:t>
      </w:r>
      <w:r>
        <w:rPr>
          <w:rFonts w:hint="eastAsia" w:ascii="方正仿宋_GB2312" w:hAnsi="方正仿宋_GB2312" w:eastAsia="方正仿宋_GB2312" w:cs="方正仿宋_GB2312"/>
          <w:bCs/>
          <w:color w:val="auto"/>
          <w:highlight w:val="none"/>
          <w:lang w:val="en-US" w:eastAsia="zh-CN"/>
        </w:rPr>
        <w:t>以及县委</w:t>
      </w:r>
      <w:r>
        <w:rPr>
          <w:rFonts w:hint="eastAsia" w:ascii="方正仿宋_GB2312" w:hAnsi="方正仿宋_GB2312" w:eastAsia="方正仿宋_GB2312" w:cs="方正仿宋_GB2312"/>
          <w:bCs/>
          <w:color w:val="auto"/>
          <w:highlight w:val="none"/>
        </w:rPr>
        <w:t>“抓项目、兴产业、促转型”</w:t>
      </w:r>
      <w:r>
        <w:rPr>
          <w:rFonts w:hint="eastAsia" w:ascii="方正仿宋_GB2312" w:hAnsi="方正仿宋_GB2312" w:eastAsia="方正仿宋_GB2312" w:cs="方正仿宋_GB2312"/>
          <w:bCs/>
          <w:color w:val="auto"/>
          <w:highlight w:val="none"/>
          <w:lang w:val="en-US" w:eastAsia="zh-CN"/>
        </w:rPr>
        <w:t>工作安排</w:t>
      </w:r>
      <w:r>
        <w:rPr>
          <w:rFonts w:hint="eastAsia" w:ascii="方正仿宋_GB2312" w:hAnsi="方正仿宋_GB2312" w:eastAsia="方正仿宋_GB2312" w:cs="方正仿宋_GB2312"/>
          <w:bCs/>
          <w:color w:val="auto"/>
          <w:highlight w:val="none"/>
        </w:rPr>
        <w:t>，</w:t>
      </w:r>
      <w:r>
        <w:rPr>
          <w:rFonts w:hint="eastAsia" w:ascii="方正仿宋_GB2312" w:hAnsi="方正仿宋_GB2312" w:eastAsia="方正仿宋_GB2312" w:cs="方正仿宋_GB2312"/>
          <w:bCs/>
        </w:rPr>
        <w:t>以推动高质量发展为主线，以进一步全面深化改革为动力，推动科技创新和产业创新深度融合，提升产业集聚度、提高资源利用效率，推动阳城开发区特色优势产业体系互促共进，因地制宜发展新质生产力，更好统筹高质量发展和高水平安全，充分发挥开发区主阵地、主战场、主引擎作用，在全省的战略地位和影响力明显提升。</w:t>
      </w:r>
    </w:p>
    <w:p w14:paraId="1E3A1D2B">
      <w:pPr>
        <w:widowControl/>
        <w:ind w:firstLine="643"/>
        <w:jc w:val="left"/>
        <w:rPr>
          <w:rFonts w:ascii="Times New Roman" w:hAnsi="Times New Roman" w:eastAsia="楷体_GB2312"/>
          <w:b/>
        </w:rPr>
      </w:pPr>
      <w:r>
        <w:rPr>
          <w:rFonts w:hint="eastAsia" w:ascii="Times New Roman" w:hAnsi="Times New Roman" w:eastAsia="楷体_GB2312"/>
          <w:b/>
        </w:rPr>
        <w:t>二、</w:t>
      </w:r>
      <w:r>
        <w:rPr>
          <w:rFonts w:ascii="Times New Roman" w:hAnsi="Times New Roman" w:eastAsia="楷体_GB2312"/>
          <w:b/>
        </w:rPr>
        <w:t>基本原则</w:t>
      </w:r>
    </w:p>
    <w:p w14:paraId="37207A36">
      <w:pPr>
        <w:widowControl/>
        <w:ind w:firstLine="638"/>
        <w:jc w:val="left"/>
        <w:rPr>
          <w:rFonts w:hint="eastAsia" w:ascii="Times New Roman" w:hAnsi="Times New Roman" w:eastAsia="仿宋_GB2312"/>
          <w:b/>
          <w:lang w:eastAsia="zh-CN"/>
        </w:rPr>
      </w:pPr>
      <w:r>
        <w:rPr>
          <w:rFonts w:hint="eastAsia"/>
          <w:b/>
          <w:spacing w:val="4"/>
          <w:sz w:val="31"/>
          <w:szCs w:val="31"/>
        </w:rPr>
        <w:t>坚持党的全面领导</w:t>
      </w:r>
      <w:r>
        <w:rPr>
          <w:rFonts w:hint="eastAsia"/>
          <w:b/>
          <w:spacing w:val="4"/>
          <w:sz w:val="31"/>
          <w:szCs w:val="31"/>
          <w:lang w:eastAsia="zh-CN"/>
        </w:rPr>
        <w:t>。</w:t>
      </w:r>
      <w:r>
        <w:rPr>
          <w:rFonts w:hint="eastAsia"/>
          <w:spacing w:val="4"/>
          <w:sz w:val="31"/>
          <w:szCs w:val="31"/>
        </w:rPr>
        <w:t>坚决维护党中央权威和集中统一领导，进一步提高把方向、谋大局、定政策、促改革能力，把党的领导贯穿开发区发展各领域全过程</w:t>
      </w:r>
      <w:r>
        <w:rPr>
          <w:rFonts w:hint="eastAsia"/>
          <w:spacing w:val="4"/>
          <w:sz w:val="31"/>
          <w:szCs w:val="31"/>
          <w:lang w:eastAsia="zh-CN"/>
        </w:rPr>
        <w:t>。</w:t>
      </w:r>
    </w:p>
    <w:p w14:paraId="367DC733">
      <w:pPr>
        <w:widowControl/>
        <w:ind w:firstLine="643"/>
        <w:jc w:val="left"/>
        <w:rPr>
          <w:rFonts w:ascii="Times New Roman" w:hAnsi="Times New Roman"/>
          <w:bCs/>
        </w:rPr>
      </w:pPr>
      <w:r>
        <w:rPr>
          <w:rFonts w:ascii="Times New Roman" w:hAnsi="Times New Roman"/>
          <w:b/>
        </w:rPr>
        <w:t>坚持</w:t>
      </w:r>
      <w:r>
        <w:rPr>
          <w:rFonts w:hint="eastAsia" w:ascii="Times New Roman" w:hAnsi="Times New Roman"/>
          <w:b/>
        </w:rPr>
        <w:t>科学统筹</w:t>
      </w:r>
      <w:r>
        <w:rPr>
          <w:rFonts w:hint="eastAsia" w:ascii="Times New Roman" w:hAnsi="Times New Roman"/>
          <w:b/>
          <w:lang w:val="en-US" w:eastAsia="zh-CN"/>
        </w:rPr>
        <w:t>发展</w:t>
      </w:r>
      <w:r>
        <w:rPr>
          <w:rFonts w:ascii="Times New Roman" w:hAnsi="Times New Roman"/>
          <w:b/>
        </w:rPr>
        <w:t>。</w:t>
      </w:r>
      <w:r>
        <w:rPr>
          <w:rFonts w:ascii="Times New Roman" w:hAnsi="Times New Roman"/>
          <w:bCs/>
          <w:lang w:bidi="ar"/>
        </w:rPr>
        <w:t>既要贴合</w:t>
      </w:r>
      <w:r>
        <w:rPr>
          <w:rFonts w:hint="eastAsia" w:ascii="Times New Roman" w:hAnsi="Times New Roman"/>
          <w:bCs/>
          <w:lang w:bidi="ar"/>
        </w:rPr>
        <w:t>开发区</w:t>
      </w:r>
      <w:r>
        <w:rPr>
          <w:rFonts w:ascii="Times New Roman" w:hAnsi="Times New Roman"/>
          <w:bCs/>
          <w:lang w:bidi="ar"/>
        </w:rPr>
        <w:t>产业基础，</w:t>
      </w:r>
      <w:r>
        <w:rPr>
          <w:rFonts w:hint="eastAsia" w:ascii="Times New Roman" w:hAnsi="Times New Roman"/>
          <w:bCs/>
          <w:lang w:bidi="ar"/>
        </w:rPr>
        <w:t>厘清发展方向，</w:t>
      </w:r>
      <w:r>
        <w:rPr>
          <w:rFonts w:ascii="Times New Roman" w:hAnsi="Times New Roman"/>
          <w:bCs/>
          <w:lang w:bidi="ar"/>
        </w:rPr>
        <w:t>又要</w:t>
      </w:r>
      <w:r>
        <w:rPr>
          <w:rFonts w:hint="eastAsia" w:ascii="Times New Roman" w:hAnsi="Times New Roman"/>
          <w:bCs/>
          <w:lang w:bidi="ar"/>
        </w:rPr>
        <w:t>聚焦特色优势产业精准施策，</w:t>
      </w:r>
      <w:r>
        <w:rPr>
          <w:rFonts w:ascii="Times New Roman" w:hAnsi="Times New Roman"/>
          <w:bCs/>
          <w:lang w:bidi="ar"/>
        </w:rPr>
        <w:t>集中资源和力量突破关键产业、重点项目，以重点突破带动产业整体提升。</w:t>
      </w:r>
    </w:p>
    <w:p w14:paraId="124FBB6F">
      <w:pPr>
        <w:spacing w:line="600" w:lineRule="exact"/>
        <w:ind w:firstLine="643"/>
        <w:outlineLvl w:val="2"/>
        <w:rPr>
          <w:rFonts w:ascii="Times New Roman" w:hAnsi="Times New Roman"/>
          <w:b/>
        </w:rPr>
      </w:pPr>
      <w:r>
        <w:rPr>
          <w:rFonts w:hint="eastAsia" w:ascii="Times New Roman" w:hAnsi="Times New Roman"/>
          <w:b/>
        </w:rPr>
        <w:t>坚持资源承载匹配。</w:t>
      </w:r>
      <w:r>
        <w:rPr>
          <w:rFonts w:hint="eastAsia" w:ascii="Times New Roman" w:hAnsi="Times New Roman"/>
          <w:bCs/>
        </w:rPr>
        <w:t>把资源利用作为刚性约束，完善资源总量管理和全面节约制度，统筹碳排放、能耗、用水、用地等各类资源的全过程管理和全链条节约，推动实现经济社会发展建立在资源高效循环利用、生态环境受到严格保护的基础上。</w:t>
      </w:r>
    </w:p>
    <w:p w14:paraId="17D644E1">
      <w:pPr>
        <w:pStyle w:val="8"/>
        <w:spacing w:line="600" w:lineRule="exact"/>
        <w:ind w:firstLine="643"/>
        <w:outlineLvl w:val="2"/>
        <w:rPr>
          <w:rFonts w:ascii="Times New Roman" w:hAnsi="Times New Roman" w:eastAsia="仿宋_GB2312"/>
          <w:b w:val="0"/>
          <w:bCs w:val="0"/>
        </w:rPr>
      </w:pPr>
      <w:r>
        <w:rPr>
          <w:rFonts w:ascii="Times New Roman" w:hAnsi="Times New Roman" w:eastAsia="仿宋_GB2312"/>
        </w:rPr>
        <w:t>坚持新</w:t>
      </w:r>
      <w:r>
        <w:rPr>
          <w:rFonts w:hint="eastAsia" w:ascii="Times New Roman" w:hAnsi="Times New Roman" w:eastAsia="仿宋_GB2312"/>
          <w:lang w:val="en-US" w:eastAsia="zh-CN"/>
        </w:rPr>
        <w:t>旧</w:t>
      </w:r>
      <w:r>
        <w:rPr>
          <w:rFonts w:ascii="Times New Roman" w:hAnsi="Times New Roman" w:eastAsia="仿宋_GB2312"/>
        </w:rPr>
        <w:t>动能</w:t>
      </w:r>
      <w:r>
        <w:rPr>
          <w:rFonts w:hint="eastAsia" w:ascii="Times New Roman" w:hAnsi="Times New Roman" w:eastAsia="仿宋_GB2312"/>
          <w:lang w:val="en-US" w:eastAsia="zh-CN"/>
        </w:rPr>
        <w:t>转换</w:t>
      </w:r>
      <w:r>
        <w:rPr>
          <w:rFonts w:ascii="Times New Roman" w:hAnsi="Times New Roman" w:eastAsia="仿宋_GB2312"/>
        </w:rPr>
        <w:t>。</w:t>
      </w:r>
      <w:r>
        <w:rPr>
          <w:rFonts w:ascii="Times New Roman" w:hAnsi="Times New Roman" w:eastAsia="仿宋_GB2312"/>
          <w:b w:val="0"/>
          <w:bCs w:val="0"/>
        </w:rPr>
        <w:t>立足能源资源优势，抓住全面绿色转型新机遇，以科技创新</w:t>
      </w:r>
      <w:r>
        <w:rPr>
          <w:rFonts w:hint="eastAsia" w:ascii="Times New Roman" w:hAnsi="Times New Roman" w:eastAsia="仿宋_GB2312"/>
          <w:b w:val="0"/>
          <w:bCs w:val="0"/>
        </w:rPr>
        <w:t>和产业创新深度融合</w:t>
      </w:r>
      <w:r>
        <w:rPr>
          <w:rFonts w:ascii="Times New Roman" w:hAnsi="Times New Roman" w:eastAsia="仿宋_GB2312"/>
          <w:b w:val="0"/>
          <w:bCs w:val="0"/>
        </w:rPr>
        <w:t>为引领，</w:t>
      </w:r>
      <w:r>
        <w:rPr>
          <w:rFonts w:hint="eastAsia" w:ascii="Times New Roman" w:hAnsi="Times New Roman" w:eastAsia="仿宋_GB2312"/>
          <w:b w:val="0"/>
          <w:bCs w:val="0"/>
        </w:rPr>
        <w:t>推动新型能源体系为新兴产业培育提供绿色动能，推动现代化产业体系为能源转型升级提供支撑，</w:t>
      </w:r>
      <w:r>
        <w:rPr>
          <w:rFonts w:ascii="Times New Roman" w:hAnsi="Times New Roman" w:eastAsia="仿宋_GB2312"/>
          <w:b w:val="0"/>
          <w:bCs w:val="0"/>
        </w:rPr>
        <w:t>最大程度将资源优势转化成产业优势、发展优势。</w:t>
      </w:r>
    </w:p>
    <w:p w14:paraId="37B393B8">
      <w:pPr>
        <w:spacing w:before="6" w:line="363" w:lineRule="auto"/>
        <w:ind w:right="4" w:firstLine="676"/>
        <w:rPr>
          <w:rFonts w:hint="eastAsia" w:ascii="Times New Roman" w:hAnsi="Times New Roman" w:eastAsia="仿宋_GB2312" w:cs="仿宋_GB2312"/>
          <w:b w:val="0"/>
          <w:bCs w:val="0"/>
          <w:kern w:val="2"/>
          <w:sz w:val="32"/>
          <w:szCs w:val="32"/>
          <w:lang w:val="en-US" w:eastAsia="zh-CN" w:bidi="ar-SA"/>
        </w:rPr>
      </w:pPr>
      <w:r>
        <w:rPr>
          <w:rFonts w:hint="eastAsia" w:ascii="Times New Roman" w:hAnsi="Times New Roman" w:eastAsia="仿宋_GB2312" w:cs="仿宋_GB2312"/>
          <w:b/>
          <w:bCs/>
          <w:kern w:val="2"/>
          <w:sz w:val="32"/>
          <w:szCs w:val="32"/>
          <w:lang w:val="en-US" w:eastAsia="zh-CN" w:bidi="ar-SA"/>
        </w:rPr>
        <w:t>坚持统筹发展安全。</w:t>
      </w:r>
      <w:r>
        <w:rPr>
          <w:rFonts w:hint="eastAsia" w:ascii="Times New Roman" w:hAnsi="Times New Roman" w:eastAsia="仿宋_GB2312" w:cs="仿宋_GB2312"/>
          <w:b w:val="0"/>
          <w:bCs w:val="0"/>
          <w:kern w:val="2"/>
          <w:sz w:val="32"/>
          <w:szCs w:val="32"/>
          <w:lang w:val="en-US" w:eastAsia="zh-CN" w:bidi="ar-SA"/>
        </w:rPr>
        <w:t>始终坚持系统思维与底线思维，统筹好发展与安全两件大事，聚焦重点领域风险隐患，着力防范安全生产、债务等各类风险挑战，坚决守住不发生系统性风险的底线，以稳固的新安全格局为开发区高质量发展提供坚实保障。</w:t>
      </w:r>
    </w:p>
    <w:p w14:paraId="79FAC5CE">
      <w:pPr>
        <w:keepNext w:val="0"/>
        <w:keepLines w:val="0"/>
        <w:pageBreakBefore w:val="0"/>
        <w:widowControl w:val="0"/>
        <w:numPr>
          <w:ilvl w:val="0"/>
          <w:numId w:val="1"/>
        </w:numPr>
        <w:kinsoku/>
        <w:wordWrap/>
        <w:overflowPunct/>
        <w:topLinePunct w:val="0"/>
        <w:autoSpaceDE/>
        <w:autoSpaceDN/>
        <w:bidi w:val="0"/>
        <w:adjustRightInd/>
        <w:snapToGrid/>
        <w:ind w:firstLine="0" w:firstLineChars="0"/>
        <w:jc w:val="center"/>
        <w:textAlignment w:val="auto"/>
        <w:outlineLvl w:val="1"/>
        <w:rPr>
          <w:rFonts w:hint="eastAsia" w:ascii="Times New Roman" w:hAnsi="Times New Roman" w:eastAsia="楷体_GB2312"/>
          <w:b/>
          <w:lang w:val="en-US" w:eastAsia="zh-CN"/>
        </w:rPr>
      </w:pPr>
      <w:bookmarkStart w:id="30" w:name="_Toc8020"/>
      <w:bookmarkStart w:id="31" w:name="_Toc25199"/>
      <w:bookmarkStart w:id="32" w:name="_Toc580"/>
      <w:r>
        <w:rPr>
          <w:rFonts w:hint="eastAsia" w:ascii="Times New Roman" w:hAnsi="Times New Roman" w:eastAsia="楷体_GB2312"/>
          <w:b/>
        </w:rPr>
        <w:t>战略定位</w:t>
      </w:r>
      <w:bookmarkEnd w:id="30"/>
      <w:bookmarkEnd w:id="31"/>
      <w:bookmarkEnd w:id="32"/>
      <w:r>
        <w:rPr>
          <w:rFonts w:hint="eastAsia" w:ascii="Times New Roman" w:hAnsi="Times New Roman" w:eastAsia="楷体_GB2312"/>
          <w:b/>
          <w:lang w:val="en-US" w:eastAsia="zh-CN"/>
        </w:rPr>
        <w:t>和发展目标</w:t>
      </w:r>
    </w:p>
    <w:p w14:paraId="0AB1CC70">
      <w:pPr>
        <w:spacing w:line="600" w:lineRule="exact"/>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lang w:val="en-US" w:eastAsia="zh-CN"/>
        </w:rPr>
        <w:t>战略定位。</w:t>
      </w:r>
      <w:r>
        <w:rPr>
          <w:rFonts w:hint="eastAsia" w:ascii="方正仿宋_GB2312" w:hAnsi="方正仿宋_GB2312" w:eastAsia="方正仿宋_GB2312" w:cs="方正仿宋_GB2312"/>
        </w:rPr>
        <w:t>“十五五”期间，阳城开发区以创新驱动为引领，强化园区承载能力，提高产业集聚、集约和综合集成水平，提升发展质量和效益，推进优势产业做大、做强、做精、做特。积极推进产业深度整合，构建以精细化工为主导、陶瓷、加工制造业为互为支撑融合的“一主两辅”现代产业体系，</w:t>
      </w:r>
      <w:r>
        <w:rPr>
          <w:rFonts w:hint="eastAsia" w:ascii="方正仿宋_GB2312" w:hAnsi="方正仿宋_GB2312" w:eastAsia="方正仿宋_GB2312" w:cs="方正仿宋_GB2312"/>
          <w:lang w:val="en-US" w:eastAsia="zh-CN"/>
        </w:rPr>
        <w:t>成为阳城转型发展的主阵地、主战场和主引擎</w:t>
      </w:r>
      <w:r>
        <w:rPr>
          <w:rFonts w:hint="eastAsia" w:ascii="方正仿宋_GB2312" w:hAnsi="方正仿宋_GB2312" w:eastAsia="方正仿宋_GB2312" w:cs="方正仿宋_GB2312"/>
        </w:rPr>
        <w:t>。</w:t>
      </w:r>
    </w:p>
    <w:p w14:paraId="0CBE70DE">
      <w:pPr>
        <w:spacing w:line="600" w:lineRule="exact"/>
        <w:ind w:firstLine="640"/>
        <w:rPr>
          <w:rFonts w:hint="default" w:ascii="Times New Roman" w:hAnsi="Times New Roman" w:eastAsia="仿宋_GB2312"/>
          <w:bCs/>
          <w:sz w:val="32"/>
          <w:lang w:val="en-US" w:eastAsia="zh-CN"/>
        </w:rPr>
      </w:pPr>
      <w:r>
        <w:rPr>
          <w:rFonts w:hint="eastAsia" w:ascii="方正仿宋_GB2312" w:hAnsi="方正仿宋_GB2312" w:eastAsia="方正仿宋_GB2312" w:cs="方正仿宋_GB2312"/>
          <w:b/>
          <w:bCs/>
          <w:lang w:val="en-US" w:eastAsia="zh-CN"/>
        </w:rPr>
        <w:t>发展目标。</w:t>
      </w:r>
      <w:r>
        <w:rPr>
          <w:rFonts w:hint="eastAsia" w:ascii="方正仿宋_GB2312" w:hAnsi="方正仿宋_GB2312" w:eastAsia="方正仿宋_GB2312" w:cs="方正仿宋_GB2312"/>
          <w:bCs/>
          <w:lang w:val="en-US" w:eastAsia="zh-CN"/>
        </w:rPr>
        <w:t>到2030年，开发区空间布局进一步优化，体制机制改革纵深推进，产业集聚度明显提升，资源利用效</w:t>
      </w:r>
      <w:r>
        <w:rPr>
          <w:rFonts w:hint="eastAsia" w:ascii="Times New Roman" w:hAnsi="Times New Roman"/>
          <w:bCs/>
          <w:sz w:val="32"/>
          <w:lang w:val="en-US" w:eastAsia="zh-CN"/>
        </w:rPr>
        <w:t>率逐步提高，高质量发展体系全面形成。</w:t>
      </w:r>
    </w:p>
    <w:p w14:paraId="00FCAFA0">
      <w:pPr>
        <w:ind w:firstLine="643"/>
        <w:rPr>
          <w:rFonts w:hint="eastAsia" w:ascii="Times New Roman" w:hAnsi="Times New Roman"/>
          <w:sz w:val="32"/>
        </w:rPr>
      </w:pPr>
      <w:r>
        <w:rPr>
          <w:rFonts w:hint="eastAsia" w:ascii="Times New Roman" w:hAnsi="Times New Roman"/>
          <w:b/>
          <w:bCs/>
          <w:sz w:val="32"/>
        </w:rPr>
        <w:t>综合经济实力明显增强。</w:t>
      </w:r>
      <w:r>
        <w:rPr>
          <w:rFonts w:hint="eastAsia" w:ascii="Times New Roman" w:hAnsi="Times New Roman"/>
          <w:sz w:val="32"/>
        </w:rPr>
        <w:t>全区</w:t>
      </w:r>
      <w:r>
        <w:rPr>
          <w:rFonts w:hint="eastAsia" w:ascii="Times New Roman" w:hAnsi="Times New Roman"/>
          <w:sz w:val="32"/>
          <w:lang w:val="en-US" w:eastAsia="zh-CN"/>
        </w:rPr>
        <w:t>规上</w:t>
      </w:r>
      <w:r>
        <w:rPr>
          <w:rFonts w:hint="eastAsia" w:ascii="Times New Roman" w:hAnsi="Times New Roman"/>
          <w:sz w:val="32"/>
        </w:rPr>
        <w:t>工业总产值达150亿元，规上工业增加值达</w:t>
      </w:r>
      <w:r>
        <w:rPr>
          <w:rFonts w:hint="eastAsia" w:ascii="Times New Roman" w:hAnsi="Times New Roman"/>
          <w:sz w:val="32"/>
          <w:lang w:val="en-US" w:eastAsia="zh-CN"/>
        </w:rPr>
        <w:t>56</w:t>
      </w:r>
      <w:r>
        <w:rPr>
          <w:rFonts w:hint="eastAsia" w:ascii="Times New Roman" w:hAnsi="Times New Roman"/>
          <w:sz w:val="32"/>
        </w:rPr>
        <w:t>亿元，工业固定资产投资完成</w:t>
      </w:r>
      <w:r>
        <w:rPr>
          <w:rFonts w:hint="eastAsia" w:ascii="Times New Roman" w:hAnsi="Times New Roman"/>
          <w:sz w:val="32"/>
          <w:lang w:val="en-US" w:eastAsia="zh-CN"/>
        </w:rPr>
        <w:t>37.5</w:t>
      </w:r>
      <w:r>
        <w:rPr>
          <w:rFonts w:hint="eastAsia" w:ascii="Times New Roman" w:hAnsi="Times New Roman"/>
          <w:sz w:val="32"/>
        </w:rPr>
        <w:t>亿元。经济实现快速发展</w:t>
      </w:r>
      <w:r>
        <w:rPr>
          <w:rFonts w:hint="eastAsia" w:ascii="Times New Roman" w:hAnsi="Times New Roman"/>
          <w:sz w:val="32"/>
          <w:lang w:eastAsia="zh-CN"/>
        </w:rPr>
        <w:t>，</w:t>
      </w:r>
      <w:r>
        <w:rPr>
          <w:rFonts w:hint="eastAsia" w:ascii="Times New Roman" w:hAnsi="Times New Roman"/>
          <w:sz w:val="32"/>
        </w:rPr>
        <w:t>现代产业体系基本建成，投资效率和企业效益明显上升，工业强基奠定坚实支撑，重点建设项目如期完成，创新驱动取得明显成效，安全生产持续稳定。</w:t>
      </w:r>
    </w:p>
    <w:p w14:paraId="78EA2F5B">
      <w:pPr>
        <w:spacing w:line="600" w:lineRule="exact"/>
        <w:ind w:firstLine="643"/>
        <w:rPr>
          <w:rFonts w:ascii="Times New Roman" w:hAnsi="Times New Roman"/>
          <w:b/>
          <w:sz w:val="32"/>
        </w:rPr>
      </w:pPr>
      <w:r>
        <w:rPr>
          <w:rFonts w:ascii="Times New Roman" w:hAnsi="Times New Roman"/>
          <w:b/>
          <w:sz w:val="32"/>
        </w:rPr>
        <w:t>特色优势产业体系</w:t>
      </w:r>
      <w:r>
        <w:rPr>
          <w:rFonts w:hint="eastAsia" w:ascii="Times New Roman" w:hAnsi="Times New Roman"/>
          <w:b/>
          <w:sz w:val="32"/>
          <w:lang w:val="en-US" w:eastAsia="zh-CN"/>
        </w:rPr>
        <w:t>构建完成</w:t>
      </w:r>
      <w:r>
        <w:rPr>
          <w:rFonts w:ascii="Times New Roman" w:hAnsi="Times New Roman"/>
          <w:b/>
          <w:sz w:val="32"/>
        </w:rPr>
        <w:t>。</w:t>
      </w:r>
      <w:r>
        <w:rPr>
          <w:rFonts w:ascii="Times New Roman" w:hAnsi="Times New Roman"/>
          <w:bCs/>
          <w:sz w:val="32"/>
        </w:rPr>
        <w:t>战略性新兴产业向集群化规模化不断发展，数智赋能加速产业提质升级，</w:t>
      </w:r>
      <w:r>
        <w:rPr>
          <w:rFonts w:hint="eastAsia" w:ascii="Times New Roman" w:hAnsi="Times New Roman"/>
          <w:bCs/>
          <w:sz w:val="32"/>
        </w:rPr>
        <w:t>精细化工</w:t>
      </w:r>
      <w:r>
        <w:rPr>
          <w:rFonts w:ascii="Times New Roman" w:hAnsi="Times New Roman"/>
          <w:bCs/>
          <w:sz w:val="32"/>
        </w:rPr>
        <w:t>、</w:t>
      </w:r>
      <w:r>
        <w:rPr>
          <w:rFonts w:hint="eastAsia" w:ascii="Times New Roman" w:hAnsi="Times New Roman"/>
          <w:bCs/>
          <w:sz w:val="32"/>
        </w:rPr>
        <w:t>陶瓷和加工制造三大</w:t>
      </w:r>
      <w:r>
        <w:rPr>
          <w:rFonts w:ascii="Times New Roman" w:hAnsi="Times New Roman"/>
          <w:bCs/>
          <w:sz w:val="32"/>
        </w:rPr>
        <w:t>产业持续壮大，多点产业支撑、多元优势互补、多极市场承载、内在竞争充分的产业体系基本形成。</w:t>
      </w:r>
      <w:r>
        <w:rPr>
          <w:rFonts w:hint="eastAsia" w:ascii="Times New Roman" w:hAnsi="Times New Roman"/>
          <w:bCs/>
          <w:sz w:val="32"/>
        </w:rPr>
        <w:t>精细化工产业规模突破百亿，并带动陶瓷产业和加工制造产业协同发展。</w:t>
      </w:r>
    </w:p>
    <w:p w14:paraId="4B27A761">
      <w:pPr>
        <w:spacing w:line="600" w:lineRule="exact"/>
        <w:ind w:firstLine="643"/>
        <w:rPr>
          <w:rFonts w:ascii="Times New Roman" w:hAnsi="Times New Roman"/>
          <w:b/>
          <w:sz w:val="32"/>
        </w:rPr>
      </w:pPr>
      <w:r>
        <w:rPr>
          <w:rFonts w:ascii="Times New Roman" w:hAnsi="Times New Roman"/>
          <w:b/>
          <w:sz w:val="32"/>
        </w:rPr>
        <w:t>绿色低碳</w:t>
      </w:r>
      <w:r>
        <w:rPr>
          <w:rFonts w:hint="eastAsia" w:ascii="Times New Roman" w:hAnsi="Times New Roman"/>
          <w:b/>
          <w:sz w:val="32"/>
        </w:rPr>
        <w:t>发展方式</w:t>
      </w:r>
      <w:r>
        <w:rPr>
          <w:rFonts w:ascii="Times New Roman" w:hAnsi="Times New Roman"/>
          <w:b/>
          <w:sz w:val="32"/>
        </w:rPr>
        <w:t>基本形成。</w:t>
      </w:r>
      <w:r>
        <w:rPr>
          <w:rFonts w:hint="eastAsia" w:ascii="Times New Roman" w:hAnsi="Times New Roman"/>
          <w:bCs/>
          <w:sz w:val="32"/>
        </w:rPr>
        <w:t>碳达峰和降低能耗建设取得重大进展，资源利用效率稳步提高，单位能耗、用水、排放和空气质量指标全面提升</w:t>
      </w:r>
      <w:r>
        <w:rPr>
          <w:rFonts w:ascii="Times New Roman" w:hAnsi="Times New Roman"/>
          <w:bCs/>
          <w:sz w:val="32"/>
        </w:rPr>
        <w:t>，形成更多</w:t>
      </w:r>
      <w:r>
        <w:rPr>
          <w:rFonts w:hint="eastAsia" w:ascii="Times New Roman" w:hAnsi="Times New Roman"/>
          <w:bCs/>
          <w:sz w:val="32"/>
        </w:rPr>
        <w:t>开发区绿色低碳发展</w:t>
      </w:r>
      <w:r>
        <w:rPr>
          <w:rFonts w:ascii="Times New Roman" w:hAnsi="Times New Roman"/>
          <w:bCs/>
          <w:sz w:val="32"/>
        </w:rPr>
        <w:t>的制度性经验，并在全</w:t>
      </w:r>
      <w:r>
        <w:rPr>
          <w:rFonts w:hint="eastAsia" w:ascii="Times New Roman" w:hAnsi="Times New Roman"/>
          <w:bCs/>
          <w:sz w:val="32"/>
        </w:rPr>
        <w:t>省</w:t>
      </w:r>
      <w:r>
        <w:rPr>
          <w:rFonts w:ascii="Times New Roman" w:hAnsi="Times New Roman"/>
          <w:bCs/>
          <w:sz w:val="32"/>
        </w:rPr>
        <w:t>推广。</w:t>
      </w:r>
    </w:p>
    <w:p w14:paraId="4B4D1352">
      <w:pPr>
        <w:spacing w:line="600" w:lineRule="exact"/>
        <w:ind w:firstLine="643"/>
        <w:rPr>
          <w:rFonts w:ascii="Times New Roman" w:hAnsi="Times New Roman"/>
          <w:bCs/>
          <w:sz w:val="32"/>
        </w:rPr>
      </w:pPr>
      <w:r>
        <w:rPr>
          <w:rFonts w:ascii="Times New Roman" w:hAnsi="Times New Roman"/>
          <w:b/>
          <w:sz w:val="32"/>
        </w:rPr>
        <w:t>创新生态</w:t>
      </w:r>
      <w:r>
        <w:rPr>
          <w:rFonts w:hint="eastAsia" w:ascii="Times New Roman" w:hAnsi="Times New Roman"/>
          <w:b/>
          <w:sz w:val="32"/>
          <w:lang w:val="en-US" w:eastAsia="zh-CN"/>
        </w:rPr>
        <w:t>全面完善</w:t>
      </w:r>
      <w:r>
        <w:rPr>
          <w:rFonts w:ascii="Times New Roman" w:hAnsi="Times New Roman"/>
          <w:b/>
          <w:sz w:val="32"/>
        </w:rPr>
        <w:t>。</w:t>
      </w:r>
      <w:r>
        <w:rPr>
          <w:rFonts w:ascii="Times New Roman" w:hAnsi="Times New Roman"/>
          <w:bCs/>
          <w:sz w:val="32"/>
        </w:rPr>
        <w:t>突破一批关键核心技术，创新链产业链资金链人才链深度融合。支持全面创新体制机制加快构建，</w:t>
      </w:r>
      <w:r>
        <w:rPr>
          <w:rFonts w:hint="eastAsia" w:ascii="Times New Roman" w:hAnsi="Times New Roman"/>
          <w:bCs/>
          <w:sz w:val="32"/>
        </w:rPr>
        <w:t>研发</w:t>
      </w:r>
      <w:r>
        <w:rPr>
          <w:rFonts w:ascii="Times New Roman" w:hAnsi="Times New Roman"/>
          <w:bCs/>
          <w:sz w:val="32"/>
        </w:rPr>
        <w:t>投入强度与全国平均水平的差距明显缩小，人才队伍不断壮大，</w:t>
      </w:r>
      <w:r>
        <w:rPr>
          <w:rFonts w:hint="eastAsia" w:ascii="Times New Roman" w:hAnsi="Times New Roman"/>
          <w:bCs/>
          <w:sz w:val="32"/>
        </w:rPr>
        <w:t>在精细化工</w:t>
      </w:r>
      <w:r>
        <w:rPr>
          <w:rFonts w:ascii="Times New Roman" w:hAnsi="Times New Roman"/>
          <w:bCs/>
          <w:sz w:val="32"/>
        </w:rPr>
        <w:t>、</w:t>
      </w:r>
      <w:r>
        <w:rPr>
          <w:rFonts w:hint="eastAsia" w:ascii="Times New Roman" w:hAnsi="Times New Roman"/>
          <w:bCs/>
          <w:sz w:val="32"/>
        </w:rPr>
        <w:t>陶瓷、固废利用</w:t>
      </w:r>
      <w:r>
        <w:rPr>
          <w:rFonts w:ascii="Times New Roman" w:hAnsi="Times New Roman"/>
          <w:bCs/>
          <w:sz w:val="32"/>
        </w:rPr>
        <w:t>等优势领域创新能级跻身全</w:t>
      </w:r>
      <w:r>
        <w:rPr>
          <w:rFonts w:hint="eastAsia" w:ascii="Times New Roman" w:hAnsi="Times New Roman"/>
          <w:bCs/>
          <w:sz w:val="32"/>
        </w:rPr>
        <w:t>省</w:t>
      </w:r>
      <w:r>
        <w:rPr>
          <w:rFonts w:ascii="Times New Roman" w:hAnsi="Times New Roman"/>
          <w:bCs/>
          <w:sz w:val="32"/>
        </w:rPr>
        <w:t>第一方阵。</w:t>
      </w:r>
    </w:p>
    <w:p w14:paraId="45475BDA">
      <w:pPr>
        <w:widowControl/>
        <w:ind w:firstLine="643"/>
        <w:jc w:val="left"/>
        <w:rPr>
          <w:rFonts w:hint="eastAsia" w:ascii="方正仿宋_GB2312" w:hAnsi="方正仿宋_GB2312" w:eastAsia="方正仿宋_GB2312" w:cs="方正仿宋_GB2312"/>
          <w:bCs/>
          <w:lang w:bidi="ar"/>
        </w:rPr>
      </w:pPr>
      <w:r>
        <w:rPr>
          <w:rFonts w:hint="eastAsia" w:ascii="Times New Roman" w:hAnsi="Times New Roman"/>
          <w:b/>
          <w:bCs w:val="0"/>
          <w:sz w:val="32"/>
          <w:lang w:val="en-US" w:eastAsia="zh-CN"/>
        </w:rPr>
        <w:t>营商环境持续优化。</w:t>
      </w:r>
      <w:r>
        <w:rPr>
          <w:rFonts w:hint="eastAsia" w:ascii="Times New Roman" w:hAnsi="Times New Roman"/>
          <w:sz w:val="32"/>
          <w:lang w:val="en-US" w:eastAsia="zh-CN" w:bidi="ar"/>
        </w:rPr>
        <w:t>开发区改革日益深化，“三化三制”“管运分离”改革成效明显，开发区统筹优化配置资源能力</w:t>
      </w:r>
      <w:r>
        <w:rPr>
          <w:rFonts w:hint="eastAsia" w:ascii="方正仿宋_GB2312" w:hAnsi="方正仿宋_GB2312" w:eastAsia="方正仿宋_GB2312" w:cs="方正仿宋_GB2312"/>
          <w:lang w:val="en-US" w:eastAsia="zh-CN" w:bidi="ar"/>
        </w:rPr>
        <w:t>显著提升，</w:t>
      </w:r>
      <w:r>
        <w:rPr>
          <w:rFonts w:hint="eastAsia" w:ascii="方正仿宋_GB2312" w:hAnsi="方正仿宋_GB2312" w:eastAsia="方正仿宋_GB2312" w:cs="方正仿宋_GB2312"/>
          <w:kern w:val="0"/>
          <w:lang w:bidi="ar"/>
        </w:rPr>
        <w:t>“承诺制+标准地+全代办”改革</w:t>
      </w:r>
      <w:r>
        <w:rPr>
          <w:rFonts w:hint="eastAsia" w:ascii="方正仿宋_GB2312" w:hAnsi="方正仿宋_GB2312" w:eastAsia="方正仿宋_GB2312" w:cs="方正仿宋_GB2312"/>
          <w:kern w:val="0"/>
          <w:lang w:val="en-US" w:eastAsia="zh-CN" w:bidi="ar"/>
        </w:rPr>
        <w:t>深入</w:t>
      </w:r>
      <w:r>
        <w:rPr>
          <w:rFonts w:hint="eastAsia" w:ascii="方正仿宋_GB2312" w:hAnsi="方正仿宋_GB2312" w:eastAsia="方正仿宋_GB2312" w:cs="方正仿宋_GB2312"/>
          <w:kern w:val="0"/>
          <w:lang w:bidi="ar"/>
        </w:rPr>
        <w:t>推进</w:t>
      </w:r>
      <w:r>
        <w:rPr>
          <w:rFonts w:hint="eastAsia" w:ascii="方正仿宋_GB2312" w:hAnsi="方正仿宋_GB2312" w:eastAsia="方正仿宋_GB2312" w:cs="方正仿宋_GB2312"/>
          <w:lang w:bidi="ar"/>
        </w:rPr>
        <w:t>，环评、能评、施工许可</w:t>
      </w:r>
      <w:r>
        <w:rPr>
          <w:rFonts w:hint="eastAsia" w:ascii="方正仿宋_GB2312" w:hAnsi="方正仿宋_GB2312" w:eastAsia="方正仿宋_GB2312" w:cs="方正仿宋_GB2312"/>
          <w:lang w:val="en-US" w:eastAsia="zh-CN" w:bidi="ar"/>
        </w:rPr>
        <w:t>等</w:t>
      </w:r>
      <w:r>
        <w:rPr>
          <w:rFonts w:hint="eastAsia" w:ascii="方正仿宋_GB2312" w:hAnsi="方正仿宋_GB2312" w:eastAsia="方正仿宋_GB2312" w:cs="方正仿宋_GB2312"/>
          <w:lang w:bidi="ar"/>
        </w:rPr>
        <w:t>审批事项</w:t>
      </w:r>
      <w:r>
        <w:rPr>
          <w:rFonts w:hint="eastAsia" w:ascii="方正仿宋_GB2312" w:hAnsi="方正仿宋_GB2312" w:eastAsia="方正仿宋_GB2312" w:cs="方正仿宋_GB2312"/>
          <w:lang w:val="en-US" w:eastAsia="zh-CN" w:bidi="ar"/>
        </w:rPr>
        <w:t>更加便捷高效</w:t>
      </w:r>
      <w:r>
        <w:rPr>
          <w:rFonts w:hint="eastAsia" w:ascii="方正仿宋_GB2312" w:hAnsi="方正仿宋_GB2312" w:eastAsia="方正仿宋_GB2312" w:cs="方正仿宋_GB2312"/>
          <w:lang w:bidi="ar"/>
        </w:rPr>
        <w:t>，</w:t>
      </w:r>
      <w:r>
        <w:rPr>
          <w:rFonts w:hint="eastAsia" w:ascii="方正仿宋_GB2312" w:hAnsi="方正仿宋_GB2312" w:eastAsia="方正仿宋_GB2312" w:cs="方正仿宋_GB2312"/>
          <w:lang w:val="en-US" w:eastAsia="zh-CN" w:bidi="ar"/>
        </w:rPr>
        <w:t>能耗、碳控、用水等指标配额统筹更为科学，</w:t>
      </w:r>
      <w:r>
        <w:rPr>
          <w:rFonts w:hint="eastAsia" w:ascii="方正仿宋_GB2312" w:hAnsi="方正仿宋_GB2312" w:eastAsia="方正仿宋_GB2312" w:cs="方正仿宋_GB2312"/>
          <w:lang w:bidi="ar"/>
        </w:rPr>
        <w:t>土地</w:t>
      </w:r>
      <w:r>
        <w:rPr>
          <w:rFonts w:hint="eastAsia" w:ascii="方正仿宋_GB2312" w:hAnsi="方正仿宋_GB2312" w:eastAsia="方正仿宋_GB2312" w:cs="方正仿宋_GB2312"/>
          <w:lang w:eastAsia="zh-CN" w:bidi="ar"/>
        </w:rPr>
        <w:t>、</w:t>
      </w:r>
      <w:r>
        <w:rPr>
          <w:rFonts w:hint="eastAsia" w:ascii="方正仿宋_GB2312" w:hAnsi="方正仿宋_GB2312" w:eastAsia="方正仿宋_GB2312" w:cs="方正仿宋_GB2312"/>
          <w:lang w:val="en-US" w:eastAsia="zh-CN" w:bidi="ar"/>
        </w:rPr>
        <w:t>金融、技术、人才和数据</w:t>
      </w:r>
      <w:r>
        <w:rPr>
          <w:rFonts w:hint="eastAsia" w:ascii="方正仿宋_GB2312" w:hAnsi="方正仿宋_GB2312" w:eastAsia="方正仿宋_GB2312" w:cs="方正仿宋_GB2312"/>
          <w:lang w:bidi="ar"/>
        </w:rPr>
        <w:t>要素</w:t>
      </w:r>
      <w:r>
        <w:rPr>
          <w:rFonts w:hint="eastAsia" w:ascii="方正仿宋_GB2312" w:hAnsi="方正仿宋_GB2312" w:eastAsia="方正仿宋_GB2312" w:cs="方正仿宋_GB2312"/>
          <w:lang w:val="en-US" w:eastAsia="zh-CN" w:bidi="ar"/>
        </w:rPr>
        <w:t>保障更加精准有力，企业</w:t>
      </w:r>
      <w:r>
        <w:rPr>
          <w:rFonts w:hint="eastAsia" w:ascii="方正仿宋_GB2312" w:hAnsi="方正仿宋_GB2312" w:eastAsia="方正仿宋_GB2312" w:cs="方正仿宋_GB2312"/>
          <w:bCs/>
          <w:lang w:bidi="ar"/>
        </w:rPr>
        <w:t>全生命周期服务</w:t>
      </w:r>
      <w:r>
        <w:rPr>
          <w:rFonts w:hint="eastAsia" w:ascii="方正仿宋_GB2312" w:hAnsi="方正仿宋_GB2312" w:eastAsia="方正仿宋_GB2312" w:cs="方正仿宋_GB2312"/>
          <w:bCs/>
          <w:lang w:val="en-US" w:eastAsia="zh-CN" w:bidi="ar"/>
        </w:rPr>
        <w:t>更加完备</w:t>
      </w:r>
      <w:r>
        <w:rPr>
          <w:rFonts w:hint="eastAsia" w:ascii="方正仿宋_GB2312" w:hAnsi="方正仿宋_GB2312" w:eastAsia="方正仿宋_GB2312" w:cs="方正仿宋_GB2312"/>
          <w:bCs/>
          <w:lang w:bidi="ar"/>
        </w:rPr>
        <w:t>，</w:t>
      </w:r>
      <w:r>
        <w:rPr>
          <w:rFonts w:hint="eastAsia" w:ascii="方正仿宋_GB2312" w:hAnsi="方正仿宋_GB2312" w:eastAsia="方正仿宋_GB2312" w:cs="方正仿宋_GB2312"/>
          <w:bCs/>
          <w:lang w:val="en-US" w:eastAsia="zh-CN" w:bidi="ar"/>
        </w:rPr>
        <w:t>在支持绿色发展领域成为全省示范标杆</w:t>
      </w:r>
      <w:r>
        <w:rPr>
          <w:rFonts w:hint="eastAsia" w:ascii="方正仿宋_GB2312" w:hAnsi="方正仿宋_GB2312" w:eastAsia="方正仿宋_GB2312" w:cs="方正仿宋_GB2312"/>
          <w:bCs/>
          <w:lang w:bidi="ar"/>
        </w:rPr>
        <w:t>。</w:t>
      </w:r>
    </w:p>
    <w:p w14:paraId="09DD12E3">
      <w:pPr>
        <w:widowControl/>
        <w:ind w:firstLine="643"/>
        <w:jc w:val="left"/>
        <w:rPr>
          <w:rFonts w:hint="eastAsia" w:ascii="方正仿宋_GB2312" w:hAnsi="方正仿宋_GB2312" w:eastAsia="方正仿宋_GB2312" w:cs="方正仿宋_GB2312"/>
          <w:bCs/>
        </w:rPr>
      </w:pPr>
      <w:bookmarkStart w:id="33" w:name="_Toc237136906"/>
      <w:bookmarkStart w:id="34" w:name="_Toc599408329"/>
      <w:bookmarkStart w:id="35" w:name="_Toc190452977"/>
      <w:bookmarkStart w:id="36" w:name="_Toc1264147623"/>
      <w:bookmarkStart w:id="37" w:name="_Toc26175"/>
      <w:bookmarkStart w:id="38" w:name="_Toc1452639455"/>
      <w:r>
        <w:rPr>
          <w:rFonts w:hint="eastAsia" w:ascii="方正仿宋_GB2312" w:hAnsi="方正仿宋_GB2312" w:eastAsia="方正仿宋_GB2312" w:cs="方正仿宋_GB2312"/>
          <w:b/>
        </w:rPr>
        <w:t>指标体系</w:t>
      </w:r>
      <w:bookmarkEnd w:id="33"/>
      <w:bookmarkEnd w:id="34"/>
      <w:bookmarkEnd w:id="35"/>
      <w:bookmarkEnd w:id="36"/>
      <w:bookmarkEnd w:id="37"/>
      <w:bookmarkEnd w:id="38"/>
      <w:r>
        <w:rPr>
          <w:rFonts w:hint="eastAsia" w:ascii="方正仿宋_GB2312" w:hAnsi="方正仿宋_GB2312" w:eastAsia="方正仿宋_GB2312" w:cs="方正仿宋_GB2312"/>
          <w:b/>
          <w:lang w:eastAsia="zh-CN"/>
        </w:rPr>
        <w:t>。</w:t>
      </w:r>
      <w:r>
        <w:rPr>
          <w:rFonts w:hint="eastAsia" w:ascii="方正仿宋_GB2312" w:hAnsi="方正仿宋_GB2312" w:eastAsia="方正仿宋_GB2312" w:cs="方正仿宋_GB2312"/>
          <w:bCs/>
        </w:rPr>
        <w:t>综合考虑“十四五”发展基础、省内外发展环境及条件变化，</w:t>
      </w:r>
      <w:r>
        <w:rPr>
          <w:rFonts w:hint="eastAsia" w:ascii="方正仿宋_GB2312" w:hAnsi="方正仿宋_GB2312" w:eastAsia="方正仿宋_GB2312" w:cs="方正仿宋_GB2312"/>
          <w:bCs/>
          <w:lang w:eastAsia="zh-CN"/>
        </w:rPr>
        <w:t>“</w:t>
      </w:r>
      <w:r>
        <w:rPr>
          <w:rFonts w:hint="eastAsia" w:ascii="方正仿宋_GB2312" w:hAnsi="方正仿宋_GB2312" w:eastAsia="方正仿宋_GB2312" w:cs="方正仿宋_GB2312"/>
          <w:bCs/>
          <w:lang w:val="en-US" w:eastAsia="zh-CN"/>
        </w:rPr>
        <w:t>十五五</w:t>
      </w:r>
      <w:r>
        <w:rPr>
          <w:rFonts w:hint="eastAsia" w:ascii="方正仿宋_GB2312" w:hAnsi="方正仿宋_GB2312" w:eastAsia="方正仿宋_GB2312" w:cs="方正仿宋_GB2312"/>
          <w:bCs/>
          <w:lang w:eastAsia="zh-CN"/>
        </w:rPr>
        <w:t>”</w:t>
      </w:r>
      <w:r>
        <w:rPr>
          <w:rFonts w:hint="eastAsia" w:ascii="方正仿宋_GB2312" w:hAnsi="方正仿宋_GB2312" w:eastAsia="方正仿宋_GB2312" w:cs="方正仿宋_GB2312"/>
          <w:bCs/>
          <w:lang w:val="en-US" w:eastAsia="zh-CN"/>
        </w:rPr>
        <w:t>经济发展目标</w:t>
      </w:r>
      <w:r>
        <w:rPr>
          <w:rFonts w:hint="eastAsia" w:ascii="方正仿宋_GB2312" w:hAnsi="方正仿宋_GB2312" w:eastAsia="方正仿宋_GB2312" w:cs="方正仿宋_GB2312"/>
          <w:bCs/>
        </w:rPr>
        <w:t>指标体系</w:t>
      </w:r>
      <w:r>
        <w:rPr>
          <w:rFonts w:hint="eastAsia" w:ascii="方正仿宋_GB2312" w:hAnsi="方正仿宋_GB2312" w:eastAsia="方正仿宋_GB2312" w:cs="方正仿宋_GB2312"/>
          <w:bCs/>
          <w:lang w:val="en-US" w:eastAsia="zh-CN"/>
        </w:rPr>
        <w:t>如下</w:t>
      </w:r>
      <w:r>
        <w:rPr>
          <w:rFonts w:hint="eastAsia" w:ascii="方正仿宋_GB2312" w:hAnsi="方正仿宋_GB2312" w:eastAsia="方正仿宋_GB2312" w:cs="方正仿宋_GB2312"/>
          <w:bCs/>
        </w:rPr>
        <w:t>。</w:t>
      </w:r>
    </w:p>
    <w:p w14:paraId="4B08A50E">
      <w:pPr>
        <w:pStyle w:val="13"/>
        <w:ind w:firstLine="360"/>
        <w:rPr>
          <w:rFonts w:hint="eastAsia"/>
        </w:rPr>
      </w:pPr>
    </w:p>
    <w:tbl>
      <w:tblPr>
        <w:tblStyle w:val="21"/>
        <w:tblW w:w="84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74"/>
        <w:gridCol w:w="1044"/>
        <w:gridCol w:w="6"/>
        <w:gridCol w:w="1195"/>
        <w:gridCol w:w="763"/>
        <w:gridCol w:w="936"/>
      </w:tblGrid>
      <w:tr w14:paraId="38A2D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jc w:val="center"/>
        </w:trPr>
        <w:tc>
          <w:tcPr>
            <w:tcW w:w="4474" w:type="dxa"/>
            <w:noWrap/>
            <w:vAlign w:val="center"/>
          </w:tcPr>
          <w:p w14:paraId="25B0D518">
            <w:pPr>
              <w:ind w:firstLine="0" w:firstLineChars="0"/>
              <w:rPr>
                <w:rFonts w:hint="eastAsia" w:ascii="宋体"/>
                <w:sz w:val="24"/>
                <w:szCs w:val="24"/>
              </w:rPr>
            </w:pPr>
            <w:r>
              <w:rPr>
                <w:rFonts w:hint="eastAsia" w:ascii="宋体" w:hAnsi="宋体"/>
                <w:sz w:val="24"/>
                <w:szCs w:val="24"/>
              </w:rPr>
              <w:t>主要指标</w:t>
            </w:r>
          </w:p>
        </w:tc>
        <w:tc>
          <w:tcPr>
            <w:tcW w:w="1050" w:type="dxa"/>
            <w:gridSpan w:val="2"/>
            <w:noWrap/>
            <w:vAlign w:val="center"/>
          </w:tcPr>
          <w:p w14:paraId="0BEBB1D8">
            <w:pPr>
              <w:ind w:firstLine="0" w:firstLineChars="0"/>
              <w:rPr>
                <w:rFonts w:hint="eastAsia" w:ascii="宋体"/>
                <w:sz w:val="24"/>
                <w:szCs w:val="24"/>
              </w:rPr>
            </w:pPr>
            <w:r>
              <w:rPr>
                <w:rFonts w:hint="eastAsia" w:ascii="宋体" w:hAnsi="宋体"/>
                <w:color w:val="auto"/>
                <w:sz w:val="24"/>
                <w:szCs w:val="24"/>
              </w:rPr>
              <w:t>2025</w:t>
            </w:r>
            <w:r>
              <w:rPr>
                <w:rFonts w:hint="eastAsia" w:ascii="宋体" w:hAnsi="宋体"/>
                <w:sz w:val="24"/>
                <w:szCs w:val="24"/>
              </w:rPr>
              <w:t>年</w:t>
            </w:r>
          </w:p>
        </w:tc>
        <w:tc>
          <w:tcPr>
            <w:tcW w:w="1195" w:type="dxa"/>
            <w:noWrap/>
            <w:vAlign w:val="center"/>
          </w:tcPr>
          <w:p w14:paraId="6C1260D1">
            <w:pPr>
              <w:ind w:firstLine="0" w:firstLineChars="0"/>
              <w:rPr>
                <w:rFonts w:hint="eastAsia" w:ascii="宋体"/>
                <w:sz w:val="24"/>
                <w:szCs w:val="24"/>
              </w:rPr>
            </w:pPr>
            <w:r>
              <w:rPr>
                <w:rFonts w:ascii="宋体" w:hAnsi="宋体"/>
                <w:sz w:val="24"/>
                <w:szCs w:val="24"/>
              </w:rPr>
              <w:t>20</w:t>
            </w:r>
            <w:r>
              <w:rPr>
                <w:rFonts w:hint="eastAsia" w:ascii="宋体" w:hAnsi="宋体"/>
                <w:sz w:val="24"/>
                <w:szCs w:val="24"/>
              </w:rPr>
              <w:t>30年</w:t>
            </w:r>
          </w:p>
        </w:tc>
        <w:tc>
          <w:tcPr>
            <w:tcW w:w="763" w:type="dxa"/>
            <w:noWrap/>
            <w:vAlign w:val="center"/>
          </w:tcPr>
          <w:p w14:paraId="1819185B">
            <w:pPr>
              <w:ind w:firstLine="0" w:firstLineChars="0"/>
              <w:rPr>
                <w:rFonts w:hint="eastAsia" w:ascii="宋体"/>
                <w:sz w:val="24"/>
                <w:szCs w:val="24"/>
              </w:rPr>
            </w:pPr>
            <w:r>
              <w:rPr>
                <w:rFonts w:hint="eastAsia" w:ascii="宋体" w:hAnsi="宋体"/>
                <w:sz w:val="24"/>
                <w:szCs w:val="24"/>
              </w:rPr>
              <w:t>年均增长（</w:t>
            </w:r>
            <w:r>
              <w:rPr>
                <w:rFonts w:ascii="宋体" w:hAnsi="宋体"/>
                <w:sz w:val="24"/>
                <w:szCs w:val="24"/>
              </w:rPr>
              <w:t>%</w:t>
            </w:r>
            <w:r>
              <w:rPr>
                <w:rFonts w:hint="eastAsia" w:ascii="宋体" w:hAnsi="宋体"/>
                <w:sz w:val="24"/>
                <w:szCs w:val="24"/>
              </w:rPr>
              <w:t>）</w:t>
            </w:r>
          </w:p>
        </w:tc>
        <w:tc>
          <w:tcPr>
            <w:tcW w:w="936" w:type="dxa"/>
            <w:noWrap/>
            <w:vAlign w:val="center"/>
          </w:tcPr>
          <w:p w14:paraId="15C81A3A">
            <w:pPr>
              <w:ind w:firstLine="0" w:firstLineChars="0"/>
              <w:rPr>
                <w:rFonts w:hint="eastAsia" w:ascii="宋体"/>
                <w:sz w:val="24"/>
                <w:szCs w:val="24"/>
              </w:rPr>
            </w:pPr>
            <w:r>
              <w:rPr>
                <w:rFonts w:hint="eastAsia" w:ascii="宋体" w:hAnsi="宋体"/>
                <w:sz w:val="24"/>
                <w:szCs w:val="24"/>
              </w:rPr>
              <w:t>属性</w:t>
            </w:r>
          </w:p>
        </w:tc>
      </w:tr>
      <w:tr w14:paraId="75928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4474" w:type="dxa"/>
            <w:noWrap/>
            <w:vAlign w:val="center"/>
          </w:tcPr>
          <w:p w14:paraId="6DA8D93F">
            <w:pPr>
              <w:ind w:firstLine="0" w:firstLineChars="0"/>
              <w:rPr>
                <w:rFonts w:hint="eastAsia" w:ascii="宋体"/>
                <w:sz w:val="24"/>
                <w:szCs w:val="24"/>
              </w:rPr>
            </w:pPr>
            <w:r>
              <w:rPr>
                <w:rFonts w:hint="eastAsia" w:ascii="宋体" w:hAnsi="宋体"/>
                <w:sz w:val="24"/>
                <w:szCs w:val="24"/>
              </w:rPr>
              <w:t>1、规上工业总产值（亿元）</w:t>
            </w:r>
          </w:p>
        </w:tc>
        <w:tc>
          <w:tcPr>
            <w:tcW w:w="1050" w:type="dxa"/>
            <w:gridSpan w:val="2"/>
            <w:noWrap/>
            <w:vAlign w:val="center"/>
          </w:tcPr>
          <w:p w14:paraId="01A3371C">
            <w:pPr>
              <w:ind w:firstLine="0" w:firstLineChars="0"/>
              <w:rPr>
                <w:rFonts w:hint="default" w:ascii="Times New Roman" w:hAnsi="Times New Roman" w:cs="Times New Roman"/>
                <w:color w:val="FF0000"/>
                <w:sz w:val="24"/>
                <w:szCs w:val="24"/>
              </w:rPr>
            </w:pPr>
            <w:r>
              <w:rPr>
                <w:rFonts w:hint="default" w:ascii="Times New Roman" w:hAnsi="Times New Roman" w:cs="Times New Roman"/>
                <w:color w:val="000000" w:themeColor="text1"/>
                <w:sz w:val="24"/>
                <w:szCs w:val="24"/>
                <w14:textFill>
                  <w14:solidFill>
                    <w14:schemeClr w14:val="tx1"/>
                  </w14:solidFill>
                </w14:textFill>
              </w:rPr>
              <w:t>85.8</w:t>
            </w:r>
          </w:p>
        </w:tc>
        <w:tc>
          <w:tcPr>
            <w:tcW w:w="1195" w:type="dxa"/>
            <w:noWrap/>
            <w:vAlign w:val="center"/>
          </w:tcPr>
          <w:p w14:paraId="6D85CBF7">
            <w:pPr>
              <w:ind w:firstLine="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150</w:t>
            </w:r>
          </w:p>
        </w:tc>
        <w:tc>
          <w:tcPr>
            <w:tcW w:w="763" w:type="dxa"/>
            <w:noWrap/>
            <w:vAlign w:val="center"/>
          </w:tcPr>
          <w:p w14:paraId="40EEB5AC">
            <w:pPr>
              <w:ind w:firstLine="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w:t>
            </w:r>
          </w:p>
        </w:tc>
        <w:tc>
          <w:tcPr>
            <w:tcW w:w="936" w:type="dxa"/>
            <w:noWrap/>
            <w:vAlign w:val="center"/>
          </w:tcPr>
          <w:p w14:paraId="20BC5EEE">
            <w:pPr>
              <w:ind w:firstLine="0" w:firstLineChars="0"/>
              <w:rPr>
                <w:rFonts w:hint="eastAsia" w:ascii="宋体" w:hAnsi="宋体"/>
                <w:sz w:val="24"/>
                <w:szCs w:val="24"/>
              </w:rPr>
            </w:pPr>
            <w:r>
              <w:rPr>
                <w:rFonts w:hint="eastAsia" w:ascii="宋体" w:hAnsi="宋体"/>
                <w:sz w:val="24"/>
                <w:szCs w:val="24"/>
              </w:rPr>
              <w:t>预期性</w:t>
            </w:r>
          </w:p>
        </w:tc>
      </w:tr>
      <w:tr w14:paraId="449AD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4474" w:type="dxa"/>
            <w:noWrap/>
            <w:vAlign w:val="center"/>
          </w:tcPr>
          <w:p w14:paraId="10B7018B">
            <w:pPr>
              <w:ind w:firstLine="0" w:firstLineChars="0"/>
              <w:rPr>
                <w:rFonts w:hint="eastAsia" w:ascii="宋体"/>
                <w:sz w:val="24"/>
                <w:szCs w:val="24"/>
              </w:rPr>
            </w:pPr>
            <w:r>
              <w:rPr>
                <w:rFonts w:ascii="宋体" w:hAnsi="宋体"/>
                <w:sz w:val="24"/>
                <w:szCs w:val="24"/>
              </w:rPr>
              <w:t>2</w:t>
            </w:r>
            <w:r>
              <w:rPr>
                <w:rFonts w:hint="eastAsia" w:ascii="宋体" w:hAnsi="宋体"/>
                <w:sz w:val="24"/>
                <w:szCs w:val="24"/>
              </w:rPr>
              <w:t>、工业固定资产投资（亿元）</w:t>
            </w:r>
          </w:p>
        </w:tc>
        <w:tc>
          <w:tcPr>
            <w:tcW w:w="1050" w:type="dxa"/>
            <w:gridSpan w:val="2"/>
            <w:noWrap/>
            <w:vAlign w:val="center"/>
          </w:tcPr>
          <w:p w14:paraId="57C2F3CE">
            <w:pPr>
              <w:ind w:firstLine="0" w:firstLineChars="0"/>
              <w:rPr>
                <w:rFonts w:hint="default" w:ascii="Times New Roman" w:hAnsi="Times New Roman" w:cs="Times New Roman"/>
                <w:sz w:val="24"/>
                <w:szCs w:val="24"/>
              </w:rPr>
            </w:pPr>
            <w:r>
              <w:rPr>
                <w:rFonts w:hint="default" w:ascii="Times New Roman" w:hAnsi="Times New Roman" w:cs="Times New Roman"/>
                <w:color w:val="auto"/>
                <w:sz w:val="24"/>
                <w:szCs w:val="24"/>
              </w:rPr>
              <w:t>23.1</w:t>
            </w:r>
          </w:p>
        </w:tc>
        <w:tc>
          <w:tcPr>
            <w:tcW w:w="1195" w:type="dxa"/>
            <w:noWrap/>
            <w:vAlign w:val="center"/>
          </w:tcPr>
          <w:p w14:paraId="6D101C85">
            <w:pPr>
              <w:ind w:firstLine="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37.5</w:t>
            </w:r>
          </w:p>
        </w:tc>
        <w:tc>
          <w:tcPr>
            <w:tcW w:w="763" w:type="dxa"/>
            <w:noWrap/>
            <w:vAlign w:val="center"/>
          </w:tcPr>
          <w:p w14:paraId="1E230FBB">
            <w:pPr>
              <w:ind w:firstLine="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w:t>
            </w:r>
          </w:p>
        </w:tc>
        <w:tc>
          <w:tcPr>
            <w:tcW w:w="936" w:type="dxa"/>
            <w:noWrap/>
          </w:tcPr>
          <w:p w14:paraId="421F44B0">
            <w:pPr>
              <w:ind w:firstLine="0" w:firstLineChars="0"/>
              <w:rPr>
                <w:rFonts w:hint="eastAsia" w:ascii="宋体"/>
                <w:sz w:val="24"/>
                <w:szCs w:val="24"/>
              </w:rPr>
            </w:pPr>
            <w:r>
              <w:rPr>
                <w:rFonts w:hint="eastAsia" w:ascii="宋体" w:hAnsi="宋体"/>
                <w:sz w:val="24"/>
                <w:szCs w:val="24"/>
              </w:rPr>
              <w:t>预期性</w:t>
            </w:r>
          </w:p>
        </w:tc>
      </w:tr>
      <w:tr w14:paraId="6A8A1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4474" w:type="dxa"/>
            <w:noWrap/>
            <w:vAlign w:val="center"/>
          </w:tcPr>
          <w:p w14:paraId="048CF4E5">
            <w:pPr>
              <w:ind w:firstLine="0" w:firstLineChars="0"/>
              <w:rPr>
                <w:rFonts w:hint="eastAsia" w:ascii="宋体"/>
                <w:sz w:val="24"/>
                <w:szCs w:val="24"/>
              </w:rPr>
            </w:pPr>
            <w:r>
              <w:rPr>
                <w:rFonts w:ascii="宋体" w:hAnsi="宋体"/>
                <w:sz w:val="24"/>
                <w:szCs w:val="24"/>
              </w:rPr>
              <w:t>3</w:t>
            </w:r>
            <w:r>
              <w:rPr>
                <w:rFonts w:hint="eastAsia" w:ascii="宋体" w:hAnsi="宋体"/>
                <w:sz w:val="24"/>
                <w:szCs w:val="24"/>
              </w:rPr>
              <w:t>、规上工业增加值（亿元）</w:t>
            </w:r>
          </w:p>
        </w:tc>
        <w:tc>
          <w:tcPr>
            <w:tcW w:w="1050" w:type="dxa"/>
            <w:gridSpan w:val="2"/>
            <w:noWrap/>
            <w:vAlign w:val="center"/>
          </w:tcPr>
          <w:p w14:paraId="2E9BA359">
            <w:pPr>
              <w:ind w:firstLine="0" w:firstLineChars="0"/>
              <w:rPr>
                <w:rFonts w:hint="default" w:ascii="Times New Roman" w:hAnsi="Times New Roman" w:cs="Times New Roman"/>
                <w:sz w:val="24"/>
                <w:szCs w:val="24"/>
              </w:rPr>
            </w:pPr>
            <w:r>
              <w:rPr>
                <w:rFonts w:hint="default" w:ascii="Times New Roman" w:hAnsi="Times New Roman" w:cs="Times New Roman"/>
                <w:color w:val="auto"/>
                <w:sz w:val="24"/>
                <w:szCs w:val="24"/>
              </w:rPr>
              <w:t>33.3</w:t>
            </w:r>
          </w:p>
        </w:tc>
        <w:tc>
          <w:tcPr>
            <w:tcW w:w="1195" w:type="dxa"/>
            <w:noWrap/>
            <w:vAlign w:val="center"/>
          </w:tcPr>
          <w:p w14:paraId="23D662FA">
            <w:pPr>
              <w:ind w:firstLine="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56</w:t>
            </w:r>
          </w:p>
        </w:tc>
        <w:tc>
          <w:tcPr>
            <w:tcW w:w="763" w:type="dxa"/>
            <w:noWrap/>
            <w:vAlign w:val="center"/>
          </w:tcPr>
          <w:p w14:paraId="729FDBE5">
            <w:pPr>
              <w:ind w:firstLine="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w:t>
            </w:r>
          </w:p>
        </w:tc>
        <w:tc>
          <w:tcPr>
            <w:tcW w:w="936" w:type="dxa"/>
            <w:noWrap/>
          </w:tcPr>
          <w:p w14:paraId="79C3E08A">
            <w:pPr>
              <w:ind w:firstLine="0" w:firstLineChars="0"/>
              <w:rPr>
                <w:rFonts w:hint="eastAsia" w:ascii="宋体" w:hAnsi="宋体"/>
                <w:sz w:val="24"/>
                <w:szCs w:val="24"/>
              </w:rPr>
            </w:pPr>
            <w:r>
              <w:rPr>
                <w:rFonts w:hint="eastAsia" w:ascii="宋体" w:hAnsi="宋体"/>
                <w:sz w:val="24"/>
                <w:szCs w:val="24"/>
              </w:rPr>
              <w:t>预期性</w:t>
            </w:r>
          </w:p>
        </w:tc>
      </w:tr>
      <w:tr w14:paraId="025B1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4474" w:type="dxa"/>
            <w:noWrap/>
            <w:vAlign w:val="center"/>
          </w:tcPr>
          <w:p w14:paraId="4E3500E7">
            <w:pPr>
              <w:ind w:firstLine="0" w:firstLineChars="0"/>
              <w:rPr>
                <w:rFonts w:hint="eastAsia" w:ascii="宋体"/>
                <w:sz w:val="24"/>
                <w:szCs w:val="24"/>
              </w:rPr>
            </w:pPr>
            <w:r>
              <w:rPr>
                <w:rFonts w:ascii="宋体" w:hAnsi="宋体"/>
                <w:sz w:val="24"/>
                <w:szCs w:val="24"/>
              </w:rPr>
              <w:t>4</w:t>
            </w:r>
            <w:r>
              <w:rPr>
                <w:rFonts w:hint="eastAsia" w:ascii="宋体" w:hAnsi="宋体"/>
                <w:sz w:val="24"/>
                <w:szCs w:val="24"/>
              </w:rPr>
              <w:t>、</w:t>
            </w:r>
            <w:r>
              <w:rPr>
                <w:rFonts w:hint="eastAsia" w:ascii="宋体" w:hAnsi="宋体"/>
                <w:color w:val="auto"/>
                <w:sz w:val="24"/>
                <w:szCs w:val="24"/>
              </w:rPr>
              <w:t>新兴产业项目投资占工业</w:t>
            </w:r>
            <w:r>
              <w:rPr>
                <w:rFonts w:hint="eastAsia" w:ascii="宋体" w:hAnsi="宋体"/>
                <w:sz w:val="24"/>
                <w:szCs w:val="24"/>
              </w:rPr>
              <w:t>投资比重（</w:t>
            </w:r>
            <w:r>
              <w:rPr>
                <w:rFonts w:ascii="宋体" w:hAnsi="宋体"/>
                <w:sz w:val="24"/>
                <w:szCs w:val="24"/>
              </w:rPr>
              <w:t>%</w:t>
            </w:r>
            <w:r>
              <w:rPr>
                <w:rFonts w:hint="eastAsia" w:ascii="宋体" w:hAnsi="宋体"/>
                <w:sz w:val="24"/>
                <w:szCs w:val="24"/>
              </w:rPr>
              <w:t>）</w:t>
            </w:r>
          </w:p>
        </w:tc>
        <w:tc>
          <w:tcPr>
            <w:tcW w:w="1050" w:type="dxa"/>
            <w:gridSpan w:val="2"/>
            <w:noWrap/>
            <w:vAlign w:val="center"/>
          </w:tcPr>
          <w:p w14:paraId="62706FBD">
            <w:pPr>
              <w:ind w:firstLine="0" w:firstLineChars="0"/>
              <w:rPr>
                <w:rFonts w:hint="default" w:ascii="Times New Roman" w:hAnsi="Times New Roman" w:cs="Times New Roman"/>
                <w:sz w:val="24"/>
                <w:szCs w:val="24"/>
              </w:rPr>
            </w:pPr>
            <w:r>
              <w:rPr>
                <w:rFonts w:hint="default" w:ascii="Times New Roman" w:hAnsi="Times New Roman" w:cs="Times New Roman"/>
                <w:color w:val="auto"/>
                <w:sz w:val="24"/>
                <w:szCs w:val="24"/>
              </w:rPr>
              <w:t>65.3</w:t>
            </w:r>
          </w:p>
        </w:tc>
        <w:tc>
          <w:tcPr>
            <w:tcW w:w="1195" w:type="dxa"/>
            <w:noWrap/>
            <w:vAlign w:val="center"/>
          </w:tcPr>
          <w:p w14:paraId="0E7B8CFD">
            <w:pPr>
              <w:ind w:firstLine="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50</w:t>
            </w:r>
          </w:p>
        </w:tc>
        <w:tc>
          <w:tcPr>
            <w:tcW w:w="763" w:type="dxa"/>
            <w:noWrap/>
            <w:vAlign w:val="center"/>
          </w:tcPr>
          <w:p w14:paraId="34DC8BE5">
            <w:pPr>
              <w:ind w:firstLine="0" w:firstLineChars="0"/>
              <w:rPr>
                <w:rFonts w:hint="default" w:ascii="Times New Roman" w:hAnsi="Times New Roman" w:eastAsia="仿宋_GB2312"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936" w:type="dxa"/>
            <w:noWrap/>
          </w:tcPr>
          <w:p w14:paraId="0BEF9CB2">
            <w:pPr>
              <w:ind w:firstLine="0" w:firstLineChars="0"/>
              <w:rPr>
                <w:rFonts w:hint="eastAsia" w:ascii="宋体" w:hAnsi="宋体"/>
                <w:sz w:val="24"/>
                <w:szCs w:val="24"/>
              </w:rPr>
            </w:pPr>
            <w:r>
              <w:rPr>
                <w:rFonts w:hint="eastAsia" w:ascii="宋体" w:hAnsi="宋体"/>
                <w:sz w:val="24"/>
                <w:szCs w:val="24"/>
              </w:rPr>
              <w:t>预期性</w:t>
            </w:r>
          </w:p>
        </w:tc>
      </w:tr>
      <w:tr w14:paraId="5CFBD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4474" w:type="dxa"/>
            <w:noWrap/>
            <w:vAlign w:val="center"/>
          </w:tcPr>
          <w:p w14:paraId="7C8B549D">
            <w:pPr>
              <w:ind w:firstLine="0" w:firstLineChars="0"/>
              <w:rPr>
                <w:rFonts w:hint="eastAsia" w:ascii="宋体" w:hAnsi="宋体"/>
                <w:sz w:val="24"/>
                <w:szCs w:val="24"/>
              </w:rPr>
            </w:pPr>
            <w:r>
              <w:rPr>
                <w:rFonts w:ascii="宋体" w:hAnsi="宋体"/>
                <w:sz w:val="24"/>
                <w:szCs w:val="24"/>
              </w:rPr>
              <w:t>5、</w:t>
            </w:r>
            <w:r>
              <w:rPr>
                <w:rFonts w:hint="eastAsia" w:ascii="宋体" w:hAnsi="宋体"/>
                <w:sz w:val="24"/>
                <w:szCs w:val="24"/>
                <w:lang w:val="en-US" w:eastAsia="zh-CN"/>
              </w:rPr>
              <w:t>进出口总</w:t>
            </w:r>
            <w:r>
              <w:rPr>
                <w:rFonts w:hint="eastAsia" w:ascii="宋体" w:hAnsi="宋体"/>
                <w:sz w:val="24"/>
                <w:szCs w:val="24"/>
              </w:rPr>
              <w:t>额（亿元）</w:t>
            </w:r>
          </w:p>
        </w:tc>
        <w:tc>
          <w:tcPr>
            <w:tcW w:w="1050" w:type="dxa"/>
            <w:gridSpan w:val="2"/>
            <w:noWrap/>
            <w:vAlign w:val="center"/>
          </w:tcPr>
          <w:p w14:paraId="083A09AC">
            <w:pPr>
              <w:ind w:firstLine="0" w:firstLineChars="0"/>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0.69</w:t>
            </w:r>
          </w:p>
        </w:tc>
        <w:tc>
          <w:tcPr>
            <w:tcW w:w="1195" w:type="dxa"/>
            <w:noWrap/>
            <w:vAlign w:val="center"/>
          </w:tcPr>
          <w:p w14:paraId="3591AEA0">
            <w:pPr>
              <w:ind w:firstLine="0" w:firstLineChars="0"/>
              <w:rPr>
                <w:rFonts w:hint="default" w:ascii="宋体" w:hAnsi="宋体" w:eastAsia="仿宋_GB2312"/>
                <w:color w:val="auto"/>
                <w:sz w:val="24"/>
                <w:szCs w:val="24"/>
                <w:lang w:val="en-US" w:eastAsia="zh-CN"/>
              </w:rPr>
            </w:pPr>
            <w:r>
              <w:rPr>
                <w:rFonts w:hint="eastAsia" w:ascii="宋体" w:hAnsi="宋体"/>
                <w:color w:val="auto"/>
                <w:sz w:val="24"/>
                <w:szCs w:val="24"/>
                <w:lang w:val="en-US" w:eastAsia="zh-CN"/>
              </w:rPr>
              <w:t>达省要求</w:t>
            </w:r>
          </w:p>
        </w:tc>
        <w:tc>
          <w:tcPr>
            <w:tcW w:w="763" w:type="dxa"/>
            <w:noWrap/>
            <w:vAlign w:val="center"/>
          </w:tcPr>
          <w:p w14:paraId="30E5113C">
            <w:pPr>
              <w:ind w:firstLine="0" w:firstLineChars="0"/>
              <w:rPr>
                <w:rFonts w:hint="default" w:ascii="Times New Roman" w:hAnsi="Times New Roman" w:eastAsia="仿宋_GB2312" w:cs="Times New Roman"/>
                <w:color w:val="auto"/>
                <w:sz w:val="24"/>
                <w:szCs w:val="24"/>
                <w:lang w:val="en-US" w:eastAsia="zh-CN"/>
              </w:rPr>
            </w:pPr>
          </w:p>
        </w:tc>
        <w:tc>
          <w:tcPr>
            <w:tcW w:w="936" w:type="dxa"/>
            <w:noWrap/>
          </w:tcPr>
          <w:p w14:paraId="5ED2EDDB">
            <w:pPr>
              <w:ind w:firstLine="0" w:firstLineChars="0"/>
              <w:rPr>
                <w:rFonts w:hint="eastAsia" w:ascii="宋体" w:hAnsi="宋体"/>
                <w:sz w:val="24"/>
                <w:szCs w:val="24"/>
              </w:rPr>
            </w:pPr>
            <w:r>
              <w:rPr>
                <w:rFonts w:hint="eastAsia" w:ascii="宋体" w:hAnsi="宋体"/>
                <w:sz w:val="24"/>
                <w:szCs w:val="24"/>
              </w:rPr>
              <w:t>预期性</w:t>
            </w:r>
          </w:p>
        </w:tc>
      </w:tr>
      <w:tr w14:paraId="09908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4474" w:type="dxa"/>
            <w:noWrap/>
            <w:vAlign w:val="center"/>
          </w:tcPr>
          <w:p w14:paraId="44EEC918">
            <w:pPr>
              <w:ind w:firstLine="0" w:firstLineChars="0"/>
              <w:rPr>
                <w:rFonts w:hint="eastAsia" w:ascii="宋体" w:hAnsi="宋体"/>
                <w:sz w:val="24"/>
                <w:szCs w:val="24"/>
              </w:rPr>
            </w:pPr>
            <w:r>
              <w:rPr>
                <w:rFonts w:ascii="宋体" w:hAnsi="宋体"/>
                <w:sz w:val="24"/>
                <w:szCs w:val="24"/>
              </w:rPr>
              <w:t>6、</w:t>
            </w:r>
            <w:r>
              <w:rPr>
                <w:rFonts w:hint="eastAsia" w:ascii="宋体" w:hAnsi="宋体"/>
                <w:sz w:val="24"/>
                <w:szCs w:val="24"/>
              </w:rPr>
              <w:t>四上企业数量（个）</w:t>
            </w:r>
          </w:p>
        </w:tc>
        <w:tc>
          <w:tcPr>
            <w:tcW w:w="1050" w:type="dxa"/>
            <w:gridSpan w:val="2"/>
            <w:noWrap/>
            <w:vAlign w:val="center"/>
          </w:tcPr>
          <w:p w14:paraId="17A56D25">
            <w:pPr>
              <w:ind w:firstLine="0" w:firstLineChars="0"/>
              <w:rPr>
                <w:rFonts w:hint="default" w:ascii="Times New Roman" w:hAnsi="Times New Roman" w:cs="Times New Roman"/>
                <w:b w:val="0"/>
                <w:bCs w:val="0"/>
                <w:sz w:val="24"/>
                <w:szCs w:val="24"/>
              </w:rPr>
            </w:pPr>
            <w:r>
              <w:rPr>
                <w:rFonts w:hint="default" w:ascii="Times New Roman" w:hAnsi="Times New Roman" w:cs="Times New Roman"/>
                <w:b w:val="0"/>
                <w:bCs w:val="0"/>
                <w:color w:val="auto"/>
                <w:sz w:val="24"/>
                <w:szCs w:val="24"/>
              </w:rPr>
              <w:t>61</w:t>
            </w:r>
          </w:p>
        </w:tc>
        <w:tc>
          <w:tcPr>
            <w:tcW w:w="1195" w:type="dxa"/>
            <w:noWrap/>
            <w:vAlign w:val="center"/>
          </w:tcPr>
          <w:p w14:paraId="4058EC99">
            <w:pPr>
              <w:ind w:firstLine="0" w:firstLineChars="0"/>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100</w:t>
            </w:r>
          </w:p>
        </w:tc>
        <w:tc>
          <w:tcPr>
            <w:tcW w:w="763" w:type="dxa"/>
            <w:noWrap/>
            <w:vAlign w:val="center"/>
          </w:tcPr>
          <w:p w14:paraId="2E79805A">
            <w:pPr>
              <w:ind w:firstLine="0" w:firstLineChars="0"/>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10</w:t>
            </w:r>
          </w:p>
        </w:tc>
        <w:tc>
          <w:tcPr>
            <w:tcW w:w="936" w:type="dxa"/>
            <w:noWrap/>
          </w:tcPr>
          <w:p w14:paraId="063DBD36">
            <w:pPr>
              <w:ind w:firstLine="0" w:firstLineChars="0"/>
              <w:rPr>
                <w:rFonts w:hint="eastAsia" w:ascii="宋体" w:hAnsi="宋体"/>
                <w:sz w:val="24"/>
                <w:szCs w:val="24"/>
              </w:rPr>
            </w:pPr>
            <w:r>
              <w:rPr>
                <w:rFonts w:hint="eastAsia" w:ascii="宋体" w:hAnsi="宋体"/>
                <w:sz w:val="24"/>
                <w:szCs w:val="24"/>
              </w:rPr>
              <w:t>预期性</w:t>
            </w:r>
          </w:p>
        </w:tc>
      </w:tr>
      <w:tr w14:paraId="0D04B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4474" w:type="dxa"/>
            <w:noWrap/>
            <w:vAlign w:val="center"/>
          </w:tcPr>
          <w:p w14:paraId="08045466">
            <w:pPr>
              <w:ind w:firstLine="0" w:firstLineChars="0"/>
              <w:rPr>
                <w:rFonts w:hint="eastAsia" w:ascii="宋体" w:hAnsi="宋体"/>
                <w:sz w:val="24"/>
                <w:szCs w:val="24"/>
              </w:rPr>
            </w:pPr>
            <w:r>
              <w:rPr>
                <w:rFonts w:ascii="宋体" w:hAnsi="宋体"/>
                <w:sz w:val="24"/>
                <w:szCs w:val="24"/>
              </w:rPr>
              <w:t>7、</w:t>
            </w:r>
            <w:r>
              <w:rPr>
                <w:rFonts w:hint="eastAsia" w:ascii="宋体" w:hAnsi="宋体"/>
                <w:sz w:val="24"/>
                <w:szCs w:val="24"/>
              </w:rPr>
              <w:t>亩均产出强度（万元/亩）</w:t>
            </w:r>
          </w:p>
        </w:tc>
        <w:tc>
          <w:tcPr>
            <w:tcW w:w="1050" w:type="dxa"/>
            <w:gridSpan w:val="2"/>
            <w:noWrap/>
            <w:vAlign w:val="center"/>
          </w:tcPr>
          <w:p w14:paraId="29268FBE">
            <w:pPr>
              <w:ind w:firstLine="0" w:firstLineChars="0"/>
              <w:rPr>
                <w:rFonts w:hint="default" w:ascii="Times New Roman" w:hAnsi="Times New Roman" w:cs="Times New Roman"/>
                <w:b w:val="0"/>
                <w:bCs w:val="0"/>
                <w:sz w:val="24"/>
                <w:szCs w:val="24"/>
              </w:rPr>
            </w:pPr>
            <w:r>
              <w:rPr>
                <w:rFonts w:hint="default" w:ascii="Times New Roman" w:hAnsi="Times New Roman" w:cs="Times New Roman"/>
                <w:b w:val="0"/>
                <w:bCs w:val="0"/>
                <w:color w:val="auto"/>
                <w:sz w:val="24"/>
                <w:szCs w:val="24"/>
              </w:rPr>
              <w:t>270</w:t>
            </w:r>
          </w:p>
        </w:tc>
        <w:tc>
          <w:tcPr>
            <w:tcW w:w="1195" w:type="dxa"/>
            <w:noWrap/>
            <w:vAlign w:val="center"/>
          </w:tcPr>
          <w:p w14:paraId="476538D3">
            <w:pPr>
              <w:ind w:firstLine="0" w:firstLineChars="0"/>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270</w:t>
            </w:r>
          </w:p>
        </w:tc>
        <w:tc>
          <w:tcPr>
            <w:tcW w:w="763" w:type="dxa"/>
            <w:noWrap/>
            <w:vAlign w:val="center"/>
          </w:tcPr>
          <w:p w14:paraId="1141D776">
            <w:pPr>
              <w:ind w:firstLine="0" w:firstLineChars="0"/>
              <w:rPr>
                <w:rFonts w:hint="default" w:ascii="Times New Roman" w:hAnsi="Times New Roman" w:eastAsia="仿宋_GB2312" w:cs="Times New Roman"/>
                <w:b w:val="0"/>
                <w:bCs w:val="0"/>
                <w:sz w:val="24"/>
                <w:szCs w:val="24"/>
                <w:lang w:val="en-US" w:eastAsia="zh-CN"/>
              </w:rPr>
            </w:pPr>
            <w:r>
              <w:rPr>
                <w:rFonts w:hint="default" w:ascii="Times New Roman" w:hAnsi="Times New Roman" w:cs="Times New Roman"/>
                <w:b w:val="0"/>
                <w:bCs w:val="0"/>
                <w:sz w:val="24"/>
                <w:szCs w:val="24"/>
                <w:lang w:val="en-US" w:eastAsia="zh-CN"/>
              </w:rPr>
              <w:t>-</w:t>
            </w:r>
          </w:p>
        </w:tc>
        <w:tc>
          <w:tcPr>
            <w:tcW w:w="936" w:type="dxa"/>
            <w:noWrap/>
          </w:tcPr>
          <w:p w14:paraId="25F3976B">
            <w:pPr>
              <w:ind w:firstLine="0" w:firstLineChars="0"/>
              <w:rPr>
                <w:rFonts w:hint="eastAsia" w:ascii="宋体" w:hAnsi="宋体"/>
                <w:sz w:val="24"/>
                <w:szCs w:val="24"/>
              </w:rPr>
            </w:pPr>
            <w:r>
              <w:rPr>
                <w:rFonts w:hint="eastAsia" w:ascii="宋体" w:hAnsi="宋体"/>
                <w:sz w:val="24"/>
                <w:szCs w:val="24"/>
              </w:rPr>
              <w:t>预期性</w:t>
            </w:r>
          </w:p>
        </w:tc>
      </w:tr>
      <w:tr w14:paraId="67E6A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4474" w:type="dxa"/>
            <w:noWrap/>
            <w:vAlign w:val="center"/>
          </w:tcPr>
          <w:p w14:paraId="09EBE0EC">
            <w:pPr>
              <w:ind w:firstLine="0" w:firstLineChars="0"/>
              <w:rPr>
                <w:rFonts w:hint="eastAsia" w:ascii="宋体"/>
                <w:sz w:val="24"/>
                <w:szCs w:val="24"/>
              </w:rPr>
            </w:pPr>
            <w:r>
              <w:rPr>
                <w:rFonts w:ascii="宋体" w:hAnsi="宋体"/>
                <w:sz w:val="24"/>
                <w:szCs w:val="24"/>
              </w:rPr>
              <w:t>8</w:t>
            </w:r>
            <w:r>
              <w:rPr>
                <w:rFonts w:hint="eastAsia" w:ascii="宋体" w:hAnsi="宋体"/>
                <w:sz w:val="24"/>
                <w:szCs w:val="24"/>
              </w:rPr>
              <w:t>、高新技术企业数（个）</w:t>
            </w:r>
          </w:p>
        </w:tc>
        <w:tc>
          <w:tcPr>
            <w:tcW w:w="1050" w:type="dxa"/>
            <w:gridSpan w:val="2"/>
            <w:noWrap/>
            <w:vAlign w:val="center"/>
          </w:tcPr>
          <w:p w14:paraId="392074E2">
            <w:pPr>
              <w:ind w:firstLine="0" w:firstLineChars="0"/>
              <w:rPr>
                <w:rFonts w:hint="default" w:ascii="Times New Roman" w:hAnsi="Times New Roman" w:cs="Times New Roman"/>
                <w:b w:val="0"/>
                <w:bCs w:val="0"/>
                <w:sz w:val="24"/>
                <w:szCs w:val="24"/>
              </w:rPr>
            </w:pPr>
            <w:r>
              <w:rPr>
                <w:rFonts w:hint="default" w:ascii="Times New Roman" w:hAnsi="Times New Roman" w:cs="Times New Roman"/>
                <w:b w:val="0"/>
                <w:bCs w:val="0"/>
                <w:color w:val="auto"/>
                <w:sz w:val="24"/>
                <w:szCs w:val="24"/>
              </w:rPr>
              <w:t>8</w:t>
            </w:r>
          </w:p>
        </w:tc>
        <w:tc>
          <w:tcPr>
            <w:tcW w:w="1195" w:type="dxa"/>
            <w:noWrap/>
            <w:vAlign w:val="center"/>
          </w:tcPr>
          <w:p w14:paraId="2D30CFF4">
            <w:pPr>
              <w:ind w:firstLine="0" w:firstLineChars="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18</w:t>
            </w:r>
          </w:p>
        </w:tc>
        <w:tc>
          <w:tcPr>
            <w:tcW w:w="763" w:type="dxa"/>
            <w:noWrap/>
            <w:vAlign w:val="center"/>
          </w:tcPr>
          <w:p w14:paraId="44A692EA">
            <w:pPr>
              <w:ind w:firstLine="0" w:firstLineChars="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20</w:t>
            </w:r>
          </w:p>
        </w:tc>
        <w:tc>
          <w:tcPr>
            <w:tcW w:w="936" w:type="dxa"/>
            <w:noWrap/>
          </w:tcPr>
          <w:p w14:paraId="455EFB97">
            <w:pPr>
              <w:ind w:firstLine="0" w:firstLineChars="0"/>
              <w:rPr>
                <w:rFonts w:hint="eastAsia" w:ascii="宋体"/>
                <w:sz w:val="24"/>
                <w:szCs w:val="24"/>
              </w:rPr>
            </w:pPr>
            <w:r>
              <w:rPr>
                <w:rFonts w:hint="eastAsia" w:ascii="宋体" w:hAnsi="宋体"/>
                <w:sz w:val="24"/>
                <w:szCs w:val="24"/>
              </w:rPr>
              <w:t>预期性</w:t>
            </w:r>
          </w:p>
        </w:tc>
      </w:tr>
      <w:tr w14:paraId="55C47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4474" w:type="dxa"/>
            <w:noWrap/>
            <w:vAlign w:val="center"/>
          </w:tcPr>
          <w:p w14:paraId="02B0001D">
            <w:pPr>
              <w:ind w:firstLine="0" w:firstLineChars="0"/>
              <w:rPr>
                <w:rFonts w:hint="eastAsia" w:ascii="宋体"/>
                <w:sz w:val="24"/>
                <w:szCs w:val="24"/>
              </w:rPr>
            </w:pPr>
            <w:r>
              <w:rPr>
                <w:rFonts w:hint="eastAsia" w:ascii="宋体" w:hAnsi="宋体"/>
                <w:sz w:val="24"/>
                <w:szCs w:val="24"/>
                <w:lang w:val="en-US" w:eastAsia="zh-CN"/>
              </w:rPr>
              <w:t>9</w:t>
            </w:r>
            <w:r>
              <w:rPr>
                <w:rFonts w:hint="eastAsia" w:ascii="宋体" w:hAnsi="宋体"/>
                <w:sz w:val="24"/>
                <w:szCs w:val="24"/>
              </w:rPr>
              <w:t>、碳排放强度降低</w:t>
            </w:r>
          </w:p>
        </w:tc>
        <w:tc>
          <w:tcPr>
            <w:tcW w:w="1044" w:type="dxa"/>
            <w:noWrap/>
            <w:vAlign w:val="center"/>
          </w:tcPr>
          <w:p w14:paraId="35010A83">
            <w:pPr>
              <w:ind w:firstLine="0" w:firstLineChars="0"/>
              <w:rPr>
                <w:rFonts w:hint="eastAsia" w:ascii="宋体" w:eastAsia="仿宋_GB2312"/>
                <w:sz w:val="24"/>
                <w:szCs w:val="24"/>
                <w:lang w:val="en-US" w:eastAsia="zh-CN"/>
              </w:rPr>
            </w:pPr>
            <w:r>
              <w:rPr>
                <w:rFonts w:hint="eastAsia" w:ascii="宋体"/>
                <w:sz w:val="24"/>
                <w:szCs w:val="24"/>
                <w:lang w:val="en-US" w:eastAsia="zh-CN"/>
              </w:rPr>
              <w:t>-</w:t>
            </w:r>
          </w:p>
        </w:tc>
        <w:tc>
          <w:tcPr>
            <w:tcW w:w="1201" w:type="dxa"/>
            <w:gridSpan w:val="2"/>
            <w:shd w:val="clear" w:color="auto" w:fill="auto"/>
            <w:noWrap/>
            <w:vAlign w:val="top"/>
          </w:tcPr>
          <w:p w14:paraId="03FD235B">
            <w:pPr>
              <w:ind w:firstLine="0" w:firstLineChars="0"/>
              <w:rPr>
                <w:rFonts w:hint="eastAsia" w:ascii="宋体" w:hAnsi="仿宋_GB2312" w:eastAsia="仿宋_GB2312" w:cs="仿宋_GB2312"/>
                <w:kern w:val="2"/>
                <w:sz w:val="24"/>
                <w:szCs w:val="24"/>
                <w:lang w:val="en-US" w:eastAsia="zh-CN" w:bidi="ar-SA"/>
              </w:rPr>
            </w:pPr>
            <w:r>
              <w:rPr>
                <w:rFonts w:hint="eastAsia" w:ascii="宋体"/>
                <w:sz w:val="24"/>
                <w:szCs w:val="24"/>
              </w:rPr>
              <w:t>达省要求</w:t>
            </w:r>
          </w:p>
        </w:tc>
        <w:tc>
          <w:tcPr>
            <w:tcW w:w="763" w:type="dxa"/>
            <w:shd w:val="clear" w:color="auto" w:fill="auto"/>
            <w:noWrap/>
            <w:vAlign w:val="center"/>
          </w:tcPr>
          <w:p w14:paraId="2142036C">
            <w:pPr>
              <w:ind w:firstLine="0" w:firstLineChars="0"/>
              <w:rPr>
                <w:rFonts w:hint="default" w:ascii="宋体" w:hAnsi="仿宋_GB2312" w:eastAsia="仿宋_GB2312" w:cs="仿宋_GB2312"/>
                <w:kern w:val="2"/>
                <w:sz w:val="24"/>
                <w:szCs w:val="24"/>
                <w:lang w:val="en-US" w:eastAsia="zh-CN" w:bidi="ar-SA"/>
              </w:rPr>
            </w:pPr>
            <w:r>
              <w:rPr>
                <w:rFonts w:hint="eastAsia" w:ascii="宋体" w:cs="仿宋_GB2312"/>
                <w:kern w:val="2"/>
                <w:sz w:val="24"/>
                <w:szCs w:val="24"/>
                <w:lang w:val="en-US" w:eastAsia="zh-CN" w:bidi="ar-SA"/>
              </w:rPr>
              <w:t>-</w:t>
            </w:r>
          </w:p>
        </w:tc>
        <w:tc>
          <w:tcPr>
            <w:tcW w:w="936" w:type="dxa"/>
            <w:shd w:val="clear" w:color="auto" w:fill="auto"/>
            <w:noWrap/>
            <w:vAlign w:val="center"/>
          </w:tcPr>
          <w:p w14:paraId="7C8A03E6">
            <w:pPr>
              <w:ind w:firstLine="0" w:firstLineChars="0"/>
              <w:rPr>
                <w:rFonts w:hint="eastAsia" w:ascii="宋体" w:hAnsi="仿宋_GB2312" w:eastAsia="仿宋_GB2312" w:cs="仿宋_GB2312"/>
                <w:kern w:val="2"/>
                <w:sz w:val="24"/>
                <w:szCs w:val="24"/>
                <w:lang w:val="en-US" w:eastAsia="zh-CN" w:bidi="ar-SA"/>
              </w:rPr>
            </w:pPr>
            <w:r>
              <w:rPr>
                <w:rFonts w:hint="eastAsia" w:ascii="宋体"/>
                <w:sz w:val="24"/>
                <w:szCs w:val="24"/>
              </w:rPr>
              <w:t>约束性</w:t>
            </w:r>
          </w:p>
        </w:tc>
      </w:tr>
      <w:tr w14:paraId="3ABFB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4474" w:type="dxa"/>
            <w:noWrap/>
            <w:vAlign w:val="center"/>
          </w:tcPr>
          <w:p w14:paraId="27D92841">
            <w:pPr>
              <w:ind w:firstLine="0" w:firstLineChars="0"/>
              <w:rPr>
                <w:rFonts w:hint="eastAsia" w:ascii="宋体" w:hAnsi="宋体"/>
                <w:sz w:val="24"/>
                <w:szCs w:val="24"/>
                <w:lang w:val="en-US" w:eastAsia="zh-CN"/>
              </w:rPr>
            </w:pPr>
            <w:r>
              <w:rPr>
                <w:rFonts w:ascii="宋体" w:hAnsi="宋体"/>
                <w:sz w:val="24"/>
                <w:szCs w:val="24"/>
              </w:rPr>
              <w:t>1</w:t>
            </w:r>
            <w:r>
              <w:rPr>
                <w:rFonts w:hint="eastAsia" w:ascii="宋体" w:hAnsi="宋体"/>
                <w:sz w:val="24"/>
                <w:szCs w:val="24"/>
                <w:lang w:val="en-US" w:eastAsia="zh-CN"/>
              </w:rPr>
              <w:t>0</w:t>
            </w:r>
            <w:r>
              <w:rPr>
                <w:rFonts w:hint="eastAsia" w:ascii="宋体" w:hAnsi="宋体"/>
                <w:sz w:val="24"/>
                <w:szCs w:val="24"/>
              </w:rPr>
              <w:t>、主要污染物排放减少（</w:t>
            </w:r>
            <w:r>
              <w:rPr>
                <w:rFonts w:ascii="宋体" w:hAnsi="宋体"/>
                <w:sz w:val="24"/>
                <w:szCs w:val="24"/>
              </w:rPr>
              <w:t>%</w:t>
            </w:r>
            <w:r>
              <w:rPr>
                <w:rFonts w:hint="eastAsia" w:ascii="宋体" w:hAnsi="宋体"/>
                <w:sz w:val="24"/>
                <w:szCs w:val="24"/>
              </w:rPr>
              <w:t>）</w:t>
            </w:r>
          </w:p>
        </w:tc>
        <w:tc>
          <w:tcPr>
            <w:tcW w:w="1044" w:type="dxa"/>
            <w:noWrap/>
            <w:vAlign w:val="center"/>
          </w:tcPr>
          <w:p w14:paraId="0646B66D">
            <w:pPr>
              <w:ind w:firstLine="0" w:firstLineChars="0"/>
              <w:rPr>
                <w:rFonts w:hint="eastAsia" w:ascii="宋体" w:eastAsia="仿宋_GB2312"/>
                <w:sz w:val="24"/>
                <w:szCs w:val="24"/>
                <w:lang w:val="en-US" w:eastAsia="zh-CN"/>
              </w:rPr>
            </w:pPr>
            <w:r>
              <w:rPr>
                <w:rFonts w:hint="eastAsia" w:ascii="宋体"/>
                <w:sz w:val="24"/>
                <w:szCs w:val="24"/>
                <w:lang w:val="en-US" w:eastAsia="zh-CN"/>
              </w:rPr>
              <w:t>-</w:t>
            </w:r>
          </w:p>
        </w:tc>
        <w:tc>
          <w:tcPr>
            <w:tcW w:w="1201" w:type="dxa"/>
            <w:gridSpan w:val="2"/>
            <w:shd w:val="clear" w:color="auto" w:fill="auto"/>
            <w:noWrap/>
            <w:vAlign w:val="top"/>
          </w:tcPr>
          <w:p w14:paraId="0ADD9B38">
            <w:pPr>
              <w:ind w:firstLine="0" w:firstLineChars="0"/>
              <w:rPr>
                <w:rFonts w:hint="eastAsia" w:ascii="宋体" w:hAnsi="仿宋_GB2312" w:eastAsia="仿宋_GB2312" w:cs="仿宋_GB2312"/>
                <w:kern w:val="2"/>
                <w:sz w:val="24"/>
                <w:szCs w:val="24"/>
                <w:lang w:val="en-US" w:eastAsia="zh-CN" w:bidi="ar-SA"/>
              </w:rPr>
            </w:pPr>
            <w:r>
              <w:rPr>
                <w:rFonts w:hint="eastAsia" w:ascii="宋体"/>
                <w:sz w:val="24"/>
                <w:szCs w:val="24"/>
              </w:rPr>
              <w:t>达省要求</w:t>
            </w:r>
          </w:p>
        </w:tc>
        <w:tc>
          <w:tcPr>
            <w:tcW w:w="763" w:type="dxa"/>
            <w:shd w:val="clear" w:color="auto" w:fill="auto"/>
            <w:noWrap/>
            <w:vAlign w:val="center"/>
          </w:tcPr>
          <w:p w14:paraId="616BD3F2">
            <w:pPr>
              <w:ind w:firstLine="0" w:firstLineChars="0"/>
              <w:rPr>
                <w:rFonts w:hint="default" w:ascii="宋体" w:hAnsi="仿宋_GB2312" w:eastAsia="仿宋_GB2312" w:cs="仿宋_GB2312"/>
                <w:kern w:val="2"/>
                <w:sz w:val="24"/>
                <w:szCs w:val="24"/>
                <w:lang w:val="en-US" w:eastAsia="zh-CN" w:bidi="ar-SA"/>
              </w:rPr>
            </w:pPr>
            <w:r>
              <w:rPr>
                <w:rFonts w:hint="eastAsia" w:ascii="宋体" w:cs="仿宋_GB2312"/>
                <w:kern w:val="2"/>
                <w:sz w:val="24"/>
                <w:szCs w:val="24"/>
                <w:lang w:val="en-US" w:eastAsia="zh-CN" w:bidi="ar-SA"/>
              </w:rPr>
              <w:t>-</w:t>
            </w:r>
          </w:p>
        </w:tc>
        <w:tc>
          <w:tcPr>
            <w:tcW w:w="936" w:type="dxa"/>
            <w:shd w:val="clear" w:color="auto" w:fill="auto"/>
            <w:noWrap/>
            <w:vAlign w:val="center"/>
          </w:tcPr>
          <w:p w14:paraId="2985EEF9">
            <w:pPr>
              <w:ind w:firstLine="0" w:firstLineChars="0"/>
              <w:rPr>
                <w:rFonts w:hint="eastAsia" w:ascii="宋体" w:hAnsi="仿宋_GB2312" w:eastAsia="仿宋_GB2312" w:cs="仿宋_GB2312"/>
                <w:kern w:val="2"/>
                <w:sz w:val="24"/>
                <w:szCs w:val="24"/>
                <w:lang w:val="en-US" w:eastAsia="zh-CN" w:bidi="ar-SA"/>
              </w:rPr>
            </w:pPr>
            <w:r>
              <w:rPr>
                <w:rFonts w:hint="eastAsia" w:ascii="宋体"/>
                <w:sz w:val="24"/>
                <w:szCs w:val="24"/>
              </w:rPr>
              <w:t>约束性</w:t>
            </w:r>
          </w:p>
        </w:tc>
      </w:tr>
    </w:tbl>
    <w:p w14:paraId="4DE7C811">
      <w:pPr>
        <w:ind w:left="0" w:leftChars="0" w:firstLine="0" w:firstLineChars="0"/>
        <w:jc w:val="center"/>
        <w:rPr>
          <w:rFonts w:hint="eastAsia"/>
          <w:sz w:val="24"/>
          <w:szCs w:val="24"/>
        </w:rPr>
      </w:pPr>
    </w:p>
    <w:p w14:paraId="01A851A6">
      <w:pPr>
        <w:ind w:left="0" w:leftChars="0" w:firstLine="0" w:firstLineChars="0"/>
        <w:jc w:val="center"/>
        <w:rPr>
          <w:rFonts w:ascii="Times New Roman" w:hAnsi="Times New Roman" w:eastAsia="楷体_GB2312"/>
          <w:b/>
        </w:rPr>
      </w:pPr>
      <w:r>
        <w:rPr>
          <w:rFonts w:hint="eastAsia"/>
          <w:sz w:val="24"/>
          <w:szCs w:val="24"/>
        </w:rPr>
        <w:t>表1：</w:t>
      </w:r>
      <w:r>
        <w:rPr>
          <w:rFonts w:hint="eastAsia"/>
          <w:sz w:val="24"/>
          <w:szCs w:val="24"/>
          <w:lang w:val="en-US" w:eastAsia="zh-CN"/>
        </w:rPr>
        <w:t>阳城开发区“</w:t>
      </w:r>
      <w:r>
        <w:rPr>
          <w:rFonts w:hint="eastAsia"/>
          <w:sz w:val="24"/>
          <w:szCs w:val="24"/>
        </w:rPr>
        <w:t>十五五</w:t>
      </w:r>
      <w:r>
        <w:rPr>
          <w:rFonts w:hint="eastAsia"/>
          <w:sz w:val="24"/>
          <w:szCs w:val="24"/>
          <w:lang w:eastAsia="zh-CN"/>
        </w:rPr>
        <w:t>”</w:t>
      </w:r>
      <w:r>
        <w:rPr>
          <w:rFonts w:hint="eastAsia"/>
          <w:sz w:val="24"/>
          <w:szCs w:val="24"/>
        </w:rPr>
        <w:t>主要指标</w:t>
      </w:r>
      <w:r>
        <w:rPr>
          <w:sz w:val="24"/>
          <w:szCs w:val="24"/>
        </w:rPr>
        <w:br w:type="page"/>
      </w:r>
      <w:r>
        <w:rPr>
          <w:rFonts w:hint="eastAsia" w:ascii="Times New Roman" w:hAnsi="Times New Roman" w:eastAsia="楷体_GB2312"/>
          <w:b/>
        </w:rPr>
        <w:t>第</w:t>
      </w:r>
      <w:r>
        <w:rPr>
          <w:rFonts w:hint="eastAsia" w:ascii="Times New Roman" w:hAnsi="Times New Roman" w:eastAsia="楷体_GB2312"/>
          <w:b/>
          <w:lang w:val="en-US" w:eastAsia="zh-CN"/>
        </w:rPr>
        <w:t>三</w:t>
      </w:r>
      <w:r>
        <w:rPr>
          <w:rFonts w:hint="eastAsia" w:ascii="Times New Roman" w:hAnsi="Times New Roman" w:eastAsia="楷体_GB2312"/>
          <w:b/>
        </w:rPr>
        <w:t>节  空间布局</w:t>
      </w:r>
    </w:p>
    <w:p w14:paraId="3150FFA8">
      <w:pPr>
        <w:kinsoku w:val="0"/>
        <w:autoSpaceDE w:val="0"/>
        <w:autoSpaceDN w:val="0"/>
        <w:adjustRightInd w:val="0"/>
        <w:snapToGrid w:val="0"/>
        <w:spacing w:before="156" w:beforeLines="50" w:line="600" w:lineRule="exact"/>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以“整合发展、集聚集约、可持续发展”原则，按照“一区三园”的发展思路，优化空间布局，将城镇开发边界外的覆压采矿区、村庄居民集中区安全距离范围、陡坎地等地块调出，调出面积</w:t>
      </w:r>
      <w:r>
        <w:rPr>
          <w:rFonts w:hint="default" w:ascii="Times New Roman" w:hAnsi="Times New Roman" w:eastAsia="方正仿宋_GB2312" w:cs="Times New Roman"/>
        </w:rPr>
        <w:t>4.</w:t>
      </w:r>
      <w:r>
        <w:rPr>
          <w:rFonts w:hint="eastAsia" w:ascii="Times New Roman" w:hAnsi="Times New Roman" w:eastAsia="方正仿宋_GB2312" w:cs="Times New Roman"/>
          <w:lang w:val="en-US" w:eastAsia="zh-CN"/>
        </w:rPr>
        <w:t>6</w:t>
      </w:r>
      <w:r>
        <w:rPr>
          <w:rFonts w:hint="default" w:ascii="Times New Roman" w:hAnsi="Times New Roman" w:eastAsia="方正仿宋_GB2312" w:cs="Times New Roman"/>
        </w:rPr>
        <w:t>4</w:t>
      </w:r>
      <w:r>
        <w:rPr>
          <w:rFonts w:hint="eastAsia" w:ascii="方正仿宋_GB2312" w:hAnsi="方正仿宋_GB2312" w:eastAsia="方正仿宋_GB2312" w:cs="方正仿宋_GB2312"/>
        </w:rPr>
        <w:t>平方公里；将阳城县台头化工园区整体调入，调入面积</w:t>
      </w:r>
      <w:r>
        <w:rPr>
          <w:rFonts w:hint="eastAsia" w:ascii="Times New Roman" w:hAnsi="Times New Roman" w:eastAsia="方正仿宋_GB2312" w:cs="Times New Roman"/>
        </w:rPr>
        <w:t>1.3</w:t>
      </w:r>
      <w:r>
        <w:rPr>
          <w:rFonts w:hint="eastAsia" w:ascii="Times New Roman" w:hAnsi="Times New Roman" w:eastAsia="方正仿宋_GB2312" w:cs="Times New Roman"/>
          <w:lang w:val="en-US" w:eastAsia="zh-CN"/>
        </w:rPr>
        <w:t>7</w:t>
      </w:r>
      <w:r>
        <w:rPr>
          <w:rFonts w:hint="eastAsia" w:ascii="方正仿宋_GB2312" w:hAnsi="方正仿宋_GB2312" w:eastAsia="方正仿宋_GB2312" w:cs="方正仿宋_GB2312"/>
        </w:rPr>
        <w:t>平方公里。调整后，开发区总用地面将为</w:t>
      </w:r>
      <w:r>
        <w:rPr>
          <w:rFonts w:hint="eastAsia" w:ascii="Times New Roman" w:hAnsi="Times New Roman" w:eastAsia="方正仿宋_GB2312" w:cs="Times New Roman"/>
        </w:rPr>
        <w:t>5.</w:t>
      </w:r>
      <w:r>
        <w:rPr>
          <w:rFonts w:hint="eastAsia" w:ascii="Times New Roman" w:hAnsi="Times New Roman" w:eastAsia="方正仿宋_GB2312" w:cs="Times New Roman"/>
          <w:lang w:val="en-US" w:eastAsia="zh-CN"/>
        </w:rPr>
        <w:t>39</w:t>
      </w:r>
      <w:r>
        <w:rPr>
          <w:rFonts w:hint="eastAsia" w:ascii="方正仿宋_GB2312" w:hAnsi="方正仿宋_GB2312" w:eastAsia="方正仿宋_GB2312" w:cs="方正仿宋_GB2312"/>
        </w:rPr>
        <w:t>平方公里，全部位于城镇开发边界内、未占永久基本农田和生态保护红线，</w:t>
      </w:r>
      <w:r>
        <w:rPr>
          <w:rFonts w:hint="eastAsia" w:ascii="Times New Roman" w:hAnsi="Times New Roman" w:eastAsia="方正仿宋_GB2312" w:cs="Times New Roman"/>
        </w:rPr>
        <w:t>符合</w:t>
      </w:r>
      <w:r>
        <w:rPr>
          <w:rFonts w:hint="eastAsia" w:ascii="方正仿宋_GB2312" w:hAnsi="方正仿宋_GB2312" w:eastAsia="方正仿宋_GB2312" w:cs="方正仿宋_GB2312"/>
        </w:rPr>
        <w:t>相关规划、自然生态、环境保护及国家安全等方面的要求</w:t>
      </w:r>
      <w:r>
        <w:rPr>
          <w:rFonts w:hint="eastAsia" w:ascii="方正仿宋_GB2312" w:hAnsi="方正仿宋_GB2312" w:eastAsia="方正仿宋_GB2312" w:cs="方正仿宋_GB2312"/>
          <w:lang w:eastAsia="zh-CN"/>
        </w:rPr>
        <w:t>，“</w:t>
      </w:r>
      <w:r>
        <w:rPr>
          <w:rFonts w:hint="eastAsia" w:ascii="方正仿宋_GB2312" w:hAnsi="方正仿宋_GB2312" w:eastAsia="方正仿宋_GB2312" w:cs="方正仿宋_GB2312"/>
          <w:lang w:val="en-US" w:eastAsia="zh-CN"/>
        </w:rPr>
        <w:t>十五五</w:t>
      </w:r>
      <w:r>
        <w:rPr>
          <w:rFonts w:hint="eastAsia" w:ascii="方正仿宋_GB2312" w:hAnsi="方正仿宋_GB2312" w:eastAsia="方正仿宋_GB2312" w:cs="方正仿宋_GB2312"/>
          <w:lang w:eastAsia="zh-CN"/>
        </w:rPr>
        <w:t>”</w:t>
      </w:r>
      <w:r>
        <w:rPr>
          <w:rFonts w:hint="eastAsia" w:ascii="方正仿宋_GB2312" w:hAnsi="方正仿宋_GB2312" w:eastAsia="方正仿宋_GB2312" w:cs="方正仿宋_GB2312"/>
          <w:lang w:val="en-US" w:eastAsia="zh-CN"/>
        </w:rPr>
        <w:t>发展基础将更为坚实</w:t>
      </w:r>
      <w:r>
        <w:rPr>
          <w:rFonts w:hint="eastAsia" w:ascii="方正仿宋_GB2312" w:hAnsi="方正仿宋_GB2312" w:eastAsia="方正仿宋_GB2312" w:cs="方正仿宋_GB2312"/>
        </w:rPr>
        <w:t>。</w:t>
      </w:r>
    </w:p>
    <w:p w14:paraId="0B6CAC46">
      <w:pPr>
        <w:ind w:firstLine="64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三园：安阳陶瓷工业园、演礼新兴科技产业园、阳城县台头化工园区。</w:t>
      </w:r>
    </w:p>
    <w:p w14:paraId="2D4FBB92">
      <w:pPr>
        <w:ind w:firstLine="640"/>
        <w:jc w:val="left"/>
        <w:rPr>
          <w:rFonts w:hint="eastAsia" w:ascii="仿宋" w:hAnsi="仿宋" w:eastAsia="仿宋" w:cs="仿宋"/>
          <w:lang w:eastAsia="zh-CN"/>
        </w:rPr>
      </w:pPr>
      <w:r>
        <w:rPr>
          <w:rFonts w:hint="eastAsia" w:ascii="仿宋" w:hAnsi="仿宋" w:eastAsia="仿宋" w:cs="仿宋"/>
          <w:lang w:eastAsia="zh-CN"/>
        </w:rPr>
        <w:drawing>
          <wp:inline distT="0" distB="0" distL="114300" distR="114300">
            <wp:extent cx="5269230" cy="3724275"/>
            <wp:effectExtent l="0" t="0" r="7620" b="0"/>
            <wp:docPr id="4" name="图片 4" descr="6ec2210047aaf1bfad04786680715c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ec2210047aaf1bfad04786680715ca8"/>
                    <pic:cNvPicPr>
                      <a:picLocks noChangeAspect="1"/>
                    </pic:cNvPicPr>
                  </pic:nvPicPr>
                  <pic:blipFill>
                    <a:blip r:embed="rId14"/>
                    <a:stretch>
                      <a:fillRect/>
                    </a:stretch>
                  </pic:blipFill>
                  <pic:spPr>
                    <a:xfrm>
                      <a:off x="0" y="0"/>
                      <a:ext cx="5269230" cy="3724275"/>
                    </a:xfrm>
                    <a:prstGeom prst="rect">
                      <a:avLst/>
                    </a:prstGeom>
                  </pic:spPr>
                </pic:pic>
              </a:graphicData>
            </a:graphic>
          </wp:inline>
        </w:drawing>
      </w:r>
    </w:p>
    <w:p w14:paraId="6319A90B">
      <w:pPr>
        <w:ind w:firstLine="2640" w:firstLineChars="1100"/>
        <w:jc w:val="left"/>
        <w:rPr>
          <w:rFonts w:hint="eastAsia" w:ascii="微软雅黑" w:hAnsi="微软雅黑" w:eastAsia="微软雅黑" w:cs="宋体"/>
          <w:color w:val="000000" w:themeColor="text1"/>
          <w:sz w:val="24"/>
          <w14:textFill>
            <w14:solidFill>
              <w14:schemeClr w14:val="tx1"/>
            </w14:solidFill>
          </w14:textFill>
        </w:rPr>
      </w:pPr>
      <w:r>
        <w:rPr>
          <w:rFonts w:hint="eastAsia" w:ascii="微软雅黑" w:hAnsi="微软雅黑" w:eastAsia="微软雅黑" w:cs="宋体"/>
          <w:color w:val="000000" w:themeColor="text1"/>
          <w:sz w:val="24"/>
          <w14:textFill>
            <w14:solidFill>
              <w14:schemeClr w14:val="tx1"/>
            </w14:solidFill>
          </w14:textFill>
        </w:rPr>
        <w:t>图1，阳城经济开发区规划区位图</w:t>
      </w:r>
    </w:p>
    <w:p w14:paraId="739249B2">
      <w:pPr>
        <w:spacing w:line="480" w:lineRule="auto"/>
        <w:ind w:firstLine="649" w:firstLineChars="202"/>
        <w:rPr>
          <w:rFonts w:hint="eastAsia" w:ascii="方正仿宋_GB2312" w:hAnsi="方正仿宋_GB2312" w:eastAsia="方正仿宋_GB2312" w:cs="方正仿宋_GB2312"/>
        </w:rPr>
      </w:pPr>
      <w:bookmarkStart w:id="39" w:name="_Hlk211891462"/>
      <w:r>
        <w:rPr>
          <w:rFonts w:hint="eastAsia" w:ascii="方正仿宋_GB2312" w:hAnsi="方正仿宋_GB2312" w:eastAsia="方正仿宋_GB2312" w:cs="方正仿宋_GB2312"/>
          <w:b/>
          <w:bCs/>
        </w:rPr>
        <w:t>安阳陶瓷工业园</w:t>
      </w:r>
      <w:r>
        <w:rPr>
          <w:rFonts w:hint="eastAsia" w:ascii="方正仿宋_GB2312" w:hAnsi="方正仿宋_GB2312" w:eastAsia="方正仿宋_GB2312" w:cs="方正仿宋_GB2312"/>
          <w:b/>
          <w:bCs/>
          <w:kern w:val="0"/>
          <w:lang w:bidi="ar"/>
        </w:rPr>
        <w:t>（区块</w:t>
      </w:r>
      <w:r>
        <w:rPr>
          <w:rFonts w:hint="default" w:ascii="Times New Roman" w:hAnsi="Times New Roman" w:eastAsia="方正仿宋_GB2312" w:cs="Times New Roman"/>
          <w:b/>
          <w:bCs/>
          <w:kern w:val="0"/>
          <w:lang w:bidi="ar"/>
        </w:rPr>
        <w:t>1-</w:t>
      </w:r>
      <w:r>
        <w:rPr>
          <w:rFonts w:hint="default" w:ascii="Times New Roman" w:hAnsi="Times New Roman" w:eastAsia="方正仿宋_GB2312" w:cs="Times New Roman"/>
          <w:b/>
          <w:bCs/>
          <w:kern w:val="0"/>
          <w:lang w:val="en-US" w:eastAsia="zh-CN" w:bidi="ar"/>
        </w:rPr>
        <w:t>7</w:t>
      </w:r>
      <w:r>
        <w:rPr>
          <w:rFonts w:hint="eastAsia" w:ascii="方正仿宋_GB2312" w:hAnsi="方正仿宋_GB2312" w:eastAsia="方正仿宋_GB2312" w:cs="方正仿宋_GB2312"/>
          <w:b/>
          <w:bCs/>
          <w:kern w:val="0"/>
          <w:lang w:bidi="ar"/>
        </w:rPr>
        <w:t>）</w:t>
      </w:r>
      <w:r>
        <w:rPr>
          <w:rFonts w:hint="eastAsia" w:ascii="方正仿宋_GB2312" w:hAnsi="方正仿宋_GB2312" w:eastAsia="方正仿宋_GB2312" w:cs="方正仿宋_GB2312"/>
          <w:lang w:eastAsia="zh-CN"/>
        </w:rPr>
        <w:t>。</w:t>
      </w:r>
      <w:bookmarkEnd w:id="39"/>
      <w:r>
        <w:rPr>
          <w:rFonts w:hint="eastAsia" w:ascii="方正仿宋_GB2312" w:hAnsi="方正仿宋_GB2312" w:eastAsia="方正仿宋_GB2312" w:cs="方正仿宋_GB2312"/>
        </w:rPr>
        <w:t>由安阳</w:t>
      </w:r>
      <w:r>
        <w:rPr>
          <w:rFonts w:hint="eastAsia" w:ascii="方正仿宋_GB2312" w:hAnsi="方正仿宋_GB2312" w:eastAsia="方正仿宋_GB2312" w:cs="方正仿宋_GB2312"/>
          <w:lang w:val="en-US" w:eastAsia="zh-CN"/>
        </w:rPr>
        <w:t>片区</w:t>
      </w:r>
      <w:r>
        <w:rPr>
          <w:rFonts w:hint="eastAsia" w:ascii="方正仿宋_GB2312" w:hAnsi="方正仿宋_GB2312" w:eastAsia="方正仿宋_GB2312" w:cs="方正仿宋_GB2312"/>
        </w:rPr>
        <w:t>和八甲口</w:t>
      </w:r>
      <w:r>
        <w:rPr>
          <w:rFonts w:hint="eastAsia" w:ascii="方正仿宋_GB2312" w:hAnsi="方正仿宋_GB2312" w:eastAsia="方正仿宋_GB2312" w:cs="方正仿宋_GB2312"/>
          <w:lang w:val="en-US" w:eastAsia="zh-CN"/>
        </w:rPr>
        <w:t>片区</w:t>
      </w:r>
      <w:r>
        <w:rPr>
          <w:rFonts w:hint="eastAsia" w:ascii="方正仿宋_GB2312" w:hAnsi="方正仿宋_GB2312" w:eastAsia="方正仿宋_GB2312" w:cs="方正仿宋_GB2312"/>
        </w:rPr>
        <w:t>组成，安阳</w:t>
      </w:r>
      <w:r>
        <w:rPr>
          <w:rFonts w:hint="eastAsia" w:ascii="方正仿宋_GB2312" w:hAnsi="方正仿宋_GB2312" w:eastAsia="方正仿宋_GB2312" w:cs="方正仿宋_GB2312"/>
          <w:lang w:val="en-US" w:eastAsia="zh-CN"/>
        </w:rPr>
        <w:t>片区</w:t>
      </w:r>
      <w:r>
        <w:rPr>
          <w:rFonts w:hint="eastAsia" w:ascii="方正仿宋_GB2312" w:hAnsi="方正仿宋_GB2312" w:eastAsia="方正仿宋_GB2312" w:cs="方正仿宋_GB2312"/>
        </w:rPr>
        <w:t>重点发展陶瓷产业</w:t>
      </w:r>
      <w:r>
        <w:rPr>
          <w:rFonts w:hint="eastAsia" w:ascii="方正仿宋_GB2312" w:hAnsi="方正仿宋_GB2312" w:eastAsia="方正仿宋_GB2312" w:cs="方正仿宋_GB2312"/>
          <w:lang w:eastAsia="zh-CN"/>
        </w:rPr>
        <w:t>，</w:t>
      </w:r>
      <w:r>
        <w:rPr>
          <w:rFonts w:hint="eastAsia" w:ascii="方正仿宋_GB2312" w:hAnsi="方正仿宋_GB2312" w:eastAsia="方正仿宋_GB2312" w:cs="方正仿宋_GB2312"/>
        </w:rPr>
        <w:t>打造高端工业陶瓷发展理念，配套延长、丰富产业链条，打造以现代陶瓷为主的产业集聚园；八甲口</w:t>
      </w:r>
      <w:r>
        <w:rPr>
          <w:rFonts w:hint="eastAsia" w:ascii="方正仿宋_GB2312" w:hAnsi="方正仿宋_GB2312" w:eastAsia="方正仿宋_GB2312" w:cs="方正仿宋_GB2312"/>
          <w:lang w:val="en-US" w:eastAsia="zh-CN"/>
        </w:rPr>
        <w:t>片区</w:t>
      </w:r>
      <w:r>
        <w:rPr>
          <w:rFonts w:hint="eastAsia" w:ascii="方正仿宋_GB2312" w:hAnsi="方正仿宋_GB2312" w:eastAsia="方正仿宋_GB2312" w:cs="方正仿宋_GB2312"/>
        </w:rPr>
        <w:t>地理位置优越，依托铁路、火车站、高速路、快速通道等位置和交通优势布局现代物流基地和制造业。</w:t>
      </w:r>
    </w:p>
    <w:p w14:paraId="0FA3B1A0">
      <w:pPr>
        <w:numPr>
          <w:ilvl w:val="255"/>
          <w:numId w:val="0"/>
        </w:num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kern w:val="0"/>
          <w:lang w:bidi="ar"/>
        </w:rPr>
        <w:t>演礼新兴科技产业园（区块</w:t>
      </w:r>
      <w:r>
        <w:rPr>
          <w:rFonts w:hint="eastAsia" w:ascii="Times New Roman" w:hAnsi="Times New Roman" w:eastAsia="方正仿宋_GB2312" w:cs="Times New Roman"/>
          <w:b/>
          <w:bCs/>
          <w:kern w:val="0"/>
          <w:lang w:val="en-US" w:eastAsia="zh-CN" w:bidi="ar"/>
        </w:rPr>
        <w:t>8-9</w:t>
      </w:r>
      <w:r>
        <w:rPr>
          <w:rFonts w:hint="eastAsia" w:ascii="Times New Roman" w:hAnsi="Times New Roman" w:eastAsia="方正仿宋_GB2312" w:cs="Times New Roman"/>
          <w:b/>
          <w:bCs/>
          <w:kern w:val="0"/>
          <w:lang w:bidi="ar"/>
        </w:rPr>
        <w:t>）</w:t>
      </w:r>
      <w:r>
        <w:rPr>
          <w:rFonts w:hint="eastAsia" w:ascii="方正仿宋_GB2312" w:hAnsi="方正仿宋_GB2312" w:eastAsia="方正仿宋_GB2312" w:cs="方正仿宋_GB2312"/>
          <w:b/>
          <w:bCs/>
          <w:kern w:val="0"/>
          <w:lang w:eastAsia="zh-CN" w:bidi="ar"/>
        </w:rPr>
        <w:t>。</w:t>
      </w:r>
      <w:r>
        <w:rPr>
          <w:rFonts w:hint="eastAsia" w:ascii="方正仿宋_GB2312" w:hAnsi="方正仿宋_GB2312" w:eastAsia="方正仿宋_GB2312" w:cs="方正仿宋_GB2312"/>
          <w:kern w:val="0"/>
          <w:lang w:bidi="ar"/>
        </w:rPr>
        <w:t>以培育高新技术产业</w:t>
      </w:r>
      <w:r>
        <w:rPr>
          <w:rFonts w:hint="eastAsia" w:ascii="方正仿宋_GB2312" w:hAnsi="方正仿宋_GB2312" w:eastAsia="方正仿宋_GB2312" w:cs="方正仿宋_GB2312"/>
          <w:kern w:val="0"/>
          <w:lang w:val="en-US" w:eastAsia="zh-CN" w:bidi="ar"/>
        </w:rPr>
        <w:t>和新兴产业</w:t>
      </w:r>
      <w:r>
        <w:rPr>
          <w:rFonts w:hint="eastAsia" w:ascii="方正仿宋_GB2312" w:hAnsi="方正仿宋_GB2312" w:eastAsia="方正仿宋_GB2312" w:cs="方正仿宋_GB2312"/>
          <w:kern w:val="0"/>
          <w:lang w:bidi="ar"/>
        </w:rPr>
        <w:t>为核心，聚焦</w:t>
      </w:r>
      <w:r>
        <w:rPr>
          <w:rFonts w:hint="eastAsia" w:ascii="方正仿宋_GB2312" w:hAnsi="方正仿宋_GB2312" w:eastAsia="方正仿宋_GB2312" w:cs="方正仿宋_GB2312"/>
          <w:kern w:val="0"/>
          <w:lang w:val="en-US" w:eastAsia="zh-CN" w:bidi="ar"/>
        </w:rPr>
        <w:t>电子信息产业、算力产业、先进制造、数字经济等科技引领型新兴产业，</w:t>
      </w:r>
      <w:r>
        <w:rPr>
          <w:rFonts w:hint="eastAsia" w:ascii="方正仿宋_GB2312" w:hAnsi="方正仿宋_GB2312" w:eastAsia="方正仿宋_GB2312" w:cs="方正仿宋_GB2312"/>
          <w:kern w:val="0"/>
          <w:lang w:bidi="ar"/>
        </w:rPr>
        <w:t>重点引进带动效应显著的链主</w:t>
      </w:r>
      <w:r>
        <w:rPr>
          <w:rFonts w:hint="eastAsia" w:ascii="方正仿宋_GB2312" w:hAnsi="方正仿宋_GB2312" w:eastAsia="方正仿宋_GB2312" w:cs="方正仿宋_GB2312"/>
          <w:kern w:val="0"/>
          <w:lang w:eastAsia="zh-CN" w:bidi="ar"/>
        </w:rPr>
        <w:t>、</w:t>
      </w:r>
      <w:r>
        <w:rPr>
          <w:rFonts w:hint="eastAsia" w:ascii="方正仿宋_GB2312" w:hAnsi="方正仿宋_GB2312" w:eastAsia="方正仿宋_GB2312" w:cs="方正仿宋_GB2312"/>
          <w:kern w:val="0"/>
          <w:lang w:val="en-US" w:eastAsia="zh-CN" w:bidi="ar"/>
        </w:rPr>
        <w:t>链核</w:t>
      </w:r>
      <w:r>
        <w:rPr>
          <w:rFonts w:hint="eastAsia" w:ascii="方正仿宋_GB2312" w:hAnsi="方正仿宋_GB2312" w:eastAsia="方正仿宋_GB2312" w:cs="方正仿宋_GB2312"/>
          <w:kern w:val="0"/>
          <w:lang w:bidi="ar"/>
        </w:rPr>
        <w:t>企业，</w:t>
      </w:r>
      <w:r>
        <w:rPr>
          <w:rFonts w:hint="eastAsia" w:ascii="方正仿宋_GB2312" w:hAnsi="方正仿宋_GB2312" w:eastAsia="方正仿宋_GB2312" w:cs="方正仿宋_GB2312"/>
          <w:kern w:val="0"/>
          <w:lang w:val="en-US" w:eastAsia="zh-CN" w:bidi="ar"/>
        </w:rPr>
        <w:t>发挥强链补链作用，推动阳城开发区特色优势产业集聚成链成群，</w:t>
      </w:r>
      <w:r>
        <w:rPr>
          <w:rFonts w:hint="eastAsia" w:ascii="方正仿宋_GB2312" w:hAnsi="方正仿宋_GB2312" w:eastAsia="方正仿宋_GB2312" w:cs="方正仿宋_GB2312"/>
          <w:kern w:val="0"/>
          <w:lang w:bidi="ar"/>
        </w:rPr>
        <w:t>加速构建</w:t>
      </w:r>
      <w:r>
        <w:rPr>
          <w:rFonts w:hint="eastAsia" w:ascii="方正仿宋_GB2312" w:hAnsi="方正仿宋_GB2312" w:eastAsia="方正仿宋_GB2312" w:cs="方正仿宋_GB2312"/>
          <w:kern w:val="0"/>
          <w:lang w:val="en-US" w:eastAsia="zh-CN" w:bidi="ar"/>
        </w:rPr>
        <w:t>新兴产业</w:t>
      </w:r>
      <w:r>
        <w:rPr>
          <w:rFonts w:hint="eastAsia" w:ascii="方正仿宋_GB2312" w:hAnsi="方正仿宋_GB2312" w:eastAsia="方正仿宋_GB2312" w:cs="方正仿宋_GB2312"/>
          <w:kern w:val="0"/>
          <w:lang w:bidi="ar"/>
        </w:rPr>
        <w:t>集群。</w:t>
      </w:r>
    </w:p>
    <w:p w14:paraId="19439886">
      <w:pPr>
        <w:spacing w:line="480" w:lineRule="auto"/>
        <w:ind w:firstLine="514" w:firstLineChars="160"/>
        <w:rPr>
          <w:rFonts w:hint="eastAsia" w:ascii="方正仿宋_GB2312" w:hAnsi="方正仿宋_GB2312" w:eastAsia="方正仿宋_GB2312" w:cs="方正仿宋_GB2312"/>
          <w:kern w:val="0"/>
          <w:lang w:bidi="ar"/>
        </w:rPr>
      </w:pPr>
      <w:r>
        <w:rPr>
          <w:rFonts w:hint="eastAsia" w:ascii="方正仿宋_GB2312" w:hAnsi="方正仿宋_GB2312" w:eastAsia="方正仿宋_GB2312" w:cs="方正仿宋_GB2312"/>
          <w:b/>
          <w:bCs/>
          <w:kern w:val="0"/>
          <w:lang w:bidi="ar"/>
        </w:rPr>
        <w:t>台头化工园区（区块</w:t>
      </w:r>
      <w:r>
        <w:rPr>
          <w:rFonts w:hint="eastAsia" w:ascii="Times New Roman" w:hAnsi="Times New Roman" w:eastAsia="方正仿宋_GB2312" w:cs="Times New Roman"/>
          <w:b/>
          <w:bCs/>
          <w:kern w:val="0"/>
          <w:lang w:val="en-US" w:eastAsia="zh-CN" w:bidi="ar"/>
        </w:rPr>
        <w:t>10-11</w:t>
      </w:r>
      <w:r>
        <w:rPr>
          <w:rFonts w:hint="eastAsia" w:ascii="方正仿宋_GB2312" w:hAnsi="方正仿宋_GB2312" w:eastAsia="方正仿宋_GB2312" w:cs="方正仿宋_GB2312"/>
          <w:b/>
          <w:bCs/>
          <w:kern w:val="0"/>
          <w:lang w:bidi="ar"/>
        </w:rPr>
        <w:t>）</w:t>
      </w:r>
      <w:r>
        <w:rPr>
          <w:rFonts w:hint="eastAsia" w:ascii="方正仿宋_GB2312" w:hAnsi="方正仿宋_GB2312" w:eastAsia="方正仿宋_GB2312" w:cs="方正仿宋_GB2312"/>
          <w:b/>
          <w:bCs/>
          <w:kern w:val="0"/>
          <w:lang w:eastAsia="zh-CN" w:bidi="ar"/>
        </w:rPr>
        <w:t>。</w:t>
      </w:r>
      <w:r>
        <w:rPr>
          <w:rFonts w:hint="eastAsia" w:ascii="方正仿宋_GB2312" w:hAnsi="方正仿宋_GB2312" w:eastAsia="方正仿宋_GB2312" w:cs="方正仿宋_GB2312"/>
        </w:rPr>
        <w:t>以建成“特色精细化工产业园”为目标，围绕“高端化、精细化、绿色化”发展导向，依托本地丰富的硫化物、甲烷等资源，重点构建“硫系高附加值化学品、医药中间体、化工新材料”三大核心产业链。通过强化技术创新、发展循环经济、推动产业集群化，力争将园区打造为全国重要的特色精细化工产业基地，形成“资源-链主-高端产品”的完整产业闭环。</w:t>
      </w:r>
    </w:p>
    <w:p w14:paraId="513F1C8D">
      <w:pPr>
        <w:widowControl/>
        <w:ind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br w:type="page"/>
      </w:r>
    </w:p>
    <w:p w14:paraId="7D373F2F">
      <w:pPr>
        <w:ind w:firstLine="720"/>
        <w:jc w:val="center"/>
        <w:outlineLvl w:val="0"/>
        <w:rPr>
          <w:rFonts w:ascii="Times New Roman" w:hAnsi="Times New Roman" w:eastAsia="黑体"/>
          <w:bCs/>
          <w:sz w:val="36"/>
          <w:szCs w:val="36"/>
        </w:rPr>
      </w:pPr>
      <w:bookmarkStart w:id="40" w:name="_Toc20222"/>
      <w:bookmarkStart w:id="41" w:name="_Toc19017"/>
      <w:bookmarkStart w:id="42" w:name="_Toc26148"/>
      <w:r>
        <w:rPr>
          <w:rFonts w:hint="eastAsia" w:ascii="Times New Roman" w:hAnsi="Times New Roman" w:eastAsia="黑体" w:cs="Times New Roman"/>
          <w:bCs/>
          <w:sz w:val="36"/>
          <w:szCs w:val="36"/>
        </w:rPr>
        <w:t>第二章</w:t>
      </w:r>
      <w:r>
        <w:rPr>
          <w:rFonts w:hint="eastAsia"/>
          <w:bCs/>
          <w:kern w:val="36"/>
        </w:rPr>
        <w:t xml:space="preserve"> </w:t>
      </w:r>
      <w:r>
        <w:rPr>
          <w:rFonts w:hint="eastAsia" w:ascii="Times New Roman" w:hAnsi="Times New Roman" w:eastAsia="黑体" w:cs="Times New Roman"/>
          <w:bCs/>
          <w:sz w:val="36"/>
          <w:szCs w:val="36"/>
        </w:rPr>
        <w:t>构建特色优势现代化产业体系</w:t>
      </w:r>
      <w:bookmarkEnd w:id="40"/>
      <w:bookmarkEnd w:id="41"/>
      <w:bookmarkEnd w:id="42"/>
      <w:r>
        <w:rPr>
          <w:rFonts w:hint="eastAsia" w:ascii="Times New Roman" w:hAnsi="Times New Roman" w:eastAsia="黑体"/>
          <w:bCs/>
          <w:sz w:val="36"/>
          <w:szCs w:val="36"/>
        </w:rPr>
        <w:t xml:space="preserve">   </w:t>
      </w:r>
    </w:p>
    <w:p w14:paraId="4B7FF8D7">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立足区域资源禀赋、发挥阳城比较优势，</w:t>
      </w:r>
      <w:r>
        <w:rPr>
          <w:rFonts w:hint="eastAsia" w:ascii="方正仿宋_GB2312" w:hAnsi="方正仿宋_GB2312" w:eastAsia="方正仿宋_GB2312" w:cs="方正仿宋_GB2312"/>
          <w:bCs/>
        </w:rPr>
        <w:t>以产业链、专业镇、产业集群和园区作为重要载体，构建“点线面”一体推进、布局优化，</w:t>
      </w:r>
      <w:r>
        <w:rPr>
          <w:rFonts w:hint="eastAsia" w:ascii="方正仿宋_GB2312" w:hAnsi="方正仿宋_GB2312" w:eastAsia="方正仿宋_GB2312" w:cs="方正仿宋_GB2312"/>
        </w:rPr>
        <w:t>发挥特色优势、注重产业协同、优势互补的现代产业发展格局。</w:t>
      </w:r>
    </w:p>
    <w:p w14:paraId="077A393C">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以产业梯次发展和整体跃升为目标，统筹好政府引导和市场主导、增量引育和存量挖潜，加快构建以精细化工、陶瓷和加工制造业三大产业融合发展的产业体系。</w:t>
      </w:r>
    </w:p>
    <w:p w14:paraId="76F26033">
      <w:pPr>
        <w:keepNext w:val="0"/>
        <w:keepLines w:val="0"/>
        <w:pageBreakBefore w:val="0"/>
        <w:widowControl w:val="0"/>
        <w:kinsoku/>
        <w:wordWrap/>
        <w:overflowPunct/>
        <w:topLinePunct w:val="0"/>
        <w:autoSpaceDE/>
        <w:autoSpaceDN/>
        <w:bidi w:val="0"/>
        <w:adjustRightInd/>
        <w:snapToGrid/>
        <w:spacing w:before="156" w:beforeLines="50" w:after="156" w:afterLines="50"/>
        <w:ind w:firstLine="0" w:firstLineChars="0"/>
        <w:textAlignment w:val="auto"/>
        <w:outlineLvl w:val="1"/>
        <w:rPr>
          <w:rFonts w:ascii="Times New Roman" w:hAnsi="Times New Roman" w:eastAsia="楷体_GB2312"/>
          <w:b/>
          <w:spacing w:val="-6"/>
        </w:rPr>
      </w:pPr>
      <w:r>
        <w:rPr>
          <w:rFonts w:hint="eastAsia" w:ascii="Times New Roman" w:hAnsi="Times New Roman" w:eastAsia="楷体_GB2312"/>
          <w:b/>
          <w:spacing w:val="-6"/>
        </w:rPr>
        <w:t xml:space="preserve">      </w:t>
      </w:r>
      <w:bookmarkStart w:id="43" w:name="_Toc6742"/>
      <w:bookmarkStart w:id="44" w:name="_Toc30619"/>
      <w:bookmarkStart w:id="45" w:name="_Toc32378"/>
      <w:r>
        <w:rPr>
          <w:rFonts w:hint="eastAsia" w:ascii="Times New Roman" w:hAnsi="Times New Roman" w:eastAsia="楷体_GB2312"/>
          <w:b/>
          <w:bCs/>
        </w:rPr>
        <w:t>第一节   高起点布局精细化工 带动新兴产业发展</w:t>
      </w:r>
      <w:bookmarkEnd w:id="43"/>
      <w:bookmarkEnd w:id="44"/>
      <w:bookmarkEnd w:id="45"/>
    </w:p>
    <w:p w14:paraId="4B618794">
      <w:pPr>
        <w:keepNext w:val="0"/>
        <w:keepLines w:val="0"/>
        <w:pageBreakBefore w:val="0"/>
        <w:widowControl w:val="0"/>
        <w:numPr>
          <w:ilvl w:val="255"/>
          <w:numId w:val="0"/>
        </w:numPr>
        <w:suppressAutoHyphens/>
        <w:kinsoku/>
        <w:wordWrap/>
        <w:overflowPunct/>
        <w:topLinePunct w:val="0"/>
        <w:autoSpaceDE/>
        <w:autoSpaceDN/>
        <w:bidi w:val="0"/>
        <w:adjustRightInd/>
        <w:snapToGrid/>
        <w:ind w:firstLine="641"/>
        <w:jc w:val="left"/>
        <w:textAlignment w:val="auto"/>
        <w:rPr>
          <w:rFonts w:hint="eastAsia" w:ascii="Times New Roman" w:hAnsi="Times New Roman" w:eastAsia="方正仿宋_GB2312" w:cs="仿宋"/>
          <w:sz w:val="32"/>
        </w:rPr>
      </w:pPr>
      <w:r>
        <w:rPr>
          <w:rFonts w:hint="eastAsia" w:ascii="Times New Roman" w:hAnsi="Times New Roman" w:eastAsia="方正仿宋_GB2312"/>
          <w:sz w:val="32"/>
        </w:rPr>
        <w:t>以台头化工园区为龙头，结合阳城资源优势，聚力发展精细化工产业，带动加工制造产业和陶瓷产业发展。</w:t>
      </w:r>
      <w:r>
        <w:rPr>
          <w:rFonts w:hint="eastAsia" w:ascii="Times New Roman" w:hAnsi="Times New Roman" w:eastAsia="方正仿宋_GB2312" w:cs="仿宋"/>
          <w:sz w:val="32"/>
        </w:rPr>
        <w:t>阳城台头化工园区依托阳城县丰富的煤层气、二硫化碳及副产硫化氢产业优势，和邻近周边的煤化工产品，规划硫系高附加值化学品、高端农药医药中间体精细化学品和化工新材料产品等重点产业，以高端化、精细化、绿色化为导向，大力发展高端精细化工产品，打造具有核心竞争力的高端精细化工产业基地，通过技术创新驱动、绿色低碳工艺转型和产业集群化发展，构建“资源—中间体—高端产品”一体化产业体系，形成资源高效利用、技术领先、环境友好的现代化工产业格局，成为区域经济高质量发展的新引擎。到2030年，将布局固态电池、聚苯硫醚（PPS）、高端医药化学品等产品，进一步完善产品结构，园区总产值突破100亿元，形成国家级精细化工产业集群，成为晋城市乃至山西省精细化工产业的核心增长极。”</w:t>
      </w:r>
    </w:p>
    <w:p w14:paraId="779B06C3">
      <w:pPr>
        <w:suppressAutoHyphens/>
        <w:snapToGrid w:val="0"/>
        <w:spacing w:line="360" w:lineRule="auto"/>
        <w:ind w:firstLine="643"/>
        <w:rPr>
          <w:rFonts w:hint="eastAsia" w:ascii="Times New Roman" w:hAnsi="Times New Roman" w:eastAsia="方正仿宋_GB2312" w:cs="仿宋"/>
          <w:sz w:val="32"/>
        </w:rPr>
      </w:pPr>
      <w:r>
        <w:rPr>
          <w:rFonts w:hint="eastAsia" w:ascii="Times New Roman" w:hAnsi="Times New Roman" w:eastAsia="方正仿宋_GB2312"/>
          <w:b/>
          <w:bCs/>
          <w:sz w:val="32"/>
        </w:rPr>
        <w:t>打造精细化工增长极。</w:t>
      </w:r>
      <w:r>
        <w:rPr>
          <w:rFonts w:hint="eastAsia" w:ascii="Times New Roman" w:hAnsi="Times New Roman" w:eastAsia="方正仿宋_GB2312"/>
          <w:sz w:val="32"/>
        </w:rPr>
        <w:t>发挥产业协同效应，以精细化工产业引领带动先进制造和</w:t>
      </w:r>
      <w:r>
        <w:rPr>
          <w:rFonts w:hint="eastAsia" w:ascii="Times New Roman" w:hAnsi="Times New Roman" w:eastAsia="方正仿宋_GB2312"/>
          <w:sz w:val="32"/>
          <w:lang w:val="en-US" w:eastAsia="zh-CN"/>
        </w:rPr>
        <w:t>陶瓷</w:t>
      </w:r>
      <w:r>
        <w:rPr>
          <w:rFonts w:hint="eastAsia" w:ascii="Times New Roman" w:hAnsi="Times New Roman" w:eastAsia="方正仿宋_GB2312"/>
          <w:sz w:val="32"/>
        </w:rPr>
        <w:t>产业</w:t>
      </w:r>
      <w:r>
        <w:rPr>
          <w:rFonts w:hint="eastAsia" w:ascii="Times New Roman" w:hAnsi="Times New Roman" w:eastAsia="方正仿宋_GB2312"/>
          <w:sz w:val="32"/>
          <w:lang w:val="en-US" w:eastAsia="zh-CN"/>
        </w:rPr>
        <w:t>协同发展</w:t>
      </w:r>
      <w:r>
        <w:rPr>
          <w:rFonts w:hint="eastAsia" w:ascii="Times New Roman" w:hAnsi="Times New Roman" w:eastAsia="方正仿宋_GB2312"/>
          <w:sz w:val="32"/>
        </w:rPr>
        <w:t>。聚焦新能源和电子信息产业需求，梳理电子化工应用场景，锚定硫化物比较优势，</w:t>
      </w:r>
      <w:r>
        <w:rPr>
          <w:rFonts w:hint="eastAsia" w:ascii="Times New Roman" w:hAnsi="Times New Roman" w:eastAsia="方正仿宋_GB2312" w:cs="仿宋"/>
          <w:sz w:val="32"/>
        </w:rPr>
        <w:t>重点谋划发展医药中间体化工新材料和产业链。以硫化锂固态电解质中试基地项目为牵引，以精细化工高质量发展牵引加工制造和</w:t>
      </w:r>
      <w:r>
        <w:rPr>
          <w:rFonts w:hint="eastAsia" w:ascii="Times New Roman" w:hAnsi="Times New Roman" w:eastAsia="方正仿宋_GB2312" w:cs="仿宋"/>
          <w:sz w:val="32"/>
          <w:lang w:val="en-US" w:eastAsia="zh-CN"/>
        </w:rPr>
        <w:t>陶瓷</w:t>
      </w:r>
      <w:r>
        <w:rPr>
          <w:rFonts w:hint="eastAsia" w:ascii="Times New Roman" w:hAnsi="Times New Roman" w:eastAsia="方正仿宋_GB2312" w:cs="仿宋"/>
          <w:sz w:val="32"/>
        </w:rPr>
        <w:t>产业。瞄准新能源、加工制造、半导体等战略性新兴产业的材料需求，重点发展硫化锂新能源固态电池等含硫有机硅新材料、电解质等化工新材料，满足新能源、新材料等领域的特殊需求。</w:t>
      </w:r>
    </w:p>
    <w:p w14:paraId="115F6A6B">
      <w:pPr>
        <w:suppressAutoHyphens/>
        <w:snapToGrid w:val="0"/>
        <w:spacing w:line="360" w:lineRule="auto"/>
        <w:ind w:firstLine="643"/>
        <w:rPr>
          <w:rFonts w:hint="eastAsia" w:ascii="Times New Roman" w:hAnsi="Times New Roman" w:eastAsia="方正仿宋_GB2312" w:cs="仿宋"/>
          <w:sz w:val="32"/>
        </w:rPr>
      </w:pPr>
      <w:r>
        <w:rPr>
          <w:rFonts w:hint="eastAsia" w:ascii="Times New Roman" w:hAnsi="Times New Roman" w:eastAsia="方正仿宋_GB2312" w:cs="仿宋"/>
          <w:b/>
          <w:bCs/>
          <w:sz w:val="32"/>
        </w:rPr>
        <w:t>打造硫系高附加值化学品产业链。</w:t>
      </w:r>
      <w:r>
        <w:rPr>
          <w:rFonts w:hint="eastAsia" w:ascii="Times New Roman" w:hAnsi="Times New Roman" w:eastAsia="方正仿宋_GB2312" w:cs="仿宋"/>
          <w:sz w:val="32"/>
        </w:rPr>
        <w:t>延伸硫化物深加工，</w:t>
      </w:r>
      <w:bookmarkStart w:id="46" w:name="_Hlk235053711"/>
      <w:r>
        <w:rPr>
          <w:rFonts w:hint="eastAsia" w:ascii="Times New Roman" w:hAnsi="Times New Roman" w:eastAsia="方正仿宋_GB2312" w:cs="仿宋"/>
          <w:sz w:val="32"/>
        </w:rPr>
        <w:t>以丰富的硫化物资源为核心，重点发展硫系高附加值化学品</w:t>
      </w:r>
      <w:bookmarkEnd w:id="46"/>
      <w:r>
        <w:rPr>
          <w:rFonts w:hint="eastAsia" w:ascii="Times New Roman" w:hAnsi="Times New Roman" w:eastAsia="方正仿宋_GB2312" w:cs="仿宋"/>
          <w:sz w:val="32"/>
        </w:rPr>
        <w:t>产业链，通过技术创新和工艺升级，并布局硫基医药中间体、农药助剂、橡胶助剂等高附加值产品。聚焦资源高效整合和绿色工艺推广，构建“硫化物—医药中间体—新材料”等高效转化路径，同时开发3-巯基丙酸乙酯、硫脲等关键中间体，满足医药、农药、高分子材料等领域需求。突破包括不对称硫化、定向硫醚化等关键技术工艺，推动氘代二甲基亚砜（DMSO-d6）等高端产品的量产，填补国内高端含硫精细化学品的供应缺口。到2030年形成年产值百亿元的硫化工产业集群，资源利用率≥95%，能耗降低30%，并实现园区原料100%循环利用。</w:t>
      </w:r>
    </w:p>
    <w:p w14:paraId="14823CDA">
      <w:pPr>
        <w:ind w:firstLine="643"/>
        <w:rPr>
          <w:rFonts w:hint="eastAsia" w:ascii="Times New Roman" w:hAnsi="Times New Roman" w:eastAsia="方正仿宋_GB2312"/>
          <w:sz w:val="32"/>
        </w:rPr>
      </w:pPr>
      <w:r>
        <w:rPr>
          <w:rFonts w:hint="eastAsia" w:ascii="Times New Roman" w:hAnsi="Times New Roman" w:eastAsia="方正仿宋_GB2312"/>
          <w:b/>
          <w:bCs/>
          <w:sz w:val="32"/>
        </w:rPr>
        <w:t>聚焦高端农药医药中间体精细化学品。</w:t>
      </w:r>
      <w:r>
        <w:rPr>
          <w:rFonts w:hint="eastAsia" w:ascii="Times New Roman" w:hAnsi="Times New Roman" w:eastAsia="方正仿宋_GB2312"/>
          <w:sz w:val="32"/>
        </w:rPr>
        <w:t>深耕细分市场，打造高技术壁垒产品。聚焦硫系高附加值化学品、高端农药</w:t>
      </w:r>
    </w:p>
    <w:p w14:paraId="63653097">
      <w:pPr>
        <w:ind w:firstLine="0" w:firstLineChars="0"/>
        <w:rPr>
          <w:rFonts w:hint="eastAsia" w:ascii="Times New Roman" w:hAnsi="Times New Roman" w:eastAsia="方正仿宋_GB2312" w:cs="仿宋"/>
          <w:sz w:val="32"/>
        </w:rPr>
      </w:pPr>
      <w:r>
        <w:rPr>
          <w:rFonts w:hint="eastAsia" w:ascii="Times New Roman" w:hAnsi="Times New Roman" w:eastAsia="方正仿宋_GB2312" w:cs="仿宋"/>
          <w:sz w:val="32"/>
        </w:rPr>
        <w:t>医药中间体精细化学品和化工新材料产品，通过产学研协同创新，攻克抗肿瘤、抗病毒药物关键中间体（如奥拉帕利、吉非替尼）的合成技术，同时布局氘代试剂、核磁共振标准试剂等高端辅助材料。强调“专而精”的细分市场深耕，针对含硫精细化学品和高纯试剂领域的技术难点，产业方向包括硫醇胺化系列产品（乙硫醇胺、正丁硫醇胺）、硫脲下游高附加值产品（甲基硫菌灵杀菌剂、乙烯基硫脲硫化促进剂）以及橡胶助剂（NOBS、促进剂M）等。发展目标到2025年实现精细化工产业规模突破百亿元，形成资源集约、绿色低碳的现代化工产业体系，打造国家级精细化工产业示范基地。</w:t>
      </w:r>
    </w:p>
    <w:p w14:paraId="3C05EFF1">
      <w:pPr>
        <w:ind w:firstLine="643"/>
        <w:rPr>
          <w:rFonts w:hint="eastAsia" w:ascii="Times New Roman" w:hAnsi="Times New Roman" w:eastAsia="方正仿宋_GB2312"/>
          <w:sz w:val="32"/>
        </w:rPr>
      </w:pPr>
      <w:r>
        <w:rPr>
          <w:rFonts w:hint="eastAsia" w:ascii="Times New Roman" w:hAnsi="Times New Roman" w:eastAsia="方正仿宋_GB2312"/>
          <w:b/>
          <w:bCs/>
          <w:sz w:val="32"/>
        </w:rPr>
        <w:t>打造化工新材料产业链。</w:t>
      </w:r>
      <w:r>
        <w:rPr>
          <w:rFonts w:hint="eastAsia" w:ascii="Times New Roman" w:hAnsi="Times New Roman" w:eastAsia="方正仿宋_GB2312"/>
          <w:sz w:val="32"/>
        </w:rPr>
        <w:t>布局高端材料研发，紧抓新能源汽车、高端装备制造、光伏风电等战略性新兴产业的材料需求，重点发展碳纳米管、固态电池、新材料等高端化工新材料，推动园区化工新材料产业向高端化、专用化转型。</w:t>
      </w:r>
    </w:p>
    <w:p w14:paraId="4AD2B748">
      <w:pPr>
        <w:widowControl/>
        <w:ind w:firstLine="643"/>
        <w:jc w:val="left"/>
        <w:rPr>
          <w:rFonts w:hint="eastAsia"/>
        </w:rPr>
      </w:pPr>
      <w:r>
        <w:rPr>
          <w:rFonts w:hint="eastAsia" w:ascii="Times New Roman" w:hAnsi="Times New Roman" w:eastAsia="方正仿宋_GB2312"/>
          <w:b/>
          <w:bCs/>
          <w:sz w:val="32"/>
        </w:rPr>
        <w:t>打造特色化工范园区。</w:t>
      </w:r>
      <w:r>
        <w:rPr>
          <w:rFonts w:hint="eastAsia" w:ascii="Times New Roman" w:hAnsi="Times New Roman" w:eastAsia="方正仿宋_GB2312"/>
          <w:sz w:val="32"/>
        </w:rPr>
        <w:t>“资源高效利用、环境友好发展、负碳循环示范”为核心理念，立足于园区硫化工产业特色和</w:t>
      </w:r>
      <w:r>
        <w:rPr>
          <w:rFonts w:hint="eastAsia" w:ascii="Times New Roman" w:hAnsi="Times New Roman"/>
          <w:sz w:val="32"/>
        </w:rPr>
        <w:t>区域资源优势，配套打造特色精细化工产业园，打造山西智能示范园区。到2030年，园区废水回用率≥95%，VOCs治理效率≥95%，单位产值能耗降低25%，减少碳排放减少50万吨/年，固废资源化利用率达95%以上，园区碳汇能力提升20%。将建成“资源-生产-回收-再利用”的全链条循环经济模式，实现从“资源消耗型”向“资源循环型”的转变。园区将构建“资源循环利用体系”、“余热废气资源化系统”、“水资源循环利用网络”和“废盐资源化利用体系”四大核心系统，形成“生产-回收-再利用”的闭环生态。</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4DDE19D8">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c>
          <w:tcPr>
            <w:tcW w:w="5000" w:type="pct"/>
            <w:noWrap w:val="0"/>
            <w:vAlign w:val="center"/>
          </w:tcPr>
          <w:p w14:paraId="126B83A8">
            <w:pPr>
              <w:widowControl/>
              <w:adjustRightInd w:val="0"/>
              <w:jc w:val="center"/>
              <w:rPr>
                <w:rFonts w:hint="default" w:ascii="黑体" w:hAnsi="黑体" w:eastAsia="黑体" w:cs="黑体"/>
                <w:sz w:val="22"/>
                <w:szCs w:val="22"/>
                <w:shd w:val="clear" w:color="auto" w:fill="FFFFFF"/>
                <w:lang w:val="en-US" w:eastAsia="zh-CN"/>
              </w:rPr>
            </w:pPr>
            <w:r>
              <w:rPr>
                <w:rFonts w:hint="eastAsia" w:ascii="黑体" w:hAnsi="黑体" w:eastAsia="黑体" w:cs="黑体"/>
                <w:sz w:val="28"/>
                <w:szCs w:val="28"/>
              </w:rPr>
              <w:t xml:space="preserve">专栏1  </w:t>
            </w:r>
            <w:r>
              <w:rPr>
                <w:rFonts w:hint="eastAsia" w:ascii="黑体" w:hAnsi="黑体" w:eastAsia="黑体" w:cs="黑体"/>
                <w:sz w:val="28"/>
                <w:szCs w:val="28"/>
                <w:lang w:val="en-US" w:eastAsia="zh-CN"/>
              </w:rPr>
              <w:t>精细化工产业跃升行动</w:t>
            </w:r>
          </w:p>
        </w:tc>
      </w:tr>
      <w:tr w14:paraId="7D0984E3">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557" w:hRule="atLeast"/>
        </w:trPr>
        <w:tc>
          <w:tcPr>
            <w:tcW w:w="5000" w:type="pct"/>
            <w:noWrap w:val="0"/>
            <w:vAlign w:val="center"/>
          </w:tcPr>
          <w:p w14:paraId="56CD9E1A">
            <w:pPr>
              <w:overflowPunct w:val="0"/>
              <w:spacing w:line="460" w:lineRule="exact"/>
              <w:ind w:firstLine="562" w:firstLineChars="200"/>
              <w:rPr>
                <w:rFonts w:hint="eastAsia" w:ascii="Times New Roman" w:hAnsi="Times New Roman" w:eastAsia="仿宋_GB2312"/>
                <w:sz w:val="28"/>
                <w:szCs w:val="28"/>
              </w:rPr>
            </w:pPr>
            <w:r>
              <w:rPr>
                <w:rFonts w:hint="eastAsia" w:ascii="Times New Roman" w:hAnsi="Times New Roman" w:eastAsia="仿宋_GB2312"/>
                <w:b/>
                <w:bCs/>
                <w:sz w:val="28"/>
                <w:szCs w:val="28"/>
              </w:rPr>
              <w:t>硫系化学品产业链。</w:t>
            </w:r>
            <w:r>
              <w:rPr>
                <w:rFonts w:hint="eastAsia" w:ascii="Times New Roman" w:hAnsi="Times New Roman" w:eastAsia="仿宋_GB2312"/>
                <w:sz w:val="28"/>
                <w:szCs w:val="28"/>
              </w:rPr>
              <w:t>以丰富的硫化物资源为核心，重点发展硫系高附加值化学品及硫醇、硫醚等产品，填补国内高端含硫精细化学品供应缺口。</w:t>
            </w:r>
          </w:p>
          <w:p w14:paraId="0771D40D">
            <w:pPr>
              <w:overflowPunct w:val="0"/>
              <w:spacing w:line="460" w:lineRule="exact"/>
              <w:ind w:firstLine="562" w:firstLineChars="200"/>
              <w:rPr>
                <w:rFonts w:hint="eastAsia" w:ascii="Times New Roman" w:hAnsi="Times New Roman" w:eastAsia="仿宋_GB2312"/>
                <w:sz w:val="28"/>
                <w:szCs w:val="28"/>
                <w:lang w:val="en-US" w:eastAsia="zh-CN"/>
              </w:rPr>
            </w:pPr>
            <w:r>
              <w:rPr>
                <w:rFonts w:hint="eastAsia" w:ascii="Times New Roman" w:hAnsi="Times New Roman" w:eastAsia="仿宋_GB2312"/>
                <w:b/>
                <w:bCs/>
                <w:sz w:val="28"/>
                <w:szCs w:val="28"/>
                <w:lang w:val="en-US" w:eastAsia="zh-CN"/>
              </w:rPr>
              <w:t>医药中间体产业链。</w:t>
            </w:r>
            <w:r>
              <w:rPr>
                <w:rFonts w:hint="eastAsia" w:ascii="Times New Roman" w:hAnsi="Times New Roman" w:eastAsia="仿宋_GB2312"/>
                <w:sz w:val="28"/>
                <w:szCs w:val="28"/>
                <w:lang w:val="en-US" w:eastAsia="zh-CN"/>
              </w:rPr>
              <w:t>聚焦高壁垒、高附加值产品，落地一批关键技术产业项目。</w:t>
            </w:r>
          </w:p>
          <w:p w14:paraId="48C6ABCB">
            <w:pPr>
              <w:overflowPunct w:val="0"/>
              <w:spacing w:line="460" w:lineRule="exact"/>
              <w:ind w:firstLine="562" w:firstLineChars="200"/>
              <w:rPr>
                <w:rFonts w:ascii="Times New Roman" w:hAnsi="Times New Roman" w:eastAsia="仿宋_GB2312"/>
                <w:sz w:val="28"/>
                <w:szCs w:val="28"/>
              </w:rPr>
            </w:pPr>
            <w:r>
              <w:rPr>
                <w:rFonts w:hint="eastAsia" w:ascii="Times New Roman" w:hAnsi="Times New Roman" w:eastAsia="仿宋_GB2312"/>
                <w:b/>
                <w:bCs/>
                <w:sz w:val="28"/>
                <w:szCs w:val="28"/>
                <w:lang w:val="en-US" w:eastAsia="zh-CN"/>
              </w:rPr>
              <w:t>化工新材料产业链。</w:t>
            </w:r>
            <w:r>
              <w:rPr>
                <w:rFonts w:hint="eastAsia" w:ascii="Times New Roman" w:hAnsi="Times New Roman" w:eastAsia="仿宋_GB2312"/>
                <w:sz w:val="28"/>
                <w:szCs w:val="28"/>
                <w:lang w:val="en-US" w:eastAsia="zh-CN"/>
              </w:rPr>
              <w:t>紧密对接新能源产业链需求，发展高端功能材料产业</w:t>
            </w:r>
            <w:r>
              <w:rPr>
                <w:rFonts w:hint="eastAsia" w:ascii="Times New Roman" w:hAnsi="Times New Roman"/>
                <w:sz w:val="28"/>
                <w:szCs w:val="28"/>
                <w:lang w:val="en-US" w:eastAsia="zh-CN"/>
              </w:rPr>
              <w:t>。</w:t>
            </w:r>
          </w:p>
          <w:p w14:paraId="11F29C59">
            <w:pPr>
              <w:overflowPunct w:val="0"/>
              <w:spacing w:line="460" w:lineRule="exact"/>
              <w:ind w:firstLine="562" w:firstLineChars="200"/>
              <w:rPr>
                <w:rFonts w:hint="eastAsia" w:eastAsia="仿宋_GB2312"/>
                <w:lang w:val="en-US" w:eastAsia="zh-CN"/>
              </w:rPr>
            </w:pPr>
            <w:r>
              <w:rPr>
                <w:rFonts w:hint="eastAsia" w:ascii="Times New Roman" w:hAnsi="Times New Roman"/>
                <w:b/>
                <w:bCs/>
                <w:sz w:val="28"/>
                <w:szCs w:val="28"/>
                <w:lang w:val="en-US" w:eastAsia="zh-CN"/>
              </w:rPr>
              <w:t>重点项目：</w:t>
            </w:r>
            <w:r>
              <w:rPr>
                <w:rFonts w:hint="eastAsia" w:ascii="Times New Roman" w:hAnsi="Times New Roman" w:eastAsia="仿宋_GB2312"/>
                <w:sz w:val="28"/>
                <w:szCs w:val="28"/>
                <w:lang w:val="en-US" w:eastAsia="zh-CN"/>
              </w:rPr>
              <w:t>台头化工园区基础设施建设项目、山西恒宇清晖公司烷基苯项目、硫化锂五硫化二磷新能源固态电池项目、义云工贸公司硫氰酸铵项目</w:t>
            </w:r>
            <w:r>
              <w:rPr>
                <w:rFonts w:hint="eastAsia" w:ascii="Times New Roman" w:hAnsi="Times New Roman"/>
                <w:sz w:val="28"/>
                <w:szCs w:val="28"/>
                <w:lang w:val="en-US" w:eastAsia="zh-CN"/>
              </w:rPr>
              <w:t>。</w:t>
            </w:r>
          </w:p>
        </w:tc>
      </w:tr>
    </w:tbl>
    <w:p w14:paraId="416471EB">
      <w:pPr>
        <w:spacing w:line="600" w:lineRule="exact"/>
        <w:ind w:firstLine="643"/>
        <w:jc w:val="center"/>
        <w:outlineLvl w:val="1"/>
        <w:rPr>
          <w:rFonts w:ascii="Times New Roman" w:hAnsi="Times New Roman" w:eastAsia="楷体_GB2312"/>
          <w:b/>
          <w:bCs/>
        </w:rPr>
      </w:pPr>
      <w:bookmarkStart w:id="47" w:name="_Toc1845"/>
      <w:bookmarkStart w:id="48" w:name="_Toc3122"/>
      <w:bookmarkStart w:id="49" w:name="_Toc8303"/>
      <w:r>
        <w:rPr>
          <w:rFonts w:hint="eastAsia" w:ascii="Times New Roman" w:hAnsi="Times New Roman" w:eastAsia="楷体_GB2312"/>
          <w:b/>
          <w:bCs/>
        </w:rPr>
        <w:t>第二节  提效挖潜陶瓷产业 引领传统产业升级</w:t>
      </w:r>
      <w:bookmarkEnd w:id="47"/>
      <w:bookmarkEnd w:id="48"/>
      <w:bookmarkEnd w:id="49"/>
    </w:p>
    <w:p w14:paraId="6E3519F3">
      <w:pPr>
        <w:widowControl/>
        <w:ind w:firstLine="640"/>
        <w:jc w:val="left"/>
        <w:rPr>
          <w:rFonts w:ascii="Times New Roman" w:hAnsi="Times New Roman" w:eastAsia="方正仿宋_GB2312"/>
        </w:rPr>
      </w:pPr>
      <w:r>
        <w:rPr>
          <w:rFonts w:hint="eastAsia" w:ascii="方正仿宋_GB2312" w:hAnsi="方正仿宋_GB2312" w:eastAsia="方正仿宋_GB2312" w:cs="方正仿宋_GB2312"/>
        </w:rPr>
        <w:t>坚持陶瓷主导产业定位，坚持强链补链、精准发力，聚焦“保产能、提效能、挖潜能、强动能”四大核心方向，加快推动陶瓷产业布局优化、链条延伸、绿色改造、数智赋能、产品迭代，提升发展质量和效益。做强建筑陶瓷、做优琉璃、</w:t>
      </w:r>
      <w:r>
        <w:rPr>
          <w:rFonts w:hint="eastAsia" w:ascii="Times New Roman" w:hAnsi="Times New Roman" w:eastAsia="方正仿宋_GB2312"/>
        </w:rPr>
        <w:t>做大固体废弃物资源化利用、发展先进陶瓷，构建以建筑陶瓷为主体，固体废弃物资源资源利用为重要增长极，先进陶瓷为重要补充，琉璃和配套产业为重要支撑的现代陶瓷产业体系。力争到2030年末，陶瓷产业总产值达到35亿元(建筑陶瓷25亿元、琉璃制品3亿元、固废资源化利用产业4亿元、先进陶瓷及陶瓷配套产业3亿元)</w:t>
      </w:r>
      <w:r>
        <w:rPr>
          <w:rFonts w:hint="eastAsia" w:ascii="Times New Roman" w:hAnsi="Times New Roman" w:eastAsia="方正仿宋_GB2312"/>
          <w:lang w:eastAsia="zh-CN"/>
        </w:rPr>
        <w:t>，</w:t>
      </w:r>
      <w:r>
        <w:rPr>
          <w:rFonts w:ascii="Times New Roman" w:hAnsi="Times New Roman" w:eastAsia="方正仿宋_GB2312"/>
          <w:color w:val="000000"/>
          <w:kern w:val="0"/>
          <w:sz w:val="31"/>
          <w:szCs w:val="31"/>
          <w:lang w:bidi="ar"/>
        </w:rPr>
        <w:t>将阳城开发区打造成为具有循环经济理念和鲜明特色文化内涵的“华北地区建筑陶瓷产业和集散基地”“华北地区建筑琉璃制品特色产业基地”“华北地区先进陶瓷新材料产业基地”</w:t>
      </w:r>
      <w:r>
        <w:rPr>
          <w:rFonts w:hint="eastAsia" w:ascii="Times New Roman" w:hAnsi="Times New Roman" w:eastAsia="方正仿宋_GB2312"/>
        </w:rPr>
        <w:t>。</w:t>
      </w:r>
    </w:p>
    <w:p w14:paraId="0631633C">
      <w:pPr>
        <w:widowControl/>
        <w:ind w:firstLine="643"/>
        <w:jc w:val="left"/>
        <w:rPr>
          <w:rFonts w:ascii="Times New Roman" w:hAnsi="Times New Roman" w:eastAsia="方正仿宋_GB2312" w:cs="Times New Roman"/>
        </w:rPr>
      </w:pPr>
      <w:r>
        <w:rPr>
          <w:rFonts w:hint="eastAsia" w:ascii="Times New Roman" w:hAnsi="Times New Roman" w:eastAsia="方正仿宋_GB2312"/>
          <w:b/>
          <w:bCs/>
        </w:rPr>
        <w:t>优化</w:t>
      </w:r>
      <w:r>
        <w:rPr>
          <w:rFonts w:ascii="Times New Roman" w:hAnsi="Times New Roman" w:eastAsia="方正仿宋_GB2312"/>
          <w:b/>
          <w:bCs/>
        </w:rPr>
        <w:t>陶瓷</w:t>
      </w:r>
      <w:r>
        <w:rPr>
          <w:rFonts w:hint="eastAsia" w:ascii="Times New Roman" w:hAnsi="Times New Roman" w:eastAsia="方正仿宋_GB2312"/>
          <w:b/>
          <w:bCs/>
        </w:rPr>
        <w:t>产业结构</w:t>
      </w:r>
      <w:r>
        <w:rPr>
          <w:rFonts w:ascii="Times New Roman" w:hAnsi="Times New Roman" w:eastAsia="方正仿宋_GB2312"/>
          <w:b/>
          <w:bCs/>
        </w:rPr>
        <w:t>。</w:t>
      </w:r>
      <w:r>
        <w:rPr>
          <w:rFonts w:hint="eastAsia" w:ascii="Times New Roman" w:hAnsi="Times New Roman" w:eastAsia="方正仿宋_GB2312" w:cs="仿宋"/>
        </w:rPr>
        <w:t>形成高端化、功能化、系列化产品格局，中高档陶瓷产品占地区陶瓷总产量的90%，</w:t>
      </w:r>
      <w:r>
        <w:rPr>
          <w:rFonts w:hint="eastAsia" w:ascii="Times New Roman" w:hAnsi="Times New Roman" w:eastAsia="方正仿宋_GB2312" w:cs="仿宋"/>
          <w:lang w:val="en-US" w:eastAsia="zh-CN"/>
        </w:rPr>
        <w:t>力争</w:t>
      </w:r>
      <w:r>
        <w:rPr>
          <w:rFonts w:hint="eastAsia" w:ascii="Times New Roman" w:hAnsi="Times New Roman" w:eastAsia="方正仿宋_GB2312" w:cs="仿宋"/>
        </w:rPr>
        <w:t>特种陶瓷及陶瓷新型无机非技术新材料对行业贡献达到20%。</w:t>
      </w:r>
      <w:r>
        <w:rPr>
          <w:rFonts w:ascii="Times New Roman" w:hAnsi="Times New Roman" w:eastAsia="方正仿宋_GB2312"/>
          <w:color w:val="000000"/>
          <w:kern w:val="0"/>
          <w:sz w:val="31"/>
          <w:szCs w:val="31"/>
          <w:lang w:bidi="ar"/>
        </w:rPr>
        <w:t>加快推进安阳现代陶瓷产业园基础能力建设，同步推进阳城苏州智慧产业园的建设，</w:t>
      </w:r>
      <w:r>
        <w:rPr>
          <w:rFonts w:hint="eastAsia" w:ascii="Times New Roman" w:hAnsi="Times New Roman" w:eastAsia="方正仿宋_GB2312" w:cs="Times New Roman"/>
        </w:rPr>
        <w:t>发挥</w:t>
      </w:r>
      <w:r>
        <w:rPr>
          <w:rFonts w:ascii="Times New Roman" w:hAnsi="Times New Roman" w:eastAsia="方正仿宋_GB2312" w:cs="Times New Roman"/>
        </w:rPr>
        <w:t>福龙、</w:t>
      </w:r>
      <w:r>
        <w:rPr>
          <w:rFonts w:hint="eastAsia" w:ascii="Times New Roman" w:hAnsi="Times New Roman" w:eastAsia="方正仿宋_GB2312" w:cs="Times New Roman"/>
        </w:rPr>
        <w:t>华冠</w:t>
      </w:r>
      <w:r>
        <w:rPr>
          <w:rFonts w:ascii="Times New Roman" w:hAnsi="Times New Roman" w:eastAsia="方正仿宋_GB2312" w:cs="Times New Roman"/>
        </w:rPr>
        <w:t>等</w:t>
      </w:r>
      <w:r>
        <w:rPr>
          <w:rFonts w:hint="eastAsia" w:ascii="Times New Roman" w:hAnsi="Times New Roman" w:eastAsia="方正仿宋_GB2312" w:cs="Times New Roman"/>
        </w:rPr>
        <w:t>龙头企业带动效应，推进产业链现代化。</w:t>
      </w:r>
    </w:p>
    <w:p w14:paraId="2FB8B443">
      <w:pPr>
        <w:widowControl/>
        <w:ind w:firstLine="643"/>
        <w:jc w:val="left"/>
        <w:rPr>
          <w:rFonts w:ascii="Times New Roman" w:hAnsi="Times New Roman" w:eastAsia="方正仿宋_GB2312"/>
        </w:rPr>
      </w:pPr>
      <w:r>
        <w:rPr>
          <w:rFonts w:hint="eastAsia" w:ascii="Times New Roman" w:hAnsi="Times New Roman" w:eastAsia="方正仿宋_GB2312"/>
          <w:b/>
          <w:bCs/>
        </w:rPr>
        <w:t>做强建筑陶瓷。</w:t>
      </w:r>
      <w:r>
        <w:rPr>
          <w:rFonts w:hint="eastAsia" w:ascii="Times New Roman" w:hAnsi="Times New Roman" w:eastAsia="方正仿宋_GB2312"/>
        </w:rPr>
        <w:t>围绕“控规模、抓研发、提质量、树品牌”，通过淘汰落后，改造提升与引进先进</w:t>
      </w:r>
      <w:r>
        <w:rPr>
          <w:rFonts w:hint="eastAsia" w:ascii="Times New Roman" w:hAnsi="Times New Roman" w:eastAsia="方正仿宋_GB2312"/>
          <w:lang w:eastAsia="zh-CN"/>
        </w:rPr>
        <w:t>，</w:t>
      </w:r>
      <w:r>
        <w:rPr>
          <w:rFonts w:hint="eastAsia" w:ascii="Times New Roman" w:hAnsi="Times New Roman" w:eastAsia="方正仿宋_GB2312"/>
          <w:lang w:val="en-US" w:eastAsia="zh-CN"/>
        </w:rPr>
        <w:t>多措</w:t>
      </w:r>
      <w:r>
        <w:rPr>
          <w:rFonts w:hint="eastAsia" w:ascii="Times New Roman" w:hAnsi="Times New Roman" w:eastAsia="方正仿宋_GB2312"/>
        </w:rPr>
        <w:t>并举，强化技术进步和创意设计的推动作用，稳定建筑陶瓷产能利用率，盘活僵尸企业，保持综合成本优势，提高公共服务平台效能，加强产地品牌培育，推动实现建筑陶瓷行业的发展方式的转变，加快行业发展提质量、增效益、上台阶。到2030年，</w:t>
      </w:r>
      <w:r>
        <w:rPr>
          <w:rFonts w:ascii="Times New Roman" w:hAnsi="Times New Roman" w:eastAsia="方正仿宋_GB2312"/>
          <w:color w:val="000000"/>
          <w:kern w:val="0"/>
          <w:sz w:val="31"/>
          <w:szCs w:val="31"/>
          <w:lang w:bidi="ar"/>
        </w:rPr>
        <w:t>建筑陶瓷行业增加值增速保持在</w:t>
      </w:r>
      <w:r>
        <w:rPr>
          <w:rFonts w:ascii="Times New Roman" w:hAnsi="Times New Roman" w:eastAsia="方正仿宋_GB2312" w:cs="Times New Roman"/>
          <w:color w:val="000000"/>
          <w:kern w:val="0"/>
          <w:sz w:val="31"/>
          <w:szCs w:val="31"/>
          <w:lang w:bidi="ar"/>
        </w:rPr>
        <w:t>5%</w:t>
      </w:r>
      <w:r>
        <w:rPr>
          <w:rFonts w:ascii="Times New Roman" w:hAnsi="Times New Roman" w:eastAsia="方正仿宋_GB2312"/>
          <w:color w:val="000000"/>
          <w:kern w:val="0"/>
          <w:sz w:val="31"/>
          <w:szCs w:val="31"/>
          <w:lang w:bidi="ar"/>
        </w:rPr>
        <w:t>以上</w:t>
      </w:r>
      <w:r>
        <w:rPr>
          <w:rFonts w:hint="eastAsia" w:ascii="Times New Roman" w:hAnsi="Times New Roman" w:eastAsia="方正仿宋_GB2312"/>
          <w:color w:val="000000"/>
          <w:kern w:val="0"/>
          <w:sz w:val="31"/>
          <w:szCs w:val="31"/>
          <w:lang w:bidi="ar"/>
        </w:rPr>
        <w:t>，</w:t>
      </w:r>
      <w:r>
        <w:rPr>
          <w:rFonts w:ascii="Times New Roman" w:hAnsi="Times New Roman" w:eastAsia="方正仿宋_GB2312"/>
          <w:color w:val="000000"/>
          <w:kern w:val="0"/>
          <w:sz w:val="31"/>
          <w:szCs w:val="31"/>
          <w:lang w:bidi="ar"/>
        </w:rPr>
        <w:t>现有企业产能利用率确保达到</w:t>
      </w:r>
      <w:r>
        <w:rPr>
          <w:rFonts w:ascii="Times New Roman" w:hAnsi="Times New Roman" w:eastAsia="方正仿宋_GB2312" w:cs="Times New Roman"/>
          <w:color w:val="000000"/>
          <w:kern w:val="0"/>
          <w:sz w:val="31"/>
          <w:szCs w:val="31"/>
          <w:lang w:bidi="ar"/>
        </w:rPr>
        <w:t>60%</w:t>
      </w:r>
      <w:r>
        <w:rPr>
          <w:rFonts w:ascii="Times New Roman" w:hAnsi="Times New Roman" w:eastAsia="方正仿宋_GB2312"/>
          <w:color w:val="000000"/>
          <w:kern w:val="0"/>
          <w:sz w:val="31"/>
          <w:szCs w:val="31"/>
          <w:lang w:bidi="ar"/>
        </w:rPr>
        <w:t xml:space="preserve">，中高档陶瓷产品占地区陶瓷总产量的 </w:t>
      </w:r>
      <w:r>
        <w:rPr>
          <w:rFonts w:ascii="Times New Roman" w:hAnsi="Times New Roman" w:eastAsia="方正仿宋_GB2312" w:cs="Times New Roman"/>
          <w:color w:val="000000"/>
          <w:kern w:val="0"/>
          <w:sz w:val="31"/>
          <w:szCs w:val="31"/>
          <w:lang w:bidi="ar"/>
        </w:rPr>
        <w:t>70%</w:t>
      </w:r>
      <w:r>
        <w:rPr>
          <w:rFonts w:ascii="Times New Roman" w:hAnsi="Times New Roman" w:eastAsia="方正仿宋_GB2312"/>
          <w:color w:val="000000"/>
          <w:kern w:val="0"/>
          <w:sz w:val="31"/>
          <w:szCs w:val="31"/>
          <w:lang w:bidi="ar"/>
        </w:rPr>
        <w:t>以上</w:t>
      </w:r>
      <w:r>
        <w:rPr>
          <w:rFonts w:hint="eastAsia" w:ascii="Times New Roman" w:hAnsi="Times New Roman" w:eastAsia="方正仿宋_GB2312"/>
        </w:rPr>
        <w:t>，实现总产值25亿元。形成1-2个综合实力突出的、贯穿产业链上下游的、产值超5亿元的科技型龙头企业，培育一批产值规模超亿元的骨干企业。</w:t>
      </w:r>
    </w:p>
    <w:p w14:paraId="5BE84268">
      <w:pPr>
        <w:widowControl/>
        <w:ind w:firstLine="643"/>
        <w:jc w:val="left"/>
        <w:rPr>
          <w:rFonts w:hint="eastAsia" w:ascii="Times New Roman" w:hAnsi="Times New Roman" w:eastAsia="方正仿宋_GB2312"/>
        </w:rPr>
      </w:pPr>
      <w:r>
        <w:rPr>
          <w:rFonts w:hint="eastAsia" w:ascii="Times New Roman" w:hAnsi="Times New Roman" w:eastAsia="方正仿宋_GB2312"/>
          <w:b/>
          <w:bCs/>
        </w:rPr>
        <w:t>做特琉璃（珐华）。</w:t>
      </w:r>
      <w:r>
        <w:rPr>
          <w:rFonts w:hint="eastAsia" w:ascii="Times New Roman" w:hAnsi="Times New Roman" w:eastAsia="方正仿宋_GB2312"/>
          <w:lang w:bidi="ar"/>
        </w:rPr>
        <w:t>建好后则腰琉璃制品产业园区，</w:t>
      </w:r>
      <w:r>
        <w:rPr>
          <w:rFonts w:hint="eastAsia" w:ascii="Times New Roman" w:hAnsi="Times New Roman" w:eastAsia="方正仿宋_GB2312"/>
        </w:rPr>
        <w:t>实施陶瓷琉璃</w:t>
      </w:r>
      <w:r>
        <w:rPr>
          <w:rFonts w:hint="eastAsia" w:ascii="方正仿宋_GB2312" w:hAnsi="方正仿宋_GB2312" w:eastAsia="方正仿宋_GB2312" w:cs="方正仿宋_GB2312"/>
        </w:rPr>
        <w:t>(</w:t>
      </w:r>
      <w:r>
        <w:rPr>
          <w:rFonts w:hint="eastAsia" w:ascii="Times New Roman" w:hAnsi="Times New Roman" w:eastAsia="方正仿宋_GB2312"/>
        </w:rPr>
        <w:t>珐华</w:t>
      </w:r>
      <w:r>
        <w:rPr>
          <w:rFonts w:hint="eastAsia" w:ascii="方正仿宋_GB2312" w:hAnsi="方正仿宋_GB2312" w:eastAsia="方正仿宋_GB2312" w:cs="方正仿宋_GB2312"/>
        </w:rPr>
        <w:t>)</w:t>
      </w:r>
      <w:r>
        <w:rPr>
          <w:rFonts w:hint="eastAsia" w:ascii="Times New Roman" w:hAnsi="Times New Roman" w:eastAsia="方正仿宋_GB2312"/>
        </w:rPr>
        <w:t>专业镇质量提升行动，以发展“乔氏琉璃”为核心，加强“乔氏琉璃”技艺与先进工艺技术的结合，实现产业化发展和效益提升。提高建筑琉璃制备水平，加强技术改造，提高产品品质。进一步加大设计创新力度，着力开发时尚化、创意化、个性化、特色文化类新产品，加快产品结构调整优化进一步提高产品档次和价值。促进琉璃产业与文旅的融合发展，拓展行业的发展领域。2030年形成年产1.5亿件陶瓷琉璃产业规模，行业实现总产值3亿元；形成3</w:t>
      </w:r>
      <w:r>
        <w:rPr>
          <w:rFonts w:hint="eastAsia" w:ascii="Times New Roman" w:hAnsi="Times New Roman" w:eastAsia="方正仿宋_GB2312"/>
          <w:lang w:val="en-US" w:eastAsia="zh-CN"/>
        </w:rPr>
        <w:t>-</w:t>
      </w:r>
      <w:r>
        <w:rPr>
          <w:rFonts w:hint="eastAsia" w:ascii="Times New Roman" w:hAnsi="Times New Roman" w:eastAsia="方正仿宋_GB2312"/>
        </w:rPr>
        <w:t>5家国内外知名的行业优势企业，</w:t>
      </w:r>
      <w:r>
        <w:rPr>
          <w:rFonts w:ascii="Times New Roman" w:hAnsi="Times New Roman" w:eastAsia="方正仿宋_GB2312"/>
          <w:color w:val="000000"/>
          <w:kern w:val="0"/>
          <w:sz w:val="31"/>
          <w:szCs w:val="31"/>
          <w:lang w:bidi="ar"/>
        </w:rPr>
        <w:t>行业技术经济指标、安全职业卫生、环保达到同期国内先进水平，成为以琉璃艺术设计、文旅产业为引领，建筑琉璃为基本支撑，华北、西北地区有重大影响的琉璃制品特色产业基地。</w:t>
      </w:r>
    </w:p>
    <w:p w14:paraId="78488856">
      <w:pPr>
        <w:widowControl/>
        <w:ind w:firstLine="643"/>
        <w:jc w:val="left"/>
        <w:rPr>
          <w:rFonts w:hint="eastAsia" w:ascii="Times New Roman" w:hAnsi="Times New Roman" w:eastAsia="方正仿宋_GB2312"/>
          <w:color w:val="auto"/>
          <w:highlight w:val="none"/>
        </w:rPr>
      </w:pPr>
      <w:r>
        <w:rPr>
          <w:rFonts w:hint="eastAsia" w:ascii="Times New Roman" w:hAnsi="Times New Roman" w:eastAsia="方正仿宋_GB2312"/>
          <w:b/>
          <w:bCs/>
          <w:highlight w:val="none"/>
        </w:rPr>
        <w:t>发展先进陶瓷。</w:t>
      </w:r>
      <w:r>
        <w:rPr>
          <w:rFonts w:hint="eastAsia" w:ascii="Times New Roman" w:hAnsi="Times New Roman" w:eastAsia="方正仿宋_GB2312"/>
          <w:b w:val="0"/>
          <w:bCs w:val="0"/>
          <w:highlight w:val="none"/>
          <w:lang w:val="en-US" w:eastAsia="zh-CN"/>
        </w:rPr>
        <w:t>发挥</w:t>
      </w:r>
      <w:r>
        <w:rPr>
          <w:rFonts w:hint="eastAsia" w:ascii="Times New Roman" w:hAnsi="Times New Roman" w:eastAsia="方正仿宋_GB2312"/>
          <w:highlight w:val="none"/>
        </w:rPr>
        <w:t>山西氧化铝、镓等资</w:t>
      </w:r>
      <w:r>
        <w:rPr>
          <w:rFonts w:ascii="Times New Roman" w:hAnsi="Times New Roman" w:eastAsia="方正仿宋_GB2312"/>
          <w:color w:val="auto"/>
          <w:highlight w:val="none"/>
        </w:rPr>
        <w:t>源</w:t>
      </w:r>
      <w:r>
        <w:rPr>
          <w:rFonts w:hint="eastAsia" w:ascii="Times New Roman" w:hAnsi="Times New Roman" w:eastAsia="方正仿宋_GB2312"/>
          <w:color w:val="auto"/>
          <w:highlight w:val="none"/>
          <w:lang w:val="en-US" w:eastAsia="zh-CN"/>
        </w:rPr>
        <w:t>比较</w:t>
      </w:r>
      <w:r>
        <w:rPr>
          <w:rFonts w:ascii="Times New Roman" w:hAnsi="Times New Roman" w:eastAsia="方正仿宋_GB2312"/>
          <w:color w:val="auto"/>
          <w:highlight w:val="none"/>
        </w:rPr>
        <w:t>优势、瞄准国内半导体、显示面板，整合阳城化工、晋东南电子信息应用场景需求，以工业陶瓷领域新型高性能功能陶瓷、结构陶瓷新材料开发作为主攻方向，推动电子化工应用场景和电子陶瓷统合发展，重点发展以耐高温、耐磨、电力、环保等为主导的电子陶瓷、超导陶瓷、化工耐腐蚀陶瓷、固态电池陶瓷电解质材料、陶瓷基板等新型产业。</w:t>
      </w:r>
      <w:r>
        <w:rPr>
          <w:rFonts w:ascii="Times New Roman" w:hAnsi="Times New Roman" w:eastAsia="方正仿宋_GB2312"/>
          <w:color w:val="auto"/>
          <w:highlight w:val="none"/>
          <w:lang w:bidi="ar"/>
        </w:rPr>
        <w:t>围绕硫化锂固体电池落地，构建配套产业链并积极引育相关企业。在上游布局陶瓷膜材料，在下游布局耐热陶瓷和电池制备废弃物制备建筑陶瓷材料。</w:t>
      </w:r>
      <w:r>
        <w:rPr>
          <w:rFonts w:ascii="Times New Roman" w:hAnsi="Times New Roman" w:eastAsia="方正仿宋_GB2312"/>
          <w:color w:val="auto"/>
          <w:highlight w:val="none"/>
        </w:rPr>
        <w:t>到“十五五”末，培育1-2家电子陶瓷龙头企业，先进</w:t>
      </w:r>
      <w:r>
        <w:rPr>
          <w:rFonts w:ascii="Times New Roman" w:hAnsi="Times New Roman" w:eastAsia="方正仿宋_GB2312"/>
          <w:color w:val="auto"/>
          <w:highlight w:val="none"/>
          <w:lang w:bidi="ar"/>
        </w:rPr>
        <w:t>陶瓷产值力争达到1亿元。</w:t>
      </w:r>
    </w:p>
    <w:p w14:paraId="11A3556A">
      <w:pPr>
        <w:widowControl/>
        <w:ind w:firstLine="643"/>
        <w:jc w:val="left"/>
        <w:rPr>
          <w:rFonts w:hint="eastAsia" w:ascii="Times New Roman" w:hAnsi="Times New Roman" w:eastAsia="方正仿宋_GB2312"/>
        </w:rPr>
      </w:pPr>
      <w:r>
        <w:rPr>
          <w:rFonts w:hint="eastAsia" w:ascii="Times New Roman" w:hAnsi="Times New Roman" w:eastAsia="方正仿宋_GB2312"/>
          <w:b/>
          <w:bCs/>
          <w:color w:val="auto"/>
        </w:rPr>
        <w:t>建设高能级</w:t>
      </w:r>
      <w:r>
        <w:rPr>
          <w:rFonts w:ascii="Times New Roman" w:hAnsi="Times New Roman" w:eastAsia="方正仿宋_GB2312"/>
          <w:b/>
          <w:bCs/>
          <w:color w:val="auto"/>
        </w:rPr>
        <w:t>陶瓷行业</w:t>
      </w:r>
      <w:r>
        <w:rPr>
          <w:rFonts w:hint="eastAsia" w:ascii="Times New Roman" w:hAnsi="Times New Roman" w:eastAsia="方正仿宋_GB2312"/>
          <w:b/>
          <w:bCs/>
          <w:color w:val="auto"/>
        </w:rPr>
        <w:t>科创服务平台</w:t>
      </w:r>
      <w:r>
        <w:rPr>
          <w:rFonts w:ascii="Times New Roman" w:hAnsi="Times New Roman" w:eastAsia="方正仿宋_GB2312"/>
          <w:b/>
          <w:bCs/>
          <w:color w:val="auto"/>
        </w:rPr>
        <w:t>。</w:t>
      </w:r>
      <w:r>
        <w:rPr>
          <w:rFonts w:hint="eastAsia" w:ascii="Times New Roman" w:hAnsi="Times New Roman" w:eastAsia="方正仿宋_GB2312"/>
          <w:color w:val="auto"/>
        </w:rPr>
        <w:t>依托</w:t>
      </w:r>
      <w:r>
        <w:rPr>
          <w:rFonts w:ascii="Times New Roman" w:hAnsi="Times New Roman" w:eastAsia="方正仿宋_GB2312"/>
          <w:color w:val="auto"/>
        </w:rPr>
        <w:t>“中国建材咸阳陶瓷研究设计院(阳城)陶瓷琉璃研发中心</w:t>
      </w:r>
      <w:r>
        <w:rPr>
          <w:rFonts w:hint="eastAsia" w:ascii="Times New Roman" w:hAnsi="Times New Roman" w:eastAsia="方正仿宋_GB2312"/>
          <w:color w:val="auto"/>
        </w:rPr>
        <w:t>”等技术平台，</w:t>
      </w:r>
      <w:r>
        <w:rPr>
          <w:rFonts w:ascii="Times New Roman" w:hAnsi="Times New Roman" w:eastAsia="方正仿宋_GB2312"/>
          <w:color w:val="auto"/>
        </w:rPr>
        <w:t>以加强新产品研发、提高工艺装备和工业设计水平为途径，开展技术创新，加强产学研合作。</w:t>
      </w:r>
      <w:r>
        <w:rPr>
          <w:rFonts w:hint="eastAsia" w:ascii="Times New Roman" w:hAnsi="Times New Roman" w:eastAsia="方正仿宋_GB2312" w:cs="仿宋"/>
          <w:color w:val="auto"/>
        </w:rPr>
        <w:t>努力打造国内领先的陶瓷新材料产业创新创业平台，</w:t>
      </w:r>
      <w:r>
        <w:rPr>
          <w:rFonts w:ascii="Times New Roman" w:hAnsi="Times New Roman" w:eastAsia="方正仿宋_GB2312"/>
          <w:color w:val="000000"/>
          <w:kern w:val="0"/>
          <w:sz w:val="31"/>
          <w:szCs w:val="31"/>
          <w:lang w:bidi="ar"/>
        </w:rPr>
        <w:t>市级及以上企业技术中心、企业工程技术研究中心及企业院士工作站、重点实验室达到</w:t>
      </w:r>
      <w:r>
        <w:rPr>
          <w:rFonts w:ascii="Times New Roman" w:hAnsi="Times New Roman" w:eastAsia="方正仿宋_GB2312" w:cs="Times New Roman"/>
          <w:color w:val="000000"/>
          <w:kern w:val="0"/>
          <w:sz w:val="31"/>
          <w:szCs w:val="31"/>
          <w:lang w:bidi="ar"/>
        </w:rPr>
        <w:t>2</w:t>
      </w:r>
      <w:r>
        <w:rPr>
          <w:rFonts w:ascii="Times New Roman" w:hAnsi="Times New Roman" w:eastAsia="方正仿宋_GB2312"/>
          <w:color w:val="000000"/>
          <w:kern w:val="0"/>
          <w:sz w:val="31"/>
          <w:szCs w:val="31"/>
          <w:lang w:bidi="ar"/>
        </w:rPr>
        <w:t>家。</w:t>
      </w:r>
    </w:p>
    <w:p w14:paraId="1EF64CB9">
      <w:pPr>
        <w:widowControl/>
        <w:ind w:firstLine="643"/>
        <w:jc w:val="left"/>
        <w:rPr>
          <w:rFonts w:hint="eastAsia" w:ascii="Times New Roman" w:hAnsi="Times New Roman" w:eastAsia="方正仿宋_GB2312"/>
        </w:rPr>
      </w:pPr>
      <w:r>
        <w:rPr>
          <w:rFonts w:ascii="Times New Roman" w:hAnsi="Times New Roman" w:eastAsia="方正仿宋_GB2312"/>
          <w:b/>
          <w:bCs/>
        </w:rPr>
        <w:t>推进绿色发展。</w:t>
      </w:r>
      <w:r>
        <w:rPr>
          <w:rFonts w:hint="eastAsia" w:ascii="Times New Roman" w:hAnsi="Times New Roman" w:eastAsia="方正仿宋_GB2312"/>
        </w:rPr>
        <w:t>构建起以循环经济为理念的绿色供应链，陶瓷生产企业全部推行清洁生产。</w:t>
      </w:r>
      <w:r>
        <w:rPr>
          <w:rFonts w:ascii="Times New Roman" w:hAnsi="Times New Roman" w:eastAsia="方正仿宋_GB2312"/>
        </w:rPr>
        <w:t>实现70%以上产品通过绿色建材认证，</w:t>
      </w:r>
      <w:r>
        <w:rPr>
          <w:rFonts w:hint="eastAsia" w:ascii="Times New Roman" w:hAnsi="Times New Roman" w:eastAsia="方正仿宋_GB2312" w:cs="仿宋"/>
          <w:color w:val="auto"/>
        </w:rPr>
        <w:t>培育5-6个通过国家绿色陶瓷产品认证企业或省级绿色工厂，固废综合</w:t>
      </w:r>
      <w:r>
        <w:rPr>
          <w:rFonts w:ascii="Times New Roman" w:hAnsi="Times New Roman" w:eastAsia="方正仿宋_GB2312"/>
        </w:rPr>
        <w:t>利用率达到90%,工业废水循环利用率实现100%。</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50DBA987">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c>
          <w:tcPr>
            <w:tcW w:w="5000" w:type="pct"/>
            <w:noWrap w:val="0"/>
            <w:vAlign w:val="center"/>
          </w:tcPr>
          <w:p w14:paraId="27CDD083">
            <w:pPr>
              <w:widowControl/>
              <w:adjustRightInd w:val="0"/>
              <w:jc w:val="center"/>
              <w:rPr>
                <w:rFonts w:hint="default" w:ascii="黑体" w:hAnsi="黑体" w:eastAsia="黑体" w:cs="黑体"/>
                <w:sz w:val="22"/>
                <w:szCs w:val="22"/>
                <w:shd w:val="clear" w:color="auto" w:fill="FFFFFF"/>
                <w:lang w:val="en-US" w:eastAsia="zh-CN"/>
              </w:rPr>
            </w:pPr>
            <w:r>
              <w:rPr>
                <w:rFonts w:hint="eastAsia" w:ascii="黑体" w:hAnsi="黑体" w:eastAsia="黑体" w:cs="黑体"/>
                <w:sz w:val="28"/>
                <w:szCs w:val="28"/>
              </w:rPr>
              <w:t>专栏</w:t>
            </w:r>
            <w:r>
              <w:rPr>
                <w:rFonts w:hint="eastAsia" w:ascii="黑体" w:hAnsi="黑体" w:eastAsia="黑体" w:cs="黑体"/>
                <w:sz w:val="28"/>
                <w:szCs w:val="28"/>
                <w:lang w:val="en-US" w:eastAsia="zh-CN"/>
              </w:rPr>
              <w:t>2</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陶瓷产业技改扩能行动</w:t>
            </w:r>
          </w:p>
        </w:tc>
      </w:tr>
      <w:tr w14:paraId="1A8F4A86">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557" w:hRule="atLeast"/>
        </w:trPr>
        <w:tc>
          <w:tcPr>
            <w:tcW w:w="5000" w:type="pct"/>
            <w:noWrap w:val="0"/>
            <w:vAlign w:val="center"/>
          </w:tcPr>
          <w:p w14:paraId="6F6557C1">
            <w:pPr>
              <w:overflowPunct w:val="0"/>
              <w:spacing w:line="460" w:lineRule="exact"/>
              <w:ind w:firstLine="562" w:firstLineChars="200"/>
              <w:rPr>
                <w:rFonts w:hint="eastAsia" w:ascii="Times New Roman" w:hAnsi="Times New Roman" w:eastAsia="仿宋_GB2312"/>
                <w:sz w:val="28"/>
                <w:szCs w:val="28"/>
                <w:lang w:val="en-US" w:eastAsia="zh-CN"/>
              </w:rPr>
            </w:pPr>
            <w:r>
              <w:rPr>
                <w:rFonts w:hint="eastAsia" w:ascii="Times New Roman" w:hAnsi="Times New Roman" w:eastAsia="仿宋_GB2312"/>
                <w:b/>
                <w:bCs/>
                <w:sz w:val="28"/>
                <w:szCs w:val="28"/>
                <w:lang w:val="en-US" w:eastAsia="zh-CN"/>
              </w:rPr>
              <w:t>绿色改造升级行动。</w:t>
            </w:r>
            <w:r>
              <w:rPr>
                <w:rFonts w:hint="eastAsia" w:ascii="Times New Roman" w:hAnsi="Times New Roman" w:eastAsia="仿宋_GB2312"/>
                <w:sz w:val="28"/>
                <w:szCs w:val="28"/>
                <w:lang w:val="en-US" w:eastAsia="zh-CN"/>
              </w:rPr>
              <w:t>以工业领域碳达峰为引领，引导企业开展设备更新、工艺升级、流程优化，实施高耗能、高排放项目精准管理，鼓励重点行业提升绿电消费比例。</w:t>
            </w:r>
          </w:p>
          <w:p w14:paraId="69308264">
            <w:pPr>
              <w:overflowPunct w:val="0"/>
              <w:spacing w:line="460" w:lineRule="exact"/>
              <w:ind w:firstLine="562" w:firstLineChars="200"/>
              <w:rPr>
                <w:rFonts w:hint="eastAsia" w:ascii="Times New Roman" w:hAnsi="Times New Roman" w:eastAsia="仿宋_GB2312"/>
                <w:sz w:val="28"/>
                <w:szCs w:val="28"/>
                <w:lang w:val="en-US" w:eastAsia="zh-CN"/>
              </w:rPr>
            </w:pPr>
            <w:r>
              <w:rPr>
                <w:rFonts w:hint="eastAsia" w:ascii="Times New Roman" w:hAnsi="Times New Roman"/>
                <w:b/>
                <w:bCs/>
                <w:sz w:val="28"/>
                <w:szCs w:val="28"/>
                <w:lang w:val="en-US" w:eastAsia="zh-CN"/>
              </w:rPr>
              <w:t>品牌建设行动</w:t>
            </w:r>
            <w:r>
              <w:rPr>
                <w:rFonts w:hint="eastAsia" w:ascii="Times New Roman" w:hAnsi="Times New Roman" w:eastAsia="仿宋_GB2312"/>
                <w:b/>
                <w:bCs/>
                <w:sz w:val="28"/>
                <w:szCs w:val="28"/>
                <w:lang w:val="en-US" w:eastAsia="zh-CN"/>
              </w:rPr>
              <w:t>。</w:t>
            </w:r>
            <w:r>
              <w:rPr>
                <w:rFonts w:hint="eastAsia" w:ascii="Times New Roman" w:hAnsi="Times New Roman" w:eastAsia="仿宋_GB2312"/>
                <w:sz w:val="28"/>
                <w:szCs w:val="28"/>
                <w:lang w:val="en-US" w:eastAsia="zh-CN"/>
              </w:rPr>
              <w:t>推动华冠、福龙完成技改升级</w:t>
            </w:r>
            <w:r>
              <w:rPr>
                <w:rFonts w:hint="eastAsia" w:ascii="Times New Roman" w:hAnsi="Times New Roman"/>
                <w:sz w:val="28"/>
                <w:szCs w:val="28"/>
                <w:lang w:val="en-US" w:eastAsia="zh-CN"/>
              </w:rPr>
              <w:t>，发展大板、岩板等高端产品；配合国内外优质IP合作，提升阳城陶瓷产业知名度，培育“乔氏琉璃”等标杆品牌，丰富产品品类</w:t>
            </w:r>
            <w:r>
              <w:rPr>
                <w:rFonts w:hint="eastAsia" w:ascii="Times New Roman" w:hAnsi="Times New Roman" w:eastAsia="仿宋_GB2312"/>
                <w:sz w:val="28"/>
                <w:szCs w:val="28"/>
                <w:lang w:val="en-US" w:eastAsia="zh-CN"/>
              </w:rPr>
              <w:t>。</w:t>
            </w:r>
          </w:p>
          <w:p w14:paraId="38748FEA">
            <w:pPr>
              <w:overflowPunct w:val="0"/>
              <w:spacing w:line="460" w:lineRule="exact"/>
              <w:ind w:firstLine="562" w:firstLineChars="200"/>
              <w:rPr>
                <w:rFonts w:hint="default" w:ascii="Times New Roman" w:hAnsi="Times New Roman" w:eastAsia="仿宋_GB2312"/>
                <w:sz w:val="28"/>
                <w:szCs w:val="28"/>
                <w:lang w:val="en-US" w:eastAsia="zh-CN"/>
              </w:rPr>
            </w:pPr>
            <w:r>
              <w:rPr>
                <w:rFonts w:hint="eastAsia" w:ascii="Times New Roman" w:hAnsi="Times New Roman"/>
                <w:b/>
                <w:bCs/>
                <w:sz w:val="28"/>
                <w:szCs w:val="28"/>
                <w:lang w:val="en-US" w:eastAsia="zh-CN"/>
              </w:rPr>
              <w:t>梯度</w:t>
            </w:r>
            <w:r>
              <w:rPr>
                <w:rFonts w:hint="eastAsia" w:ascii="Times New Roman" w:hAnsi="Times New Roman" w:eastAsia="仿宋_GB2312"/>
                <w:b/>
                <w:bCs/>
                <w:sz w:val="28"/>
                <w:szCs w:val="28"/>
                <w:lang w:val="en-US" w:eastAsia="zh-CN"/>
              </w:rPr>
              <w:t>企业</w:t>
            </w:r>
            <w:r>
              <w:rPr>
                <w:rFonts w:hint="eastAsia" w:ascii="Times New Roman" w:hAnsi="Times New Roman"/>
                <w:b/>
                <w:bCs/>
                <w:sz w:val="28"/>
                <w:szCs w:val="28"/>
                <w:lang w:val="en-US" w:eastAsia="zh-CN"/>
              </w:rPr>
              <w:t>培育行动</w:t>
            </w:r>
            <w:r>
              <w:rPr>
                <w:rFonts w:hint="eastAsia" w:ascii="Times New Roman" w:hAnsi="Times New Roman" w:eastAsia="仿宋_GB2312"/>
                <w:b/>
                <w:bCs/>
                <w:sz w:val="28"/>
                <w:szCs w:val="28"/>
                <w:lang w:val="en-US" w:eastAsia="zh-CN"/>
              </w:rPr>
              <w:t>。</w:t>
            </w:r>
            <w:r>
              <w:rPr>
                <w:rFonts w:hint="eastAsia" w:ascii="Times New Roman" w:hAnsi="Times New Roman" w:eastAsia="仿宋_GB2312"/>
                <w:sz w:val="28"/>
                <w:szCs w:val="28"/>
                <w:lang w:val="en-US" w:eastAsia="zh-CN"/>
              </w:rPr>
              <w:t>形成龙头引领、企业集聚的产业集群格局，产业链本地配套率达到较高水平，引导2户陶瓷企业申报专精特新企业。盘活僵尸企业</w:t>
            </w:r>
            <w:r>
              <w:rPr>
                <w:rFonts w:hint="eastAsia" w:ascii="Times New Roman" w:hAnsi="Times New Roman"/>
                <w:sz w:val="28"/>
                <w:szCs w:val="28"/>
                <w:lang w:val="en-US" w:eastAsia="zh-CN"/>
              </w:rPr>
              <w:t>，优化整合陶瓷产业集群。</w:t>
            </w:r>
          </w:p>
          <w:p w14:paraId="322561FB">
            <w:pPr>
              <w:overflowPunct w:val="0"/>
              <w:spacing w:line="460" w:lineRule="exact"/>
              <w:ind w:firstLine="562" w:firstLineChars="200"/>
              <w:rPr>
                <w:rFonts w:hint="eastAsia" w:eastAsia="仿宋_GB2312"/>
                <w:lang w:val="en-US" w:eastAsia="zh-CN"/>
              </w:rPr>
            </w:pPr>
            <w:r>
              <w:rPr>
                <w:rFonts w:hint="eastAsia" w:ascii="Times New Roman" w:hAnsi="Times New Roman"/>
                <w:b/>
                <w:bCs/>
                <w:sz w:val="28"/>
                <w:szCs w:val="28"/>
                <w:lang w:val="en-US" w:eastAsia="zh-CN"/>
              </w:rPr>
              <w:t>重点项目：</w:t>
            </w:r>
            <w:r>
              <w:rPr>
                <w:rFonts w:hint="eastAsia" w:ascii="Times New Roman" w:hAnsi="Times New Roman" w:eastAsia="仿宋_GB2312"/>
                <w:sz w:val="28"/>
                <w:szCs w:val="28"/>
                <w:lang w:val="en-US" w:eastAsia="zh-CN"/>
              </w:rPr>
              <w:t>金龙陶瓷技改（一期）项目、意维亚仿真石材陶瓷岩板项目</w:t>
            </w:r>
            <w:r>
              <w:rPr>
                <w:rFonts w:hint="eastAsia" w:ascii="Times New Roman" w:hAnsi="Times New Roman"/>
                <w:sz w:val="28"/>
                <w:szCs w:val="28"/>
                <w:lang w:val="en-US" w:eastAsia="zh-CN"/>
              </w:rPr>
              <w:t>、联合晋城职业学院“非遗传承+院校”人才培养项目。</w:t>
            </w:r>
          </w:p>
        </w:tc>
      </w:tr>
    </w:tbl>
    <w:p w14:paraId="2AC2799C">
      <w:pPr>
        <w:spacing w:line="600" w:lineRule="exact"/>
        <w:ind w:firstLine="643"/>
        <w:jc w:val="center"/>
        <w:outlineLvl w:val="1"/>
        <w:rPr>
          <w:rFonts w:ascii="Times New Roman" w:hAnsi="Times New Roman" w:eastAsia="楷体_GB2312"/>
          <w:b/>
          <w:bCs/>
        </w:rPr>
      </w:pPr>
      <w:bookmarkStart w:id="50" w:name="_Toc3314"/>
      <w:bookmarkStart w:id="51" w:name="_Toc16098"/>
      <w:bookmarkStart w:id="52" w:name="_Toc19435"/>
      <w:r>
        <w:rPr>
          <w:rFonts w:hint="eastAsia" w:ascii="Times New Roman" w:hAnsi="Times New Roman" w:eastAsia="楷体_GB2312"/>
          <w:b/>
          <w:bCs/>
        </w:rPr>
        <w:t>第三节  提炼资源禀赋  促进加工制造业多元发展</w:t>
      </w:r>
      <w:bookmarkEnd w:id="50"/>
      <w:bookmarkEnd w:id="51"/>
      <w:bookmarkEnd w:id="52"/>
    </w:p>
    <w:p w14:paraId="01C02267">
      <w:pPr>
        <w:ind w:firstLine="643"/>
        <w:rPr>
          <w:rFonts w:hint="eastAsia" w:ascii="Times New Roman" w:hAnsi="Times New Roman" w:eastAsia="方正仿宋_GB2312"/>
          <w:bCs/>
          <w:sz w:val="32"/>
        </w:rPr>
      </w:pPr>
      <w:r>
        <w:rPr>
          <w:rFonts w:hint="eastAsia" w:ascii="Times New Roman" w:hAnsi="Times New Roman" w:eastAsia="方正仿宋_GB2312"/>
          <w:bCs/>
          <w:sz w:val="32"/>
        </w:rPr>
        <w:t>用好阳城比较优势，按照集约发展、循环利用、配套赋能发展原则，聚焦“产业转型、固废利用、配套完善”三大核心方向，以重点项目为抓手，聚力发展</w:t>
      </w:r>
      <w:r>
        <w:rPr>
          <w:rFonts w:hint="eastAsia" w:ascii="Times New Roman" w:hAnsi="Times New Roman" w:eastAsia="方正仿宋_GB2312"/>
          <w:bCs/>
          <w:sz w:val="32"/>
          <w:lang w:val="en-US" w:eastAsia="zh-CN"/>
        </w:rPr>
        <w:t>电子信息、</w:t>
      </w:r>
      <w:r>
        <w:rPr>
          <w:rFonts w:hint="eastAsia" w:ascii="Times New Roman" w:hAnsi="Times New Roman" w:eastAsia="方正仿宋_GB2312"/>
          <w:bCs/>
          <w:sz w:val="32"/>
        </w:rPr>
        <w:t>固废资源化、算力产业、先进制造、现代物流配套等产业。到“十五五”末，加工制造产业总体形成12亿元产值。</w:t>
      </w:r>
    </w:p>
    <w:p w14:paraId="6295EF42">
      <w:pPr>
        <w:ind w:firstLine="643"/>
        <w:rPr>
          <w:rFonts w:ascii="Times New Roman" w:hAnsi="Times New Roman" w:eastAsia="方正仿宋_GB2312"/>
          <w:bCs/>
          <w:sz w:val="32"/>
        </w:rPr>
      </w:pPr>
      <w:r>
        <w:rPr>
          <w:rFonts w:hint="eastAsia" w:ascii="Times New Roman" w:hAnsi="Times New Roman" w:eastAsia="方正仿宋_GB2312"/>
          <w:b/>
          <w:sz w:val="32"/>
        </w:rPr>
        <w:t>积极发展电子信息产业。</w:t>
      </w:r>
      <w:r>
        <w:rPr>
          <w:rFonts w:hint="eastAsia" w:ascii="Times New Roman" w:hAnsi="Times New Roman" w:eastAsia="方正仿宋_GB2312"/>
          <w:bCs/>
          <w:sz w:val="32"/>
        </w:rPr>
        <w:t>聚焦周边晋城、长治、洛阳三地光机电光电子产业集群优势，梳理产业链，瞄准光电显示赛道和应用场景赛道，与周边晋城长治形成产业互补和协作效应。以新型光电显示为主导产业，向上游延</w:t>
      </w:r>
      <w:r>
        <w:rPr>
          <w:rFonts w:hint="eastAsia" w:ascii="Times New Roman" w:hAnsi="Times New Roman" w:eastAsia="方正仿宋_GB2312"/>
          <w:bCs/>
          <w:sz w:val="32"/>
          <w:lang w:val="en-US" w:eastAsia="zh-CN"/>
        </w:rPr>
        <w:t>伸</w:t>
      </w:r>
      <w:r>
        <w:rPr>
          <w:rFonts w:hint="eastAsia" w:ascii="Times New Roman" w:hAnsi="Times New Roman" w:eastAsia="方正仿宋_GB2312"/>
          <w:bCs/>
          <w:sz w:val="32"/>
        </w:rPr>
        <w:t>电子元器件及模块，向下游延</w:t>
      </w:r>
      <w:r>
        <w:rPr>
          <w:rFonts w:hint="eastAsia" w:ascii="Times New Roman" w:hAnsi="Times New Roman" w:eastAsia="方正仿宋_GB2312"/>
          <w:bCs/>
          <w:sz w:val="32"/>
          <w:lang w:eastAsia="zh-CN"/>
        </w:rPr>
        <w:t>伸</w:t>
      </w:r>
      <w:r>
        <w:rPr>
          <w:rFonts w:hint="eastAsia" w:ascii="Times New Roman" w:hAnsi="Times New Roman" w:eastAsia="方正仿宋_GB2312"/>
          <w:bCs/>
          <w:sz w:val="32"/>
        </w:rPr>
        <w:t>智能显示终端零部件及总装。致</w:t>
      </w:r>
      <w:r>
        <w:rPr>
          <w:rFonts w:hint="eastAsia" w:ascii="Times New Roman" w:hAnsi="Times New Roman" w:eastAsia="方正仿宋_GB2312" w:cs="仿宋"/>
          <w:sz w:val="32"/>
          <w:szCs w:val="36"/>
        </w:rPr>
        <w:t>力于打造智能电子显示消费产业集群。</w:t>
      </w:r>
      <w:r>
        <w:rPr>
          <w:rFonts w:hint="eastAsia" w:ascii="Times New Roman" w:hAnsi="Times New Roman" w:eastAsia="方正仿宋_GB2312"/>
          <w:bCs/>
          <w:sz w:val="32"/>
        </w:rPr>
        <w:t>重点引进上游基板玻璃、光学材料、导光板、偏光片、掩模版等显示关键装备；同步发展中游LED、OLED、MiniLED、量子点、激光、全息、电子纸等新型显示项目；下游围绕LED应用发展LED显示屏、LED交通信号灯、太阳能电池LED航标灯、液晶背光源、LED车灯、LED景观灯饰、LED特殊照明等，和晋城长治</w:t>
      </w:r>
      <w:r>
        <w:rPr>
          <w:rFonts w:hint="eastAsia" w:ascii="Times New Roman" w:hAnsi="Times New Roman" w:eastAsia="方正仿宋_GB2312"/>
          <w:bCs/>
          <w:sz w:val="32"/>
          <w:lang w:val="en-US" w:eastAsia="zh-CN"/>
        </w:rPr>
        <w:t>光电显示产业</w:t>
      </w:r>
      <w:r>
        <w:rPr>
          <w:rFonts w:hint="eastAsia" w:ascii="Times New Roman" w:hAnsi="Times New Roman" w:eastAsia="方正仿宋_GB2312"/>
          <w:bCs/>
          <w:sz w:val="32"/>
        </w:rPr>
        <w:t>形成协同效应。</w:t>
      </w:r>
      <w:r>
        <w:rPr>
          <w:rFonts w:hint="eastAsia" w:ascii="Times New Roman" w:hAnsi="Times New Roman" w:eastAsia="方正仿宋_GB2312"/>
          <w:bCs/>
          <w:sz w:val="32"/>
          <w:lang w:val="en-US" w:eastAsia="zh-CN"/>
        </w:rPr>
        <w:t>到2030年，基本形成特色电子信息产业集群。</w:t>
      </w:r>
    </w:p>
    <w:p w14:paraId="2D0890F8">
      <w:pPr>
        <w:ind w:firstLine="643"/>
        <w:rPr>
          <w:rFonts w:hint="eastAsia" w:ascii="Times New Roman" w:hAnsi="Times New Roman" w:eastAsia="方正仿宋_GB2312"/>
          <w:b/>
          <w:bCs/>
          <w:sz w:val="32"/>
        </w:rPr>
      </w:pPr>
      <w:r>
        <w:rPr>
          <w:rFonts w:hint="eastAsia" w:ascii="Times New Roman" w:hAnsi="Times New Roman" w:eastAsia="方正仿宋_GB2312"/>
          <w:b/>
          <w:sz w:val="32"/>
        </w:rPr>
        <w:t>积极发掘应用场景。</w:t>
      </w:r>
      <w:r>
        <w:rPr>
          <w:rFonts w:hint="eastAsia" w:ascii="Times New Roman" w:hAnsi="Times New Roman" w:eastAsia="方正仿宋_GB2312"/>
          <w:bCs/>
          <w:sz w:val="32"/>
        </w:rPr>
        <w:t>积极发展智能电子、</w:t>
      </w:r>
      <w:r>
        <w:rPr>
          <w:rFonts w:ascii="Times New Roman" w:hAnsi="Times New Roman" w:eastAsia="方正仿宋_GB2312"/>
          <w:bCs/>
          <w:sz w:val="32"/>
        </w:rPr>
        <w:t>新一代半导体、光伏、</w:t>
      </w:r>
      <w:r>
        <w:rPr>
          <w:rFonts w:hint="eastAsia" w:ascii="Times New Roman" w:hAnsi="Times New Roman" w:eastAsia="方正仿宋_GB2312"/>
          <w:bCs/>
          <w:sz w:val="32"/>
        </w:rPr>
        <w:t>计算</w:t>
      </w:r>
      <w:r>
        <w:rPr>
          <w:rFonts w:ascii="Times New Roman" w:hAnsi="Times New Roman" w:eastAsia="方正仿宋_GB2312"/>
          <w:bCs/>
          <w:sz w:val="32"/>
        </w:rPr>
        <w:t>等</w:t>
      </w:r>
      <w:r>
        <w:rPr>
          <w:rFonts w:hint="eastAsia" w:ascii="Times New Roman" w:hAnsi="Times New Roman" w:eastAsia="方正仿宋_GB2312"/>
          <w:bCs/>
          <w:sz w:val="32"/>
        </w:rPr>
        <w:t>产业，重点发展新一代光电子产品，</w:t>
      </w:r>
      <w:r>
        <w:rPr>
          <w:rFonts w:ascii="Times New Roman" w:hAnsi="Times New Roman" w:eastAsia="方正仿宋_GB2312"/>
          <w:bCs/>
          <w:sz w:val="32"/>
        </w:rPr>
        <w:t>发展</w:t>
      </w:r>
      <w:r>
        <w:rPr>
          <w:rFonts w:hint="eastAsia" w:ascii="Times New Roman" w:hAnsi="Times New Roman" w:eastAsia="方正仿宋_GB2312"/>
          <w:bCs/>
          <w:sz w:val="32"/>
        </w:rPr>
        <w:t>智能终端整机和零部件、元器件产业，与周边形成上下游贯通发展、协同互促的发展布局</w:t>
      </w:r>
      <w:r>
        <w:rPr>
          <w:rFonts w:ascii="Times New Roman" w:hAnsi="Times New Roman" w:eastAsia="方正仿宋_GB2312"/>
          <w:bCs/>
          <w:sz w:val="32"/>
        </w:rPr>
        <w:t>。</w:t>
      </w:r>
      <w:r>
        <w:rPr>
          <w:rFonts w:hint="eastAsia" w:ascii="Times New Roman" w:hAnsi="Times New Roman" w:eastAsia="方正仿宋_GB2312" w:cs="仿宋"/>
          <w:b/>
          <w:bCs/>
          <w:sz w:val="32"/>
          <w:szCs w:val="36"/>
        </w:rPr>
        <w:t>液晶显示领域</w:t>
      </w:r>
      <w:r>
        <w:rPr>
          <w:rFonts w:hint="eastAsia" w:ascii="Times New Roman" w:hAnsi="Times New Roman" w:eastAsia="方正仿宋_GB2312" w:cs="仿宋"/>
          <w:sz w:val="32"/>
          <w:szCs w:val="36"/>
        </w:rPr>
        <w:t>聚焦智能手机显示、平板电脑显示、智能穿戴显示、车载显示、智慧工业设备显示、智能家居设备显示、智能TV显示等。</w:t>
      </w:r>
      <w:r>
        <w:rPr>
          <w:rFonts w:hint="eastAsia" w:ascii="Times New Roman" w:hAnsi="Times New Roman" w:eastAsia="方正仿宋_GB2312" w:cs="仿宋"/>
          <w:b w:val="0"/>
          <w:bCs w:val="0"/>
          <w:sz w:val="32"/>
          <w:szCs w:val="36"/>
        </w:rPr>
        <w:t>LED</w:t>
      </w:r>
      <w:r>
        <w:rPr>
          <w:rFonts w:hint="eastAsia" w:ascii="Times New Roman" w:hAnsi="Times New Roman" w:eastAsia="方正仿宋_GB2312" w:cs="仿宋"/>
          <w:b/>
          <w:bCs/>
          <w:sz w:val="32"/>
          <w:szCs w:val="36"/>
        </w:rPr>
        <w:t>显示领域</w:t>
      </w:r>
      <w:r>
        <w:rPr>
          <w:rFonts w:hint="eastAsia" w:ascii="Times New Roman" w:hAnsi="Times New Roman" w:eastAsia="方正仿宋_GB2312" w:cs="仿宋"/>
          <w:sz w:val="32"/>
          <w:szCs w:val="36"/>
        </w:rPr>
        <w:t>着力发展商用显示模组、LED照明光源产业等。</w:t>
      </w:r>
    </w:p>
    <w:p w14:paraId="42F47CE5">
      <w:pPr>
        <w:ind w:firstLine="643"/>
        <w:rPr>
          <w:rFonts w:hint="eastAsia" w:ascii="Times New Roman" w:hAnsi="Times New Roman" w:eastAsia="方正仿宋_GB2312"/>
          <w:bCs/>
          <w:sz w:val="32"/>
        </w:rPr>
      </w:pPr>
      <w:r>
        <w:rPr>
          <w:rFonts w:hint="eastAsia" w:ascii="Times New Roman" w:hAnsi="Times New Roman" w:eastAsia="方正仿宋_GB2312"/>
          <w:b/>
          <w:bCs w:val="0"/>
          <w:sz w:val="32"/>
          <w:lang w:val="en-US" w:eastAsia="zh-CN"/>
        </w:rPr>
        <w:t>聚力</w:t>
      </w:r>
      <w:r>
        <w:rPr>
          <w:rFonts w:hint="eastAsia" w:ascii="Times New Roman" w:hAnsi="Times New Roman" w:eastAsia="方正仿宋_GB2312"/>
          <w:b/>
          <w:bCs w:val="0"/>
          <w:sz w:val="32"/>
        </w:rPr>
        <w:t>煤矸石固废综合利用。</w:t>
      </w:r>
      <w:r>
        <w:rPr>
          <w:rFonts w:hint="eastAsia" w:ascii="Times New Roman" w:hAnsi="Times New Roman" w:eastAsia="方正仿宋_GB2312"/>
          <w:bCs/>
          <w:sz w:val="32"/>
        </w:rPr>
        <w:t>以</w:t>
      </w:r>
      <w:r>
        <w:rPr>
          <w:rFonts w:hint="eastAsia" w:ascii="Times New Roman" w:hAnsi="Times New Roman" w:eastAsia="方正仿宋_GB2312"/>
          <w:bCs/>
          <w:sz w:val="32"/>
          <w:lang w:val="en-US" w:eastAsia="zh-CN"/>
        </w:rPr>
        <w:t>煤矸石</w:t>
      </w:r>
      <w:r>
        <w:rPr>
          <w:rFonts w:hint="eastAsia" w:ascii="Times New Roman" w:hAnsi="Times New Roman" w:eastAsia="方正仿宋_GB2312"/>
          <w:bCs/>
          <w:sz w:val="32"/>
        </w:rPr>
        <w:t>制备陶瓷原料为重点，加快大宗固废资源化利用产业链布局，形成煤矸石射选高岭石、制备莫来石、焦宝石、煅烧高岭土、煤矸石砌体等煤矸石资源利用完整产业链，实现固废由“低效、低值、分散利用”向“高效、高值、规模利用”转变。拓展人工土壤、建筑用砖、高岭土等多元产品体系，延伸固废利用产业链条，打造绿色低碳循环产业集群，提升资源综合利用价值。培育固废综合利用示范企业</w:t>
      </w:r>
      <w:r>
        <w:rPr>
          <w:rFonts w:hint="eastAsia" w:ascii="Times New Roman" w:hAnsi="Times New Roman" w:eastAsia="方正仿宋_GB2312"/>
          <w:bCs/>
          <w:sz w:val="32"/>
          <w:lang w:eastAsia="zh-CN"/>
        </w:rPr>
        <w:t>，</w:t>
      </w:r>
      <w:r>
        <w:rPr>
          <w:rFonts w:hint="eastAsia" w:ascii="Times New Roman" w:hAnsi="Times New Roman" w:eastAsia="方正仿宋_GB2312"/>
          <w:bCs/>
          <w:sz w:val="32"/>
        </w:rPr>
        <w:t>在煤矸石、粉煤灰、尾矿等领域培育一批具有较强上下游产业带动能力、拥有核心技术且市场占有率较高的综合利用骨干企业</w:t>
      </w:r>
      <w:r>
        <w:rPr>
          <w:rFonts w:hint="eastAsia" w:ascii="Times New Roman" w:hAnsi="Times New Roman" w:eastAsia="方正仿宋_GB2312"/>
          <w:bCs/>
          <w:sz w:val="32"/>
          <w:lang w:eastAsia="zh-CN"/>
        </w:rPr>
        <w:t>，</w:t>
      </w:r>
      <w:r>
        <w:rPr>
          <w:rFonts w:hint="eastAsia" w:ascii="Times New Roman" w:hAnsi="Times New Roman" w:eastAsia="方正仿宋_GB2312"/>
          <w:bCs/>
          <w:sz w:val="32"/>
        </w:rPr>
        <w:t>到2030年，煤矸石固废综合利用产业年产值8.6亿元。</w:t>
      </w:r>
    </w:p>
    <w:p w14:paraId="0DF77852">
      <w:pPr>
        <w:ind w:firstLine="643"/>
        <w:rPr>
          <w:rFonts w:hint="eastAsia" w:ascii="Times New Roman" w:hAnsi="Times New Roman"/>
          <w:sz w:val="32"/>
        </w:rPr>
      </w:pPr>
      <w:r>
        <w:rPr>
          <w:rFonts w:hint="eastAsia" w:ascii="Times New Roman" w:hAnsi="Times New Roman" w:eastAsia="方正仿宋_GB2312"/>
          <w:b/>
          <w:bCs/>
          <w:sz w:val="32"/>
          <w:lang w:val="en-US" w:eastAsia="zh-CN"/>
        </w:rPr>
        <w:t>积极</w:t>
      </w:r>
      <w:r>
        <w:rPr>
          <w:rFonts w:hint="eastAsia" w:ascii="Times New Roman" w:hAnsi="Times New Roman" w:eastAsia="方正仿宋_GB2312"/>
          <w:b/>
          <w:bCs/>
          <w:sz w:val="32"/>
        </w:rPr>
        <w:t>培育数字产业。</w:t>
      </w:r>
      <w:r>
        <w:rPr>
          <w:rFonts w:hint="eastAsia" w:ascii="Times New Roman" w:hAnsi="Times New Roman" w:eastAsia="方正仿宋_GB2312"/>
          <w:sz w:val="32"/>
        </w:rPr>
        <w:t>推动算力项目建设，提升数据存储、处理与运算支撑能力，加快</w:t>
      </w:r>
      <w:r>
        <w:rPr>
          <w:rFonts w:ascii="Times New Roman" w:hAnsi="Times New Roman" w:eastAsia="方正仿宋_GB2312"/>
          <w:sz w:val="32"/>
        </w:rPr>
        <w:t>“绿电+算力”AI原生应用项目</w:t>
      </w:r>
      <w:r>
        <w:rPr>
          <w:rFonts w:hint="eastAsia" w:ascii="Times New Roman" w:hAnsi="Times New Roman" w:eastAsia="方正仿宋_GB2312"/>
          <w:sz w:val="32"/>
        </w:rPr>
        <w:t>落地，发挥阳城绿电资源优势，推动算力产业规模化、绿色</w:t>
      </w:r>
      <w:r>
        <w:rPr>
          <w:rFonts w:hint="eastAsia"/>
        </w:rPr>
        <w:t>化</w:t>
      </w:r>
      <w:r>
        <w:rPr>
          <w:rFonts w:hint="eastAsia" w:ascii="Times New Roman" w:hAnsi="Times New Roman"/>
          <w:sz w:val="32"/>
        </w:rPr>
        <w:t>发展</w:t>
      </w:r>
      <w:r>
        <w:rPr>
          <w:rFonts w:ascii="Times New Roman" w:hAnsi="Times New Roman"/>
          <w:sz w:val="32"/>
        </w:rPr>
        <w:t>。</w:t>
      </w:r>
    </w:p>
    <w:p w14:paraId="56B80C5E">
      <w:pPr>
        <w:ind w:firstLine="643"/>
        <w:rPr>
          <w:rFonts w:hint="eastAsia" w:ascii="Times New Roman" w:hAnsi="Times New Roman"/>
          <w:bCs/>
          <w:sz w:val="32"/>
        </w:rPr>
      </w:pPr>
      <w:r>
        <w:rPr>
          <w:rFonts w:hint="eastAsia" w:ascii="Times New Roman" w:hAnsi="Times New Roman"/>
          <w:b/>
          <w:bCs w:val="0"/>
          <w:sz w:val="32"/>
          <w:lang w:val="en-US" w:eastAsia="zh-CN"/>
        </w:rPr>
        <w:t>加快配套服务业发展。</w:t>
      </w:r>
      <w:r>
        <w:rPr>
          <w:rFonts w:hint="eastAsia" w:ascii="Times New Roman" w:hAnsi="Times New Roman"/>
          <w:bCs/>
          <w:sz w:val="32"/>
        </w:rPr>
        <w:t>推进苏州产业园</w:t>
      </w:r>
      <w:r>
        <w:rPr>
          <w:rFonts w:hint="eastAsia" w:ascii="Times New Roman" w:hAnsi="Times New Roman"/>
          <w:bCs/>
          <w:sz w:val="32"/>
          <w:lang w:val="en-US" w:eastAsia="zh-CN"/>
        </w:rPr>
        <w:t>服务业</w:t>
      </w:r>
      <w:r>
        <w:rPr>
          <w:rFonts w:hint="eastAsia" w:ascii="Times New Roman" w:hAnsi="Times New Roman"/>
          <w:bCs/>
          <w:sz w:val="32"/>
        </w:rPr>
        <w:t>配套项目</w:t>
      </w:r>
      <w:r>
        <w:rPr>
          <w:rFonts w:hint="eastAsia" w:ascii="Times New Roman" w:hAnsi="Times New Roman"/>
          <w:bCs/>
          <w:sz w:val="32"/>
          <w:lang w:eastAsia="zh-CN"/>
        </w:rPr>
        <w:t>，</w:t>
      </w:r>
      <w:r>
        <w:rPr>
          <w:rFonts w:hint="eastAsia" w:ascii="Times New Roman" w:hAnsi="Times New Roman"/>
          <w:bCs/>
          <w:sz w:val="32"/>
        </w:rPr>
        <w:t>搭建专业化物流服务平台，优化仓储、运输、充换电物流体系，降低企业运输、仓储运营成本，构建产业协同配套服务体系。加快下孔产业园建设</w:t>
      </w:r>
      <w:r>
        <w:rPr>
          <w:rFonts w:hint="eastAsia" w:ascii="Times New Roman" w:hAnsi="Times New Roman"/>
          <w:bCs/>
          <w:sz w:val="32"/>
          <w:lang w:eastAsia="zh-CN"/>
        </w:rPr>
        <w:t>，</w:t>
      </w:r>
      <w:r>
        <w:rPr>
          <w:rFonts w:hint="eastAsia" w:ascii="Times New Roman" w:hAnsi="Times New Roman"/>
          <w:bCs/>
          <w:sz w:val="32"/>
        </w:rPr>
        <w:t>盘活园区闲置</w:t>
      </w:r>
      <w:r>
        <w:rPr>
          <w:rFonts w:hint="eastAsia" w:ascii="Times New Roman" w:hAnsi="Times New Roman"/>
          <w:bCs/>
          <w:sz w:val="32"/>
          <w:lang w:val="en-US" w:eastAsia="zh-CN"/>
        </w:rPr>
        <w:t>土地资源</w:t>
      </w:r>
      <w:r>
        <w:rPr>
          <w:rFonts w:hint="eastAsia" w:ascii="Times New Roman" w:hAnsi="Times New Roman"/>
          <w:bCs/>
          <w:sz w:val="32"/>
        </w:rPr>
        <w:t>，以引进上下游链条配套产业为主、</w:t>
      </w:r>
      <w:r>
        <w:rPr>
          <w:rFonts w:hint="eastAsia" w:ascii="Times New Roman" w:hAnsi="Times New Roman"/>
          <w:bCs/>
          <w:sz w:val="32"/>
          <w:lang w:val="en-US" w:eastAsia="zh-CN"/>
        </w:rPr>
        <w:t>降</w:t>
      </w:r>
      <w:r>
        <w:rPr>
          <w:rFonts w:hint="eastAsia" w:ascii="Times New Roman" w:hAnsi="Times New Roman"/>
          <w:bCs/>
          <w:sz w:val="32"/>
        </w:rPr>
        <w:t>低运输需求产业为辅，推动产业集聚发展，形成上下游联动的产业发展模式。到2030年，</w:t>
      </w:r>
      <w:r>
        <w:rPr>
          <w:rFonts w:hint="eastAsia" w:ascii="Times New Roman" w:hAnsi="Times New Roman"/>
          <w:bCs/>
          <w:sz w:val="32"/>
          <w:lang w:val="en-US" w:eastAsia="zh-CN"/>
        </w:rPr>
        <w:t>园区</w:t>
      </w:r>
      <w:r>
        <w:rPr>
          <w:rFonts w:hint="eastAsia" w:ascii="Times New Roman" w:hAnsi="Times New Roman"/>
          <w:bCs/>
          <w:sz w:val="32"/>
        </w:rPr>
        <w:t>年产值达到3.2亿元。</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4EA9E259">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c>
          <w:tcPr>
            <w:tcW w:w="5000" w:type="pct"/>
            <w:noWrap w:val="0"/>
            <w:vAlign w:val="center"/>
          </w:tcPr>
          <w:p w14:paraId="312A142A">
            <w:pPr>
              <w:widowControl/>
              <w:adjustRightInd w:val="0"/>
              <w:jc w:val="center"/>
              <w:rPr>
                <w:rFonts w:hint="default" w:ascii="黑体" w:hAnsi="黑体" w:eastAsia="黑体" w:cs="黑体"/>
                <w:sz w:val="22"/>
                <w:szCs w:val="22"/>
                <w:shd w:val="clear" w:color="auto" w:fill="FFFFFF"/>
                <w:lang w:val="en-US" w:eastAsia="zh-CN"/>
              </w:rPr>
            </w:pPr>
            <w:r>
              <w:rPr>
                <w:rFonts w:hint="eastAsia" w:ascii="黑体" w:hAnsi="黑体" w:eastAsia="黑体" w:cs="黑体"/>
                <w:sz w:val="28"/>
                <w:szCs w:val="28"/>
              </w:rPr>
              <w:t>专栏</w:t>
            </w:r>
            <w:r>
              <w:rPr>
                <w:rFonts w:hint="eastAsia" w:ascii="黑体" w:hAnsi="黑体" w:eastAsia="黑体" w:cs="黑体"/>
                <w:sz w:val="28"/>
                <w:szCs w:val="28"/>
                <w:lang w:val="en-US" w:eastAsia="zh-CN"/>
              </w:rPr>
              <w:t>3</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加工制造产业培育行动</w:t>
            </w:r>
          </w:p>
        </w:tc>
      </w:tr>
      <w:tr w14:paraId="7A9E348D">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557" w:hRule="atLeast"/>
        </w:trPr>
        <w:tc>
          <w:tcPr>
            <w:tcW w:w="5000" w:type="pct"/>
            <w:noWrap w:val="0"/>
            <w:vAlign w:val="center"/>
          </w:tcPr>
          <w:p w14:paraId="20944992">
            <w:pPr>
              <w:overflowPunct w:val="0"/>
              <w:spacing w:line="460" w:lineRule="exact"/>
              <w:ind w:firstLine="562" w:firstLineChars="200"/>
              <w:rPr>
                <w:rFonts w:hint="eastAsia" w:ascii="Times New Roman" w:hAnsi="Times New Roman" w:eastAsia="仿宋_GB2312"/>
                <w:sz w:val="28"/>
                <w:szCs w:val="28"/>
                <w:lang w:val="en-US" w:eastAsia="zh-CN"/>
              </w:rPr>
            </w:pPr>
            <w:r>
              <w:rPr>
                <w:rFonts w:hint="eastAsia" w:ascii="Times New Roman" w:hAnsi="Times New Roman" w:eastAsia="仿宋_GB2312"/>
                <w:b/>
                <w:bCs/>
                <w:sz w:val="28"/>
                <w:szCs w:val="28"/>
                <w:lang w:val="en-US" w:eastAsia="zh-CN"/>
              </w:rPr>
              <w:t>提速电子信息产业。</w:t>
            </w:r>
            <w:r>
              <w:rPr>
                <w:rFonts w:hint="eastAsia" w:ascii="Times New Roman" w:hAnsi="Times New Roman" w:eastAsia="仿宋_GB2312"/>
                <w:sz w:val="28"/>
                <w:szCs w:val="28"/>
                <w:lang w:val="en-US" w:eastAsia="zh-CN"/>
              </w:rPr>
              <w:t>推动已投产项目充分释放产能，围绕上下游加大招商引资力度。推动算力、3D打印等新兴产业招引落地。</w:t>
            </w:r>
          </w:p>
          <w:p w14:paraId="6ABC6890">
            <w:pPr>
              <w:overflowPunct w:val="0"/>
              <w:spacing w:line="460" w:lineRule="exact"/>
              <w:ind w:firstLine="562" w:firstLineChars="200"/>
              <w:rPr>
                <w:rFonts w:hint="eastAsia" w:ascii="Times New Roman" w:hAnsi="Times New Roman" w:eastAsia="仿宋_GB2312"/>
                <w:sz w:val="28"/>
                <w:szCs w:val="28"/>
                <w:lang w:val="en-US" w:eastAsia="zh-CN"/>
              </w:rPr>
            </w:pPr>
            <w:r>
              <w:rPr>
                <w:rFonts w:hint="eastAsia" w:ascii="Times New Roman" w:hAnsi="Times New Roman" w:eastAsia="仿宋_GB2312"/>
                <w:b/>
                <w:bCs/>
                <w:sz w:val="28"/>
                <w:szCs w:val="28"/>
                <w:lang w:val="en-US" w:eastAsia="zh-CN"/>
              </w:rPr>
              <w:t>布局固废利用产业。</w:t>
            </w:r>
            <w:r>
              <w:rPr>
                <w:rFonts w:hint="eastAsia" w:ascii="Times New Roman" w:hAnsi="Times New Roman" w:eastAsia="仿宋_GB2312"/>
                <w:sz w:val="28"/>
                <w:szCs w:val="28"/>
                <w:lang w:val="en-US" w:eastAsia="zh-CN"/>
              </w:rPr>
              <w:t>积极推动煤矸石综合利用项目（焦宝石、莫来石、高岭土）、煤矸石制人工土壤项目，推进煤矸石全产业链高值化利用示范建设。</w:t>
            </w:r>
          </w:p>
          <w:p w14:paraId="0F247716">
            <w:pPr>
              <w:overflowPunct w:val="0"/>
              <w:spacing w:line="460" w:lineRule="exact"/>
              <w:ind w:firstLine="562" w:firstLineChars="200"/>
              <w:rPr>
                <w:rFonts w:hint="eastAsia" w:ascii="Times New Roman" w:hAnsi="Times New Roman" w:eastAsia="仿宋_GB2312"/>
                <w:sz w:val="28"/>
                <w:szCs w:val="28"/>
                <w:lang w:val="en-US" w:eastAsia="zh-CN"/>
              </w:rPr>
            </w:pPr>
            <w:r>
              <w:rPr>
                <w:rFonts w:hint="eastAsia" w:ascii="Times New Roman" w:hAnsi="Times New Roman" w:eastAsia="仿宋_GB2312"/>
                <w:b/>
                <w:bCs/>
                <w:sz w:val="28"/>
                <w:szCs w:val="28"/>
                <w:lang w:val="en-US" w:eastAsia="zh-CN"/>
              </w:rPr>
              <w:t>推动配套服务业发展。</w:t>
            </w:r>
            <w:r>
              <w:rPr>
                <w:rFonts w:hint="eastAsia" w:ascii="Times New Roman" w:hAnsi="Times New Roman" w:eastAsia="仿宋_GB2312"/>
                <w:sz w:val="28"/>
                <w:szCs w:val="28"/>
                <w:lang w:val="en-US" w:eastAsia="zh-CN"/>
              </w:rPr>
              <w:t>推进苏州产业园服务业配套项目，发展物流、仓储、信息化平台等配套服务业项目。</w:t>
            </w:r>
          </w:p>
          <w:p w14:paraId="6CAFACBF">
            <w:pPr>
              <w:overflowPunct w:val="0"/>
              <w:spacing w:line="460" w:lineRule="exact"/>
              <w:ind w:firstLine="562" w:firstLineChars="200"/>
              <w:rPr>
                <w:rFonts w:hint="eastAsia" w:eastAsia="仿宋_GB2312"/>
                <w:lang w:val="en-US" w:eastAsia="zh-CN"/>
              </w:rPr>
            </w:pPr>
            <w:r>
              <w:rPr>
                <w:rFonts w:hint="eastAsia" w:ascii="Times New Roman" w:hAnsi="Times New Roman"/>
                <w:b/>
                <w:bCs/>
                <w:sz w:val="28"/>
                <w:szCs w:val="28"/>
                <w:lang w:val="en-US" w:eastAsia="zh-CN"/>
              </w:rPr>
              <w:t>重点项目：</w:t>
            </w:r>
            <w:r>
              <w:rPr>
                <w:rFonts w:hint="eastAsia" w:ascii="Times New Roman" w:hAnsi="Times New Roman" w:eastAsia="仿宋_GB2312"/>
                <w:sz w:val="28"/>
                <w:szCs w:val="28"/>
                <w:lang w:val="en-US" w:eastAsia="zh-CN"/>
              </w:rPr>
              <w:t>洪上大宗固废资源化利用基地项目、煤矸石制人工土壤项目、算力中心项目</w:t>
            </w:r>
            <w:r>
              <w:rPr>
                <w:rFonts w:hint="eastAsia" w:ascii="Times New Roman" w:hAnsi="Times New Roman"/>
                <w:sz w:val="28"/>
                <w:szCs w:val="28"/>
                <w:lang w:val="en-US" w:eastAsia="zh-CN"/>
              </w:rPr>
              <w:t>。</w:t>
            </w:r>
          </w:p>
        </w:tc>
      </w:tr>
    </w:tbl>
    <w:p w14:paraId="0262FF63">
      <w:pPr>
        <w:spacing w:line="600" w:lineRule="exact"/>
        <w:ind w:firstLine="643"/>
        <w:jc w:val="center"/>
        <w:outlineLvl w:val="1"/>
        <w:rPr>
          <w:rFonts w:ascii="Times New Roman" w:hAnsi="Times New Roman" w:eastAsia="楷体_GB2312"/>
          <w:b/>
          <w:bCs/>
        </w:rPr>
      </w:pPr>
      <w:bookmarkStart w:id="53" w:name="_Toc5374"/>
      <w:bookmarkStart w:id="54" w:name="_Toc18098"/>
      <w:bookmarkStart w:id="55" w:name="_Toc26012"/>
      <w:r>
        <w:rPr>
          <w:rFonts w:ascii="Times New Roman" w:hAnsi="Times New Roman" w:eastAsia="楷体_GB2312"/>
          <w:b/>
          <w:bCs/>
        </w:rPr>
        <w:t>第</w:t>
      </w:r>
      <w:r>
        <w:rPr>
          <w:rFonts w:hint="eastAsia" w:ascii="Times New Roman" w:hAnsi="Times New Roman" w:eastAsia="楷体_GB2312"/>
          <w:b/>
          <w:bCs/>
        </w:rPr>
        <w:t>四</w:t>
      </w:r>
      <w:r>
        <w:rPr>
          <w:rFonts w:ascii="Times New Roman" w:hAnsi="Times New Roman" w:eastAsia="楷体_GB2312"/>
          <w:b/>
          <w:bCs/>
        </w:rPr>
        <w:t xml:space="preserve">节 </w:t>
      </w:r>
      <w:r>
        <w:rPr>
          <w:rFonts w:hint="eastAsia" w:ascii="Times New Roman" w:hAnsi="Times New Roman" w:eastAsia="楷体_GB2312"/>
          <w:b/>
          <w:bCs/>
        </w:rPr>
        <w:t>加强产业协同  推动产业集聚集群</w:t>
      </w:r>
      <w:bookmarkEnd w:id="53"/>
      <w:bookmarkEnd w:id="54"/>
      <w:bookmarkEnd w:id="55"/>
    </w:p>
    <w:p w14:paraId="2AEC2583">
      <w:pPr>
        <w:spacing w:line="600" w:lineRule="exact"/>
        <w:ind w:firstLine="643"/>
        <w:rPr>
          <w:rFonts w:ascii="Times New Roman" w:hAnsi="Times New Roman"/>
          <w:sz w:val="32"/>
        </w:rPr>
      </w:pPr>
      <w:r>
        <w:rPr>
          <w:rFonts w:hint="eastAsia" w:ascii="Times New Roman" w:hAnsi="Times New Roman"/>
          <w:b/>
          <w:bCs/>
        </w:rPr>
        <w:t>加强开发区内外部产业协同。</w:t>
      </w:r>
      <w:r>
        <w:rPr>
          <w:rFonts w:hint="eastAsia" w:ascii="Times New Roman" w:hAnsi="Times New Roman"/>
        </w:rPr>
        <w:t>在开发区精细化工、陶瓷和</w:t>
      </w:r>
      <w:r>
        <w:rPr>
          <w:rFonts w:hint="eastAsia" w:ascii="Times New Roman" w:hAnsi="Times New Roman"/>
          <w:lang w:val="en-US" w:eastAsia="zh-CN"/>
        </w:rPr>
        <w:t>加工</w:t>
      </w:r>
      <w:r>
        <w:rPr>
          <w:rFonts w:hint="eastAsia" w:ascii="Times New Roman" w:hAnsi="Times New Roman"/>
        </w:rPr>
        <w:t>制造业</w:t>
      </w:r>
      <w:r>
        <w:rPr>
          <w:rFonts w:hint="eastAsia" w:ascii="Times New Roman" w:hAnsi="Times New Roman"/>
          <w:lang w:val="en-US" w:eastAsia="zh-CN"/>
        </w:rPr>
        <w:t>三</w:t>
      </w:r>
      <w:r>
        <w:rPr>
          <w:rFonts w:hint="eastAsia" w:ascii="Times New Roman" w:hAnsi="Times New Roman"/>
        </w:rPr>
        <w:t>大产业之间找交集，在</w:t>
      </w:r>
      <w:r>
        <w:rPr>
          <w:rFonts w:hint="eastAsia" w:ascii="Times New Roman" w:hAnsi="Times New Roman"/>
          <w:lang w:val="en-US" w:eastAsia="zh-CN"/>
        </w:rPr>
        <w:t>三</w:t>
      </w:r>
      <w:r>
        <w:rPr>
          <w:rFonts w:hint="eastAsia" w:ascii="Times New Roman" w:hAnsi="Times New Roman"/>
        </w:rPr>
        <w:t>大产业和阳城能源资源比较优势之间找交集，在开发区产业和周边区域主导产业之间找交集。梳理电子陶瓷、化工陶瓷、硫化物电子材料（电解质）、电子化工环节链条及各类应用场景，努力形成</w:t>
      </w:r>
      <w:r>
        <w:rPr>
          <w:rFonts w:hint="eastAsia" w:ascii="Times New Roman" w:hAnsi="Times New Roman"/>
          <w:sz w:val="32"/>
        </w:rPr>
        <w:t>产业协同效应。</w:t>
      </w:r>
    </w:p>
    <w:p w14:paraId="4067D8B0">
      <w:pPr>
        <w:widowControl/>
        <w:spacing w:line="600" w:lineRule="exact"/>
        <w:ind w:firstLine="643"/>
        <w:jc w:val="left"/>
        <w:textAlignment w:val="center"/>
        <w:rPr>
          <w:rFonts w:ascii="Times New Roman" w:hAnsi="Times New Roman"/>
          <w:sz w:val="32"/>
        </w:rPr>
      </w:pPr>
      <w:r>
        <w:rPr>
          <w:rFonts w:hint="eastAsia" w:ascii="Times New Roman" w:hAnsi="Times New Roman"/>
          <w:b/>
          <w:bCs/>
          <w:sz w:val="32"/>
        </w:rPr>
        <w:t>推进链镇区深度融合发展。</w:t>
      </w:r>
      <w:r>
        <w:rPr>
          <w:rFonts w:hint="eastAsia" w:ascii="Times New Roman" w:hAnsi="Times New Roman"/>
          <w:color w:val="000000"/>
          <w:sz w:val="32"/>
        </w:rPr>
        <w:t>抓好产业链、专业镇、产业园区</w:t>
      </w:r>
      <w:r>
        <w:rPr>
          <w:rFonts w:hint="eastAsia" w:ascii="Times New Roman" w:hAnsi="Times New Roman"/>
          <w:sz w:val="32"/>
        </w:rPr>
        <w:t>融合发展。聚焦全省重点16条产业链、全市10条重点产业链，挖掘开发区</w:t>
      </w:r>
      <w:r>
        <w:rPr>
          <w:rFonts w:hint="eastAsia" w:ascii="Times New Roman" w:hAnsi="Times New Roman"/>
          <w:sz w:val="32"/>
          <w:lang w:val="en-US" w:eastAsia="zh-CN"/>
        </w:rPr>
        <w:t>三</w:t>
      </w:r>
      <w:r>
        <w:rPr>
          <w:rFonts w:hint="eastAsia" w:ascii="Times New Roman" w:hAnsi="Times New Roman"/>
          <w:sz w:val="32"/>
        </w:rPr>
        <w:t>大产业比较优势，以“强链”巩固基本盘，以“补链”打通关节点，以“延链”提升价值端，推动精细化工产业融入化工、新能源、医药产业链；陶瓷产业融入绿色建材产业链、</w:t>
      </w:r>
      <w:r>
        <w:rPr>
          <w:rFonts w:hint="eastAsia" w:ascii="Times New Roman" w:hAnsi="Times New Roman"/>
          <w:sz w:val="32"/>
          <w:lang w:val="en-US" w:eastAsia="zh-CN"/>
        </w:rPr>
        <w:t>加工</w:t>
      </w:r>
      <w:r>
        <w:rPr>
          <w:rFonts w:hint="eastAsia" w:ascii="Times New Roman" w:hAnsi="Times New Roman"/>
          <w:sz w:val="32"/>
        </w:rPr>
        <w:t>制造业融入光机电和电子信息</w:t>
      </w:r>
      <w:r>
        <w:rPr>
          <w:rFonts w:hint="eastAsia" w:ascii="Times New Roman" w:hAnsi="Times New Roman"/>
          <w:sz w:val="32"/>
          <w:lang w:eastAsia="zh-CN"/>
        </w:rPr>
        <w:t>、</w:t>
      </w:r>
      <w:r>
        <w:rPr>
          <w:rFonts w:hint="eastAsia" w:ascii="Times New Roman" w:hAnsi="Times New Roman"/>
          <w:sz w:val="32"/>
        </w:rPr>
        <w:t>固废利用、装备制造产业链。以阳城陶瓷琉璃（珐华）专业镇为牵引，持续加强陶瓷产业公共服务平台建设，帮助企业降本增效、融资赋能，提升产品附加值和竞争力。增强园区产业集聚承载效能，进一步完善基础设施建设，围绕行业共性需求提升研发设计、检验检测、仓储物流等生产性服务业功能，完善园区产业生态。</w:t>
      </w:r>
    </w:p>
    <w:p w14:paraId="6AF0B2B6">
      <w:pPr>
        <w:spacing w:line="600" w:lineRule="exact"/>
        <w:ind w:firstLine="643"/>
        <w:rPr>
          <w:rFonts w:hint="eastAsia" w:ascii="Times New Roman" w:hAnsi="Times New Roman"/>
          <w:sz w:val="32"/>
        </w:rPr>
      </w:pPr>
      <w:r>
        <w:rPr>
          <w:rFonts w:hint="eastAsia" w:ascii="Times New Roman" w:hAnsi="Times New Roman"/>
          <w:b/>
          <w:bCs/>
          <w:sz w:val="32"/>
        </w:rPr>
        <w:t>推动数字化绿色化协同发展。</w:t>
      </w:r>
      <w:r>
        <w:rPr>
          <w:rFonts w:hint="eastAsia" w:ascii="Times New Roman" w:hAnsi="Times New Roman"/>
          <w:sz w:val="32"/>
        </w:rPr>
        <w:t>提升</w:t>
      </w:r>
      <w:r>
        <w:rPr>
          <w:rFonts w:hint="eastAsia" w:ascii="Times New Roman" w:hAnsi="Times New Roman"/>
          <w:sz w:val="32"/>
          <w:lang w:val="en-US" w:eastAsia="zh-CN"/>
        </w:rPr>
        <w:t>三大产业</w:t>
      </w:r>
      <w:r>
        <w:rPr>
          <w:rFonts w:hint="eastAsia" w:ascii="Times New Roman" w:hAnsi="Times New Roman"/>
          <w:sz w:val="32"/>
        </w:rPr>
        <w:t>绿色制造水平，推动节能降碳和可再生能源利用。推动算力与绿电协同发展，创新构建“绿电交易+源网荷储一体化+绿电直连”供应模式，推动实现清洁能源发电量和算力用能情况实时监测、统一调配。推动数字技术赋能生态环境治理，建设完善生态环境监测监控网络，构建生态环境数据资源体系。</w:t>
      </w:r>
    </w:p>
    <w:p w14:paraId="2F04DF50">
      <w:pPr>
        <w:spacing w:line="600" w:lineRule="exact"/>
        <w:ind w:firstLine="643"/>
        <w:rPr>
          <w:rFonts w:hint="eastAsia" w:ascii="Times New Roman" w:hAnsi="Times New Roman"/>
        </w:rPr>
      </w:pPr>
      <w:r>
        <w:rPr>
          <w:rFonts w:hint="eastAsia" w:ascii="Times New Roman" w:hAnsi="Times New Roman"/>
          <w:b/>
          <w:bCs/>
          <w:sz w:val="32"/>
        </w:rPr>
        <w:t>加快制造业服务业融合发展。</w:t>
      </w:r>
      <w:r>
        <w:rPr>
          <w:rFonts w:hint="eastAsia" w:ascii="Times New Roman" w:hAnsi="Times New Roman"/>
          <w:sz w:val="32"/>
        </w:rPr>
        <w:t>以数字化、柔性化、集成化、共享化、平台化为方向，推动</w:t>
      </w:r>
      <w:r>
        <w:rPr>
          <w:rFonts w:hint="eastAsia" w:ascii="Times New Roman" w:hAnsi="Times New Roman"/>
          <w:sz w:val="32"/>
          <w:lang w:val="en-US" w:eastAsia="zh-CN"/>
        </w:rPr>
        <w:t>精细</w:t>
      </w:r>
      <w:r>
        <w:rPr>
          <w:rFonts w:hint="eastAsia" w:ascii="Times New Roman" w:hAnsi="Times New Roman"/>
          <w:sz w:val="32"/>
        </w:rPr>
        <w:t>化工</w:t>
      </w:r>
      <w:r>
        <w:rPr>
          <w:rFonts w:hint="eastAsia" w:ascii="Times New Roman" w:hAnsi="Times New Roman"/>
          <w:sz w:val="32"/>
          <w:lang w:eastAsia="zh-CN"/>
        </w:rPr>
        <w:t>、</w:t>
      </w:r>
      <w:r>
        <w:rPr>
          <w:rFonts w:hint="eastAsia" w:ascii="Times New Roman" w:hAnsi="Times New Roman"/>
          <w:sz w:val="32"/>
        </w:rPr>
        <w:t>陶瓷等制造业与互联网、金融、物流等现代服务业融合发展。强化5G、工业互联网、人工智能等新一代信息技术及绿色低碳技术在</w:t>
      </w:r>
      <w:r>
        <w:rPr>
          <w:rFonts w:hint="eastAsia" w:ascii="Times New Roman" w:hAnsi="Times New Roman"/>
        </w:rPr>
        <w:t>“两业”融合发展中的创新应用，扩大科技、软件、信息、物流等生产性服务业投资，推动技术变革和生产模式、商业模式、组织模式创新。</w:t>
      </w:r>
    </w:p>
    <w:p w14:paraId="68F7C8D1">
      <w:pPr>
        <w:ind w:firstLine="618"/>
        <w:jc w:val="center"/>
        <w:outlineLvl w:val="1"/>
        <w:rPr>
          <w:rFonts w:ascii="Times New Roman" w:hAnsi="Times New Roman" w:eastAsia="楷体_GB2312"/>
          <w:b/>
          <w:spacing w:val="-6"/>
        </w:rPr>
      </w:pPr>
      <w:bookmarkStart w:id="56" w:name="_Toc1155"/>
      <w:bookmarkStart w:id="57" w:name="_Toc7432"/>
      <w:bookmarkStart w:id="58" w:name="_Toc28306"/>
      <w:bookmarkStart w:id="59" w:name="_Toc22110"/>
      <w:bookmarkStart w:id="60" w:name="_Toc29985"/>
      <w:bookmarkStart w:id="61" w:name="_Toc18828"/>
      <w:bookmarkStart w:id="62" w:name="_Toc2920"/>
      <w:bookmarkStart w:id="63" w:name="_Toc10143"/>
      <w:bookmarkStart w:id="64" w:name="_Toc21942"/>
      <w:bookmarkStart w:id="65" w:name="_Toc78803886"/>
      <w:bookmarkStart w:id="66" w:name="_Toc20013"/>
      <w:bookmarkStart w:id="67" w:name="_Toc3014"/>
      <w:bookmarkStart w:id="68" w:name="_Toc449018749"/>
      <w:r>
        <w:rPr>
          <w:rFonts w:hint="eastAsia" w:ascii="Times New Roman" w:hAnsi="Times New Roman" w:eastAsia="楷体_GB2312"/>
          <w:b/>
          <w:spacing w:val="-6"/>
        </w:rPr>
        <w:t>第五节  完善产业生态   新思维推进招商引资</w:t>
      </w:r>
      <w:bookmarkEnd w:id="56"/>
      <w:bookmarkEnd w:id="57"/>
    </w:p>
    <w:p w14:paraId="04DFE214">
      <w:pPr>
        <w:ind w:firstLine="640"/>
        <w:rPr>
          <w:rFonts w:ascii="Times New Roman" w:hAnsi="Times New Roman" w:eastAsia="方正仿宋_GB2312"/>
          <w:bCs/>
          <w:color w:val="000000" w:themeColor="text1"/>
          <w:sz w:val="32"/>
          <w14:textFill>
            <w14:solidFill>
              <w14:schemeClr w14:val="tx1"/>
            </w14:solidFill>
          </w14:textFill>
        </w:rPr>
      </w:pPr>
      <w:r>
        <w:rPr>
          <w:rFonts w:hint="eastAsia" w:ascii="Times New Roman" w:hAnsi="Times New Roman" w:eastAsia="方正仿宋_GB2312"/>
          <w:bCs/>
          <w:color w:val="000000" w:themeColor="text1"/>
          <w:sz w:val="32"/>
          <w14:textFill>
            <w14:solidFill>
              <w14:schemeClr w14:val="tx1"/>
            </w14:solidFill>
          </w14:textFill>
        </w:rPr>
        <w:t>坚持把产业生态作为招商引资的基础，把创新模式作为招商引资工作的动力和引擎，在全国统一大市场背景下以市场化和专业化招商手段破解项目引进难题，发挥资本撬动作用，升级完善传统招商方式，构建一体化大招商格局。</w:t>
      </w:r>
    </w:p>
    <w:p w14:paraId="044D3327">
      <w:pPr>
        <w:spacing w:line="600" w:lineRule="exact"/>
        <w:ind w:firstLine="630" w:firstLineChars="196"/>
        <w:rPr>
          <w:rFonts w:hint="eastAsia" w:ascii="Times New Roman" w:hAnsi="Times New Roman" w:eastAsia="方正仿宋_GB2312"/>
          <w:sz w:val="32"/>
          <w:highlight w:val="yellow"/>
        </w:rPr>
      </w:pPr>
      <w:r>
        <w:rPr>
          <w:rFonts w:hint="eastAsia" w:ascii="Times New Roman" w:hAnsi="Times New Roman" w:eastAsia="方正仿宋_GB2312"/>
          <w:b/>
          <w:bCs/>
          <w:color w:val="000000" w:themeColor="text1"/>
          <w:sz w:val="32"/>
          <w14:textFill>
            <w14:solidFill>
              <w14:schemeClr w14:val="tx1"/>
            </w14:solidFill>
          </w14:textFill>
        </w:rPr>
        <w:t>完善招落一体调度机制。</w:t>
      </w:r>
      <w:r>
        <w:rPr>
          <w:rFonts w:hint="eastAsia" w:ascii="Times New Roman" w:hAnsi="Times New Roman" w:eastAsia="方正仿宋_GB2312"/>
          <w:color w:val="000000" w:themeColor="text1"/>
          <w:sz w:val="32"/>
          <w14:textFill>
            <w14:solidFill>
              <w14:schemeClr w14:val="tx1"/>
            </w14:solidFill>
          </w14:textFill>
        </w:rPr>
        <w:t>做好项目谋划包装，精准制定招商图谱，推广应用产业链、场景、基金、绿电等模式抓招商。围绕项目落地，常态化调度工作进展，及时协调解决难题，切实提高招引质效和项目落地率。</w:t>
      </w:r>
      <w:r>
        <w:rPr>
          <w:rFonts w:hint="eastAsia" w:ascii="Times New Roman" w:hAnsi="Times New Roman" w:eastAsia="方正仿宋_GB2312"/>
          <w:sz w:val="32"/>
        </w:rPr>
        <w:t>从企业入区开始，一个项目配备一个服务专员，一手托企业需求，一手拉部门职责，全</w:t>
      </w:r>
      <w:r>
        <w:rPr>
          <w:rFonts w:hint="eastAsia" w:ascii="Times New Roman" w:hAnsi="Times New Roman" w:eastAsia="方正仿宋_GB2312"/>
          <w:sz w:val="32"/>
          <w:lang w:val="en-US" w:eastAsia="zh-CN"/>
        </w:rPr>
        <w:t>周期</w:t>
      </w:r>
      <w:r>
        <w:rPr>
          <w:rFonts w:hint="eastAsia" w:ascii="Times New Roman" w:hAnsi="Times New Roman" w:eastAsia="方正仿宋_GB2312"/>
          <w:sz w:val="32"/>
        </w:rPr>
        <w:t>跟踪，终身陪跑，通过“三单一图”（任务通知单、部门对接单、督查督办单和项目流程图），明确项目招引、手续办理、要素保障、投产运营等4个环节的领办代办主体，打通环节壁垒，凝聚部门合力，保障项目引得进、落得下，发展好。</w:t>
      </w:r>
    </w:p>
    <w:p w14:paraId="6C72B4CE">
      <w:pPr>
        <w:ind w:firstLine="643"/>
        <w:rPr>
          <w:rFonts w:hint="eastAsia" w:eastAsia="仿宋" w:asciiTheme="majorHAnsi" w:hAnsiTheme="majorHAnsi"/>
          <w:color w:val="000000" w:themeColor="text1"/>
          <w:lang w:val="en-US" w:eastAsia="zh-CN"/>
          <w14:textFill>
            <w14:solidFill>
              <w14:schemeClr w14:val="tx1"/>
            </w14:solidFill>
          </w14:textFill>
        </w:rPr>
      </w:pPr>
      <w:r>
        <w:rPr>
          <w:rFonts w:hint="eastAsia" w:ascii="Times New Roman" w:hAnsi="Times New Roman" w:eastAsia="方正仿宋_GB2312"/>
          <w:b/>
          <w:bCs/>
          <w:sz w:val="32"/>
          <w:lang w:val="en-US" w:eastAsia="zh-CN"/>
        </w:rPr>
        <w:t>充分发挥市场化招商作用。</w:t>
      </w:r>
      <w:r>
        <w:rPr>
          <w:rFonts w:hint="eastAsia" w:ascii="Times New Roman" w:hAnsi="Times New Roman" w:eastAsia="方正仿宋_GB2312"/>
          <w:color w:val="000000" w:themeColor="text1"/>
          <w:sz w:val="32"/>
          <w14:textFill>
            <w14:solidFill>
              <w14:schemeClr w14:val="tx1"/>
            </w14:solidFill>
          </w14:textFill>
        </w:rPr>
        <w:t>开展资本招商，加强与国家</w:t>
      </w:r>
      <w:r>
        <w:rPr>
          <w:rFonts w:hint="eastAsia" w:ascii="Times New Roman" w:hAnsi="Times New Roman" w:eastAsia="方正仿宋_GB2312"/>
          <w:color w:val="000000" w:themeColor="text1"/>
          <w:sz w:val="32"/>
          <w:lang w:eastAsia="zh-CN"/>
          <w14:textFill>
            <w14:solidFill>
              <w14:schemeClr w14:val="tx1"/>
            </w14:solidFill>
          </w14:textFill>
        </w:rPr>
        <w:t>、</w:t>
      </w:r>
      <w:r>
        <w:rPr>
          <w:rFonts w:hint="eastAsia" w:ascii="Times New Roman" w:hAnsi="Times New Roman" w:eastAsia="方正仿宋_GB2312"/>
          <w:color w:val="000000" w:themeColor="text1"/>
          <w:sz w:val="32"/>
          <w14:textFill>
            <w14:solidFill>
              <w14:schemeClr w14:val="tx1"/>
            </w14:solidFill>
          </w14:textFill>
        </w:rPr>
        <w:t>省</w:t>
      </w:r>
      <w:r>
        <w:rPr>
          <w:rFonts w:hint="eastAsia" w:ascii="Times New Roman" w:hAnsi="Times New Roman" w:eastAsia="方正仿宋_GB2312"/>
          <w:color w:val="000000" w:themeColor="text1"/>
          <w:sz w:val="32"/>
          <w:lang w:val="en-US" w:eastAsia="zh-CN"/>
          <w14:textFill>
            <w14:solidFill>
              <w14:schemeClr w14:val="tx1"/>
            </w14:solidFill>
          </w14:textFill>
        </w:rPr>
        <w:t>市</w:t>
      </w:r>
      <w:r>
        <w:rPr>
          <w:rFonts w:hint="eastAsia" w:ascii="Times New Roman" w:hAnsi="Times New Roman" w:eastAsia="方正仿宋_GB2312"/>
          <w:color w:val="000000" w:themeColor="text1"/>
          <w:sz w:val="32"/>
          <w14:textFill>
            <w14:solidFill>
              <w14:schemeClr w14:val="tx1"/>
            </w14:solidFill>
          </w14:textFill>
        </w:rPr>
        <w:t>级基金联动，围绕新质生产力和重点产业链培育，对接</w:t>
      </w:r>
      <w:r>
        <w:rPr>
          <w:rFonts w:hint="eastAsia" w:ascii="Times New Roman" w:hAnsi="Times New Roman" w:eastAsia="方正仿宋_GB2312"/>
          <w:color w:val="000000" w:themeColor="text1"/>
          <w:sz w:val="32"/>
          <w:lang w:val="en-US" w:eastAsia="zh-CN"/>
          <w14:textFill>
            <w14:solidFill>
              <w14:schemeClr w14:val="tx1"/>
            </w14:solidFill>
          </w14:textFill>
        </w:rPr>
        <w:t>开发区</w:t>
      </w:r>
      <w:r>
        <w:rPr>
          <w:rFonts w:hint="eastAsia" w:ascii="Times New Roman" w:hAnsi="Times New Roman" w:eastAsia="方正仿宋_GB2312"/>
          <w:color w:val="000000" w:themeColor="text1"/>
          <w:sz w:val="32"/>
          <w14:textFill>
            <w14:solidFill>
              <w14:schemeClr w14:val="tx1"/>
            </w14:solidFill>
          </w14:textFill>
        </w:rPr>
        <w:t>重点产业上下游企业，围绕区内</w:t>
      </w:r>
      <w:r>
        <w:rPr>
          <w:rFonts w:hint="eastAsia" w:ascii="Times New Roman" w:hAnsi="Times New Roman" w:eastAsia="方正仿宋_GB2312"/>
          <w:color w:val="000000" w:themeColor="text1"/>
          <w:sz w:val="32"/>
          <w:lang w:val="en-US" w:eastAsia="zh-CN"/>
          <w14:textFill>
            <w14:solidFill>
              <w14:schemeClr w14:val="tx1"/>
            </w14:solidFill>
          </w14:textFill>
        </w:rPr>
        <w:t>精细化工、陶瓷和加工制造</w:t>
      </w:r>
      <w:r>
        <w:rPr>
          <w:rFonts w:hint="eastAsia" w:ascii="Times New Roman" w:hAnsi="Times New Roman" w:eastAsia="方正仿宋_GB2312"/>
          <w:color w:val="000000" w:themeColor="text1"/>
          <w:sz w:val="32"/>
          <w14:textFill>
            <w14:solidFill>
              <w14:schemeClr w14:val="tx1"/>
            </w14:solidFill>
          </w14:textFill>
        </w:rPr>
        <w:t>、固废综合利用等产业，落地一批产业链关键环节和延链补链强链项目，补齐产业发展短板，突破产业瓶颈，促进传统产业改造升级，培育壮大新兴产业和未来产业。实施专业招商</w:t>
      </w:r>
      <w:r>
        <w:rPr>
          <w:rFonts w:hint="eastAsia" w:ascii="Times New Roman" w:hAnsi="Times New Roman" w:eastAsia="方正仿宋_GB2312"/>
          <w:color w:val="000000" w:themeColor="text1"/>
          <w:sz w:val="32"/>
          <w:lang w:eastAsia="zh-CN"/>
          <w14:textFill>
            <w14:solidFill>
              <w14:schemeClr w14:val="tx1"/>
            </w14:solidFill>
          </w14:textFill>
        </w:rPr>
        <w:t>、</w:t>
      </w:r>
      <w:r>
        <w:rPr>
          <w:rFonts w:hint="eastAsia" w:ascii="Times New Roman" w:hAnsi="Times New Roman" w:eastAsia="方正仿宋_GB2312"/>
          <w:color w:val="000000" w:themeColor="text1"/>
          <w:sz w:val="32"/>
          <w:lang w:val="en-US" w:eastAsia="zh-CN"/>
          <w14:textFill>
            <w14:solidFill>
              <w14:schemeClr w14:val="tx1"/>
            </w14:solidFill>
          </w14:textFill>
        </w:rPr>
        <w:t>中介招商，</w:t>
      </w:r>
      <w:r>
        <w:rPr>
          <w:rFonts w:hint="eastAsia" w:ascii="Times New Roman" w:hAnsi="Times New Roman" w:eastAsia="方正仿宋_GB2312"/>
          <w:color w:val="000000" w:themeColor="text1"/>
          <w:sz w:val="32"/>
          <w14:textFill>
            <w14:solidFill>
              <w14:schemeClr w14:val="tx1"/>
            </w14:solidFill>
          </w14:textFill>
        </w:rPr>
        <w:t>推行“政府</w:t>
      </w:r>
      <w:r>
        <w:rPr>
          <w:rFonts w:hint="eastAsia" w:ascii="Times New Roman" w:hAnsi="Times New Roman" w:eastAsia="方正仿宋_GB2312"/>
          <w:color w:val="000000" w:themeColor="text1"/>
          <w:sz w:val="32"/>
          <w:lang w:val="en-US" w:eastAsia="zh-CN"/>
          <w14:textFill>
            <w14:solidFill>
              <w14:schemeClr w14:val="tx1"/>
            </w14:solidFill>
          </w14:textFill>
        </w:rPr>
        <w:t>+</w:t>
      </w:r>
      <w:r>
        <w:rPr>
          <w:rFonts w:hint="eastAsia" w:ascii="Times New Roman" w:hAnsi="Times New Roman" w:eastAsia="方正仿宋_GB2312"/>
          <w:color w:val="000000" w:themeColor="text1"/>
          <w:sz w:val="32"/>
          <w14:textFill>
            <w14:solidFill>
              <w14:schemeClr w14:val="tx1"/>
            </w14:solidFill>
          </w14:textFill>
        </w:rPr>
        <w:t>公司</w:t>
      </w:r>
      <w:r>
        <w:rPr>
          <w:rFonts w:hint="eastAsia" w:ascii="Times New Roman" w:hAnsi="Times New Roman" w:eastAsia="方正仿宋_GB2312"/>
          <w:color w:val="000000" w:themeColor="text1"/>
          <w:sz w:val="32"/>
          <w:lang w:val="en-US" w:eastAsia="zh-CN"/>
          <w14:textFill>
            <w14:solidFill>
              <w14:schemeClr w14:val="tx1"/>
            </w14:solidFill>
          </w14:textFill>
        </w:rPr>
        <w:t>+</w:t>
      </w:r>
      <w:r>
        <w:rPr>
          <w:rFonts w:hint="eastAsia" w:ascii="Times New Roman" w:hAnsi="Times New Roman" w:eastAsia="方正仿宋_GB2312"/>
          <w:color w:val="000000" w:themeColor="text1"/>
          <w:sz w:val="32"/>
          <w14:textFill>
            <w14:solidFill>
              <w14:schemeClr w14:val="tx1"/>
            </w14:solidFill>
          </w14:textFill>
        </w:rPr>
        <w:t>专业机构”联动招商模式，</w:t>
      </w:r>
      <w:r>
        <w:rPr>
          <w:rFonts w:hint="eastAsia" w:ascii="Times New Roman" w:hAnsi="Times New Roman" w:eastAsia="方正仿宋_GB2312"/>
          <w:color w:val="000000" w:themeColor="text1"/>
          <w:sz w:val="32"/>
          <w:lang w:val="en-US" w:eastAsia="zh-CN"/>
          <w14:textFill>
            <w14:solidFill>
              <w14:schemeClr w14:val="tx1"/>
            </w14:solidFill>
          </w14:textFill>
        </w:rPr>
        <w:t>组建和</w:t>
      </w:r>
      <w:r>
        <w:rPr>
          <w:rFonts w:hint="eastAsia" w:ascii="Times New Roman" w:hAnsi="Times New Roman" w:eastAsia="方正仿宋_GB2312"/>
          <w:color w:val="000000" w:themeColor="text1"/>
          <w:sz w:val="32"/>
          <w14:textFill>
            <w14:solidFill>
              <w14:schemeClr w14:val="tx1"/>
            </w14:solidFill>
          </w14:textFill>
        </w:rPr>
        <w:t>提升市场化招商服务团队专业能力，</w:t>
      </w:r>
      <w:r>
        <w:rPr>
          <w:rFonts w:hint="eastAsia" w:ascii="Times New Roman" w:hAnsi="Times New Roman" w:eastAsia="方正仿宋_GB2312"/>
          <w:color w:val="000000" w:themeColor="text1"/>
          <w:sz w:val="32"/>
          <w:lang w:val="en-US" w:eastAsia="zh-CN"/>
          <w14:textFill>
            <w14:solidFill>
              <w14:schemeClr w14:val="tx1"/>
            </w14:solidFill>
          </w14:textFill>
        </w:rPr>
        <w:t>依托丰富</w:t>
      </w:r>
      <w:r>
        <w:rPr>
          <w:rFonts w:hint="eastAsia" w:ascii="Times New Roman" w:hAnsi="Times New Roman" w:eastAsia="方正仿宋_GB2312"/>
          <w:color w:val="000000" w:themeColor="text1"/>
          <w:sz w:val="32"/>
          <w14:textFill>
            <w14:solidFill>
              <w14:schemeClr w14:val="tx1"/>
            </w14:solidFill>
          </w14:textFill>
        </w:rPr>
        <w:t>行业资源网络、精准项目匹配能力及成熟的招商服务经验，定向挖掘优质项目</w:t>
      </w:r>
      <w:r>
        <w:rPr>
          <w:rFonts w:hint="eastAsia" w:ascii="Times New Roman" w:hAnsi="Times New Roman" w:eastAsia="方正仿宋_GB2312"/>
          <w:color w:val="000000" w:themeColor="text1"/>
          <w:sz w:val="32"/>
          <w:lang w:val="en-US" w:eastAsia="zh-CN"/>
          <w14:textFill>
            <w14:solidFill>
              <w14:schemeClr w14:val="tx1"/>
            </w14:solidFill>
          </w14:textFill>
        </w:rPr>
        <w:t>招商，推进</w:t>
      </w:r>
      <w:r>
        <w:rPr>
          <w:rFonts w:hint="eastAsia" w:ascii="Times New Roman" w:hAnsi="Times New Roman" w:eastAsia="方正仿宋_GB2312"/>
          <w:color w:val="000000" w:themeColor="text1"/>
          <w:sz w:val="32"/>
          <w14:textFill>
            <w14:solidFill>
              <w14:schemeClr w14:val="tx1"/>
            </w14:solidFill>
          </w14:textFill>
        </w:rPr>
        <w:t>与中化赛鼎、建发集团、中金寰华等合作共建园区，利用其行业影响力开展合作招商。开展应用场景招商</w:t>
      </w:r>
      <w:r>
        <w:rPr>
          <w:rFonts w:hint="eastAsia" w:ascii="Times New Roman" w:hAnsi="Times New Roman" w:eastAsia="方正仿宋_GB2312"/>
          <w:color w:val="000000" w:themeColor="text1"/>
          <w:sz w:val="32"/>
          <w:lang w:val="en-US" w:eastAsia="zh-CN"/>
          <w14:textFill>
            <w14:solidFill>
              <w14:schemeClr w14:val="tx1"/>
            </w14:solidFill>
          </w14:textFill>
        </w:rPr>
        <w:t>和以商招商，</w:t>
      </w:r>
      <w:r>
        <w:rPr>
          <w:rFonts w:hint="eastAsia" w:ascii="Times New Roman" w:hAnsi="Times New Roman" w:eastAsia="方正仿宋_GB2312"/>
          <w:color w:val="000000" w:themeColor="text1"/>
          <w:sz w:val="32"/>
          <w14:textFill>
            <w14:solidFill>
              <w14:schemeClr w14:val="tx1"/>
            </w14:solidFill>
          </w14:textFill>
        </w:rPr>
        <w:t>引导龙头企业围绕上下游配套，</w:t>
      </w:r>
      <w:r>
        <w:rPr>
          <w:rFonts w:hint="eastAsia" w:ascii="Times New Roman" w:hAnsi="Times New Roman" w:eastAsia="方正仿宋_GB2312"/>
          <w:color w:val="000000" w:themeColor="text1"/>
          <w:sz w:val="32"/>
          <w:lang w:val="en-US" w:eastAsia="zh-CN"/>
          <w14:textFill>
            <w14:solidFill>
              <w14:schemeClr w14:val="tx1"/>
            </w14:solidFill>
          </w14:textFill>
        </w:rPr>
        <w:t>聚焦重大应用场景招商。</w:t>
      </w:r>
    </w:p>
    <w:p w14:paraId="7742470F">
      <w:pPr>
        <w:ind w:firstLine="643"/>
        <w:rPr>
          <w:rFonts w:ascii="Times New Roman" w:hAnsi="Times New Roman" w:eastAsia="方正仿宋_GB2312"/>
          <w:color w:val="000000" w:themeColor="text1"/>
          <w:sz w:val="32"/>
          <w14:textFill>
            <w14:solidFill>
              <w14:schemeClr w14:val="tx1"/>
            </w14:solidFill>
          </w14:textFill>
        </w:rPr>
      </w:pPr>
      <w:r>
        <w:rPr>
          <w:rFonts w:hint="eastAsia" w:ascii="Times New Roman" w:hAnsi="Times New Roman" w:eastAsia="方正仿宋_GB2312"/>
          <w:b/>
          <w:bCs/>
          <w:color w:val="000000" w:themeColor="text1"/>
          <w:sz w:val="32"/>
          <w:lang w:val="en-US" w:eastAsia="zh-CN"/>
          <w14:textFill>
            <w14:solidFill>
              <w14:schemeClr w14:val="tx1"/>
            </w14:solidFill>
          </w14:textFill>
        </w:rPr>
        <w:t>完善产业</w:t>
      </w:r>
      <w:r>
        <w:rPr>
          <w:rFonts w:hint="eastAsia" w:ascii="Times New Roman" w:hAnsi="Times New Roman" w:eastAsia="方正仿宋_GB2312"/>
          <w:b/>
          <w:bCs/>
          <w:color w:val="000000" w:themeColor="text1"/>
          <w:sz w:val="32"/>
          <w14:textFill>
            <w14:solidFill>
              <w14:schemeClr w14:val="tx1"/>
            </w14:solidFill>
          </w14:textFill>
        </w:rPr>
        <w:t>招商</w:t>
      </w:r>
      <w:r>
        <w:rPr>
          <w:rFonts w:hint="eastAsia" w:ascii="Times New Roman" w:hAnsi="Times New Roman" w:eastAsia="方正仿宋_GB2312"/>
          <w:b/>
          <w:bCs/>
          <w:color w:val="000000" w:themeColor="text1"/>
          <w:sz w:val="32"/>
          <w:lang w:val="en-US" w:eastAsia="zh-CN"/>
          <w14:textFill>
            <w14:solidFill>
              <w14:schemeClr w14:val="tx1"/>
            </w14:solidFill>
          </w14:textFill>
        </w:rPr>
        <w:t>体系</w:t>
      </w:r>
      <w:r>
        <w:rPr>
          <w:rFonts w:hint="eastAsia" w:ascii="Times New Roman" w:hAnsi="Times New Roman" w:eastAsia="方正仿宋_GB2312"/>
          <w:b/>
          <w:bCs/>
          <w:color w:val="000000" w:themeColor="text1"/>
          <w:sz w:val="32"/>
          <w14:textFill>
            <w14:solidFill>
              <w14:schemeClr w14:val="tx1"/>
            </w14:solidFill>
          </w14:textFill>
        </w:rPr>
        <w:t>。</w:t>
      </w:r>
      <w:r>
        <w:rPr>
          <w:rFonts w:hint="eastAsia" w:ascii="Times New Roman" w:hAnsi="Times New Roman" w:eastAsia="方正仿宋_GB2312"/>
          <w:color w:val="000000" w:themeColor="text1"/>
          <w:sz w:val="32"/>
          <w14:textFill>
            <w14:solidFill>
              <w14:schemeClr w14:val="tx1"/>
            </w14:solidFill>
          </w14:textFill>
        </w:rPr>
        <w:t>深化产业链招商</w:t>
      </w:r>
      <w:r>
        <w:rPr>
          <w:rFonts w:hint="eastAsia" w:ascii="Times New Roman" w:hAnsi="Times New Roman" w:eastAsia="方正仿宋_GB2312"/>
          <w:color w:val="000000" w:themeColor="text1"/>
          <w:sz w:val="32"/>
          <w:lang w:eastAsia="zh-CN"/>
          <w14:textFill>
            <w14:solidFill>
              <w14:schemeClr w14:val="tx1"/>
            </w14:solidFill>
          </w14:textFill>
        </w:rPr>
        <w:t>，</w:t>
      </w:r>
      <w:r>
        <w:rPr>
          <w:rFonts w:hint="eastAsia" w:ascii="Times New Roman" w:hAnsi="Times New Roman" w:eastAsia="方正仿宋_GB2312"/>
          <w:color w:val="000000" w:themeColor="text1"/>
          <w:sz w:val="32"/>
          <w:lang w:val="en-US" w:eastAsia="zh-CN"/>
          <w14:textFill>
            <w14:solidFill>
              <w14:schemeClr w14:val="tx1"/>
            </w14:solidFill>
          </w14:textFill>
        </w:rPr>
        <w:t>聚焦三大产业</w:t>
      </w:r>
      <w:r>
        <w:rPr>
          <w:rFonts w:hint="eastAsia" w:ascii="Times New Roman" w:hAnsi="Times New Roman" w:eastAsia="方正仿宋_GB2312"/>
          <w:color w:val="000000" w:themeColor="text1"/>
          <w:sz w:val="32"/>
          <w14:textFill>
            <w14:solidFill>
              <w14:schemeClr w14:val="tx1"/>
            </w14:solidFill>
          </w14:textFill>
        </w:rPr>
        <w:t>行业龙头和细分领域冠军企业，完善政策体系，提升服务效能，聚焦长三角、粤港澳等区域</w:t>
      </w:r>
      <w:r>
        <w:rPr>
          <w:rFonts w:hint="eastAsia" w:ascii="Times New Roman" w:hAnsi="Times New Roman" w:eastAsia="方正仿宋_GB2312"/>
          <w:color w:val="000000" w:themeColor="text1"/>
          <w:sz w:val="32"/>
          <w:lang w:val="en-US" w:eastAsia="zh-CN"/>
          <w14:textFill>
            <w14:solidFill>
              <w14:schemeClr w14:val="tx1"/>
            </w14:solidFill>
          </w14:textFill>
        </w:rPr>
        <w:t>开展产业链对接活动</w:t>
      </w:r>
      <w:r>
        <w:rPr>
          <w:rFonts w:hint="eastAsia" w:ascii="Times New Roman" w:hAnsi="Times New Roman" w:eastAsia="方正仿宋_GB2312"/>
          <w:color w:val="000000" w:themeColor="text1"/>
          <w:sz w:val="32"/>
          <w14:textFill>
            <w14:solidFill>
              <w14:schemeClr w14:val="tx1"/>
            </w14:solidFill>
          </w14:textFill>
        </w:rPr>
        <w:t>。开展“产业链</w:t>
      </w:r>
      <w:r>
        <w:rPr>
          <w:rFonts w:hint="eastAsia" w:ascii="Times New Roman" w:hAnsi="Times New Roman" w:eastAsia="方正仿宋_GB2312"/>
          <w:color w:val="000000" w:themeColor="text1"/>
          <w:sz w:val="32"/>
          <w:lang w:val="en-US" w:eastAsia="zh-CN"/>
          <w14:textFill>
            <w14:solidFill>
              <w14:schemeClr w14:val="tx1"/>
            </w14:solidFill>
          </w14:textFill>
        </w:rPr>
        <w:t>+</w:t>
      </w:r>
      <w:r>
        <w:rPr>
          <w:rFonts w:hint="eastAsia" w:ascii="Times New Roman" w:hAnsi="Times New Roman" w:eastAsia="方正仿宋_GB2312"/>
          <w:color w:val="000000" w:themeColor="text1"/>
          <w:sz w:val="32"/>
          <w14:textFill>
            <w14:solidFill>
              <w14:schemeClr w14:val="tx1"/>
            </w14:solidFill>
          </w14:textFill>
        </w:rPr>
        <w:t>新型研发机构”招商</w:t>
      </w:r>
      <w:r>
        <w:rPr>
          <w:rFonts w:hint="eastAsia" w:ascii="Times New Roman" w:hAnsi="Times New Roman" w:eastAsia="方正仿宋_GB2312"/>
          <w:color w:val="000000" w:themeColor="text1"/>
          <w:sz w:val="32"/>
          <w:lang w:eastAsia="zh-CN"/>
          <w14:textFill>
            <w14:solidFill>
              <w14:schemeClr w14:val="tx1"/>
            </w14:solidFill>
          </w14:textFill>
        </w:rPr>
        <w:t>，</w:t>
      </w:r>
      <w:r>
        <w:rPr>
          <w:rFonts w:hint="eastAsia" w:ascii="Times New Roman" w:hAnsi="Times New Roman" w:eastAsia="方正仿宋_GB2312"/>
          <w:color w:val="000000" w:themeColor="text1"/>
          <w:sz w:val="32"/>
          <w14:textFill>
            <w14:solidFill>
              <w14:schemeClr w14:val="tx1"/>
            </w14:solidFill>
          </w14:textFill>
        </w:rPr>
        <w:t>积极</w:t>
      </w:r>
      <w:r>
        <w:rPr>
          <w:rFonts w:hint="eastAsia" w:ascii="Times New Roman" w:hAnsi="Times New Roman" w:eastAsia="方正仿宋_GB2312"/>
          <w:color w:val="000000" w:themeColor="text1"/>
          <w:sz w:val="32"/>
          <w:lang w:val="en-US" w:eastAsia="zh-CN"/>
          <w14:textFill>
            <w14:solidFill>
              <w14:schemeClr w14:val="tx1"/>
            </w14:solidFill>
          </w14:textFill>
        </w:rPr>
        <w:t>联系对接精细化工、陶瓷和加工制造业</w:t>
      </w:r>
      <w:r>
        <w:rPr>
          <w:rFonts w:hint="eastAsia" w:ascii="Times New Roman" w:hAnsi="Times New Roman" w:eastAsia="方正仿宋_GB2312"/>
          <w:color w:val="000000" w:themeColor="text1"/>
          <w:sz w:val="32"/>
          <w14:textFill>
            <w14:solidFill>
              <w14:schemeClr w14:val="tx1"/>
            </w14:solidFill>
          </w14:textFill>
        </w:rPr>
        <w:t>知名高校科研院所，促进产业科研、高端人才引进、科技成果转化</w:t>
      </w:r>
      <w:r>
        <w:rPr>
          <w:rFonts w:hint="eastAsia" w:ascii="Times New Roman" w:hAnsi="Times New Roman" w:eastAsia="方正仿宋_GB2312"/>
          <w:color w:val="000000" w:themeColor="text1"/>
          <w:sz w:val="32"/>
          <w:lang w:val="en-US" w:eastAsia="zh-CN"/>
          <w14:textFill>
            <w14:solidFill>
              <w14:schemeClr w14:val="tx1"/>
            </w14:solidFill>
          </w14:textFill>
        </w:rPr>
        <w:t>和</w:t>
      </w:r>
      <w:r>
        <w:rPr>
          <w:rFonts w:hint="eastAsia" w:ascii="Times New Roman" w:hAnsi="Times New Roman" w:eastAsia="方正仿宋_GB2312"/>
          <w:color w:val="000000" w:themeColor="text1"/>
          <w:sz w:val="32"/>
          <w14:textFill>
            <w14:solidFill>
              <w14:schemeClr w14:val="tx1"/>
            </w14:solidFill>
          </w14:textFill>
        </w:rPr>
        <w:t>重点产业招商，夯实产业创新发展基础。</w:t>
      </w:r>
      <w:r>
        <w:rPr>
          <w:rFonts w:hint="eastAsia" w:ascii="Times New Roman" w:hAnsi="Times New Roman" w:eastAsia="方正仿宋_GB2312"/>
          <w:color w:val="000000" w:themeColor="text1"/>
          <w:sz w:val="32"/>
          <w:lang w:val="en-US" w:eastAsia="zh-CN"/>
          <w14:textFill>
            <w14:solidFill>
              <w14:schemeClr w14:val="tx1"/>
            </w14:solidFill>
          </w14:textFill>
        </w:rPr>
        <w:t>统筹办好各类招商活动。</w:t>
      </w:r>
    </w:p>
    <w:p w14:paraId="55C4BD31">
      <w:pPr>
        <w:spacing w:line="600" w:lineRule="exact"/>
        <w:ind w:left="0" w:leftChars="0" w:firstLine="0" w:firstLineChars="0"/>
        <w:jc w:val="center"/>
        <w:rPr>
          <w:rFonts w:hint="eastAsia"/>
        </w:rPr>
      </w:pPr>
      <w:r>
        <w:rPr>
          <w:rFonts w:hint="eastAsia" w:ascii="Times New Roman" w:hAnsi="Times New Roman" w:eastAsia="楷体_GB2312"/>
          <w:b/>
          <w:spacing w:val="-6"/>
        </w:rPr>
        <w:t>第六节  赋能平台公司  助力产业综合服务</w:t>
      </w:r>
    </w:p>
    <w:p w14:paraId="65BCFAED">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lang w:bidi="ar"/>
        </w:rPr>
      </w:pPr>
      <w:bookmarkStart w:id="69" w:name="_Toc4639"/>
      <w:r>
        <w:rPr>
          <w:rFonts w:hint="eastAsia"/>
        </w:rPr>
        <w:t>以“阳城开发区产业发展综合服务商”为定位，</w:t>
      </w:r>
      <w:r>
        <w:rPr>
          <w:rFonts w:hint="eastAsia"/>
          <w:lang w:bidi="ar"/>
        </w:rPr>
        <w:t>推动平台公司</w:t>
      </w:r>
      <w:r>
        <w:rPr>
          <w:rFonts w:hint="eastAsia"/>
        </w:rPr>
        <w:t>从</w:t>
      </w:r>
      <w:r>
        <w:rPr>
          <w:rFonts w:hint="eastAsia"/>
          <w:lang w:bidi="ar"/>
        </w:rPr>
        <w:t>“政府融资平台”向“市场化主体”转型，从“单一建设者”转向“综合运营商”转型，从“政府补贴”向“自主盈利”转型。通过产业化转型，打造实体化、市场化、专业化的运营主体，重构信用体系、拓宽融资路径、实现可持续发展。</w:t>
      </w:r>
    </w:p>
    <w:p w14:paraId="393D6C82">
      <w:pPr>
        <w:widowControl/>
        <w:ind w:firstLine="640"/>
        <w:jc w:val="left"/>
        <w:rPr>
          <w:rFonts w:hint="eastAsia" w:ascii="Times New Roman" w:hAnsi="Times New Roman" w:eastAsia="方正仿宋_GB2312" w:cs="仿宋_GB2312"/>
          <w:color w:val="0F1115"/>
          <w:sz w:val="32"/>
          <w:shd w:val="clear" w:color="auto" w:fill="FFFFFF"/>
        </w:rPr>
      </w:pPr>
      <w:r>
        <w:rPr>
          <w:rFonts w:hint="eastAsia" w:ascii="Times New Roman" w:hAnsi="Times New Roman" w:eastAsia="方正仿宋_GB2312"/>
          <w:b/>
          <w:bCs/>
          <w:sz w:val="32"/>
        </w:rPr>
        <w:t>重组整合提升产业功能。</w:t>
      </w:r>
      <w:r>
        <w:rPr>
          <w:rFonts w:hint="eastAsia" w:ascii="Times New Roman" w:hAnsi="Times New Roman" w:eastAsia="方正仿宋_GB2312" w:cs="仿宋_GB2312"/>
          <w:color w:val="0F1115"/>
          <w:sz w:val="32"/>
          <w:shd w:val="clear" w:color="auto" w:fill="FFFFFF"/>
        </w:rPr>
        <w:t>推动平台公司聚焦发挥专业功能，分别在基础设施建设、产业投资、园区运营、土地和</w:t>
      </w:r>
      <w:r>
        <w:rPr>
          <w:rFonts w:hint="eastAsia" w:ascii="Times New Roman" w:hAnsi="Times New Roman" w:eastAsia="方正仿宋_GB2312" w:cs="仿宋_GB2312"/>
          <w:color w:val="0F1115"/>
          <w:sz w:val="32"/>
          <w:shd w:val="clear" w:color="auto" w:fill="FFFFFF"/>
          <w:lang w:val="en-US" w:eastAsia="zh-CN"/>
        </w:rPr>
        <w:t>产业服务</w:t>
      </w:r>
      <w:r>
        <w:rPr>
          <w:rFonts w:hint="eastAsia" w:ascii="Times New Roman" w:hAnsi="Times New Roman" w:eastAsia="方正仿宋_GB2312" w:cs="仿宋_GB2312"/>
          <w:color w:val="0F1115"/>
          <w:sz w:val="32"/>
          <w:shd w:val="clear" w:color="auto" w:fill="FFFFFF"/>
        </w:rPr>
        <w:t>领域明晰主业方向，提升市场化能力。</w:t>
      </w:r>
      <w:r>
        <w:rPr>
          <w:rFonts w:hint="eastAsia" w:ascii="Times New Roman" w:hAnsi="Times New Roman" w:eastAsia="方正仿宋_GB2312" w:cs="仿宋_GB2312"/>
          <w:color w:val="0F1115"/>
          <w:sz w:val="32"/>
          <w:shd w:val="clear" w:color="auto" w:fill="FFFFFF"/>
          <w:lang w:val="en-US" w:eastAsia="zh-CN"/>
        </w:rPr>
        <w:t>引导开投</w:t>
      </w:r>
      <w:r>
        <w:rPr>
          <w:rFonts w:hint="eastAsia" w:ascii="Times New Roman" w:hAnsi="Times New Roman" w:eastAsia="方正仿宋_GB2312" w:cs="仿宋_GB2312"/>
          <w:color w:val="0F1115"/>
          <w:sz w:val="32"/>
          <w:shd w:val="clear" w:color="auto" w:fill="FFFFFF"/>
        </w:rPr>
        <w:t>公司聚焦产业投资</w:t>
      </w:r>
      <w:r>
        <w:rPr>
          <w:rFonts w:hint="eastAsia" w:ascii="Times New Roman" w:hAnsi="Times New Roman" w:eastAsia="方正仿宋_GB2312" w:cs="仿宋_GB2312"/>
          <w:color w:val="0F1115"/>
          <w:sz w:val="32"/>
          <w:shd w:val="clear" w:color="auto" w:fill="FFFFFF"/>
          <w:lang w:eastAsia="zh-CN"/>
        </w:rPr>
        <w:t>，</w:t>
      </w:r>
      <w:r>
        <w:rPr>
          <w:rFonts w:hint="eastAsia" w:ascii="Times New Roman" w:hAnsi="Times New Roman" w:eastAsia="方正仿宋_GB2312" w:cs="仿宋_GB2312"/>
          <w:color w:val="0F1115"/>
          <w:sz w:val="32"/>
          <w:shd w:val="clear" w:color="auto" w:fill="FFFFFF"/>
        </w:rPr>
        <w:t>设立产业引导基金，以市场化方式投资本地优势产业、专精特新企业或上下游配套项目，以“以投带引”方式引入产业落地。</w:t>
      </w:r>
      <w:r>
        <w:rPr>
          <w:rFonts w:hint="eastAsia" w:ascii="Times New Roman" w:hAnsi="Times New Roman" w:eastAsia="方正仿宋_GB2312" w:cs="仿宋_GB2312"/>
          <w:color w:val="0F1115"/>
          <w:sz w:val="32"/>
          <w:shd w:val="clear" w:color="auto" w:fill="FFFFFF"/>
          <w:lang w:val="en-US" w:eastAsia="zh-CN"/>
        </w:rPr>
        <w:t>引导</w:t>
      </w:r>
      <w:r>
        <w:rPr>
          <w:rFonts w:hint="eastAsia" w:ascii="Times New Roman" w:hAnsi="Times New Roman" w:eastAsia="方正仿宋_GB2312" w:cs="仿宋_GB2312"/>
          <w:color w:val="0F1115"/>
          <w:sz w:val="32"/>
          <w:shd w:val="clear" w:color="auto" w:fill="FFFFFF"/>
        </w:rPr>
        <w:t>台头</w:t>
      </w:r>
      <w:r>
        <w:rPr>
          <w:rFonts w:hint="eastAsia" w:ascii="Times New Roman" w:hAnsi="Times New Roman" w:eastAsia="方正仿宋_GB2312" w:cs="仿宋_GB2312"/>
          <w:color w:val="0F1115"/>
          <w:sz w:val="32"/>
          <w:shd w:val="clear" w:color="auto" w:fill="FFFFFF"/>
          <w:lang w:val="en-US" w:eastAsia="zh-CN"/>
        </w:rPr>
        <w:t>等</w:t>
      </w:r>
      <w:r>
        <w:rPr>
          <w:rFonts w:hint="eastAsia" w:ascii="Times New Roman" w:hAnsi="Times New Roman" w:eastAsia="方正仿宋_GB2312" w:cs="仿宋_GB2312"/>
          <w:color w:val="0F1115"/>
          <w:sz w:val="32"/>
          <w:shd w:val="clear" w:color="auto" w:fill="FFFFFF"/>
        </w:rPr>
        <w:t>运营</w:t>
      </w:r>
      <w:r>
        <w:rPr>
          <w:rFonts w:hint="eastAsia" w:ascii="Times New Roman" w:hAnsi="Times New Roman" w:eastAsia="方正仿宋_GB2312" w:cs="仿宋_GB2312"/>
          <w:color w:val="0F1115"/>
          <w:sz w:val="32"/>
          <w:shd w:val="clear" w:color="auto" w:fill="FFFFFF"/>
          <w:lang w:val="en-US" w:eastAsia="zh-CN"/>
        </w:rPr>
        <w:t>公司</w:t>
      </w:r>
      <w:r>
        <w:rPr>
          <w:rFonts w:hint="eastAsia" w:ascii="Times New Roman" w:hAnsi="Times New Roman" w:eastAsia="方正仿宋_GB2312" w:cs="仿宋_GB2312"/>
          <w:color w:val="0F1115"/>
          <w:sz w:val="32"/>
          <w:shd w:val="clear" w:color="auto" w:fill="FFFFFF"/>
        </w:rPr>
        <w:t>聚焦园区运营，将产业园区、标准厂房从“房东”角色升级为“店小二”，构建涵盖人才引育、招商对接、企业运营的全周期产业服务体系</w:t>
      </w:r>
      <w:r>
        <w:rPr>
          <w:rFonts w:hint="eastAsia" w:ascii="Times New Roman" w:hAnsi="Times New Roman" w:eastAsia="方正仿宋_GB2312" w:cs="仿宋_GB2312"/>
          <w:color w:val="0F1115"/>
          <w:sz w:val="32"/>
          <w:shd w:val="clear" w:color="auto" w:fill="FFFFFF"/>
          <w:lang w:eastAsia="zh-CN"/>
        </w:rPr>
        <w:t>，</w:t>
      </w:r>
      <w:r>
        <w:rPr>
          <w:rFonts w:hint="eastAsia" w:ascii="Times New Roman" w:hAnsi="Times New Roman" w:eastAsia="方正仿宋_GB2312" w:cs="仿宋_GB2312"/>
          <w:color w:val="0F1115"/>
          <w:sz w:val="32"/>
          <w:shd w:val="clear" w:color="auto" w:fill="FFFFFF"/>
        </w:rPr>
        <w:t>提升租金以外的服务性收入，提供物业、金融、能源、人才、供应链等增值服务并搭建一站式数字化服务平台，为企业提供政策代办、融资对接、技术咨询、市场拓展等服务，助力企业扎根发展。支持</w:t>
      </w:r>
      <w:r>
        <w:rPr>
          <w:rFonts w:hint="eastAsia" w:ascii="Times New Roman" w:hAnsi="Times New Roman" w:eastAsia="方正仿宋_GB2312" w:cs="仿宋_GB2312"/>
          <w:color w:val="0F1115"/>
          <w:sz w:val="32"/>
          <w:shd w:val="clear" w:color="auto" w:fill="FFFFFF"/>
          <w:lang w:val="en-US" w:eastAsia="zh-CN"/>
        </w:rPr>
        <w:t>坤泰</w:t>
      </w:r>
      <w:r>
        <w:rPr>
          <w:rFonts w:hint="eastAsia" w:ascii="Times New Roman" w:hAnsi="Times New Roman" w:eastAsia="方正仿宋_GB2312" w:cs="仿宋_GB2312"/>
          <w:color w:val="0F1115"/>
          <w:sz w:val="32"/>
          <w:shd w:val="clear" w:color="auto" w:fill="FFFFFF"/>
        </w:rPr>
        <w:t>公司针对区域内主导产业，搭建集采、物流、贸易等供应链平台，</w:t>
      </w:r>
      <w:r>
        <w:rPr>
          <w:rFonts w:hint="eastAsia" w:ascii="Times New Roman" w:hAnsi="Times New Roman" w:eastAsia="方正仿宋_GB2312" w:cs="仿宋_GB2312"/>
          <w:color w:val="0F1115"/>
          <w:sz w:val="32"/>
          <w:shd w:val="clear" w:color="auto" w:fill="FFFFFF"/>
          <w:lang w:val="en-US" w:eastAsia="zh-CN"/>
        </w:rPr>
        <w:t>实现</w:t>
      </w:r>
      <w:r>
        <w:rPr>
          <w:rFonts w:hint="eastAsia" w:ascii="Times New Roman" w:hAnsi="Times New Roman" w:eastAsia="方正仿宋_GB2312" w:cs="仿宋_GB2312"/>
          <w:color w:val="0F1115"/>
          <w:sz w:val="32"/>
          <w:shd w:val="clear" w:color="auto" w:fill="FFFFFF"/>
        </w:rPr>
        <w:t>服务收益的同时增强对产业链的掌控力。</w:t>
      </w:r>
      <w:r>
        <w:rPr>
          <w:rFonts w:hint="eastAsia" w:ascii="Times New Roman" w:hAnsi="Times New Roman" w:eastAsia="方正仿宋_GB2312" w:cs="仿宋_GB2312"/>
          <w:color w:val="0F1115"/>
          <w:sz w:val="32"/>
          <w:shd w:val="clear" w:color="auto" w:fill="FFFFFF"/>
          <w:lang w:val="en-US" w:eastAsia="zh-CN"/>
        </w:rPr>
        <w:t>引导同耀、恒业、荣开和方之圆等平台公司聚焦细分领域，深耕细作，发挥产业服务专业化作用。</w:t>
      </w:r>
      <w:r>
        <w:rPr>
          <w:rFonts w:hint="eastAsia" w:ascii="Times New Roman" w:hAnsi="Times New Roman" w:eastAsia="方正仿宋_GB2312" w:cs="仿宋_GB2312"/>
          <w:color w:val="0F1115"/>
          <w:sz w:val="32"/>
          <w:shd w:val="clear" w:color="auto" w:fill="FFFFFF"/>
        </w:rPr>
        <w:t>到2030年平台公司完成实质性转型，经营性收入占比超60%；产业类投资占总资产比重达30%以上；培育1家具有区域影响力的县域产投标杆企业。</w:t>
      </w:r>
    </w:p>
    <w:p w14:paraId="1A420881">
      <w:pPr>
        <w:widowControl/>
        <w:ind w:firstLine="643"/>
        <w:jc w:val="left"/>
        <w:rPr>
          <w:rFonts w:ascii="Times New Roman" w:hAnsi="Times New Roman" w:cs="仿宋_GB2312"/>
          <w:color w:val="0F1115"/>
          <w:sz w:val="32"/>
          <w:shd w:val="clear" w:color="auto" w:fill="FFFFFF"/>
        </w:rPr>
      </w:pPr>
      <w:r>
        <w:rPr>
          <w:rFonts w:ascii="Times New Roman" w:hAnsi="Times New Roman" w:eastAsia="方正仿宋_GB2312" w:cs="楷体_GB2312"/>
          <w:b/>
          <w:bCs/>
          <w:color w:val="0F1115"/>
          <w:sz w:val="32"/>
          <w:shd w:val="clear" w:color="auto" w:fill="FFFFFF"/>
        </w:rPr>
        <w:t>盘活存量激活资产价值</w:t>
      </w:r>
      <w:r>
        <w:rPr>
          <w:rFonts w:hint="eastAsia" w:ascii="Times New Roman" w:hAnsi="Times New Roman" w:eastAsia="方正仿宋_GB2312" w:cs="楷体_GB2312"/>
          <w:b/>
          <w:bCs/>
          <w:color w:val="0F1115"/>
          <w:sz w:val="32"/>
          <w:shd w:val="clear" w:color="auto" w:fill="FFFFFF"/>
        </w:rPr>
        <w:t>。</w:t>
      </w:r>
      <w:r>
        <w:rPr>
          <w:rFonts w:hint="eastAsia" w:ascii="Times New Roman" w:hAnsi="Times New Roman" w:eastAsia="方正仿宋_GB2312" w:cs="楷体_GB2312"/>
          <w:color w:val="0F1115"/>
          <w:sz w:val="32"/>
          <w:shd w:val="clear" w:color="auto" w:fill="FFFFFF"/>
        </w:rPr>
        <w:t>支持平台公司</w:t>
      </w:r>
      <w:r>
        <w:rPr>
          <w:rFonts w:ascii="Times New Roman" w:hAnsi="Times New Roman" w:eastAsia="方正仿宋_GB2312" w:cs="仿宋_GB2312"/>
          <w:color w:val="0F1115"/>
          <w:sz w:val="32"/>
          <w:shd w:val="clear" w:color="auto" w:fill="FFFFFF"/>
        </w:rPr>
        <w:t>通过改造升级、租赁转让、合作开发等方式盘活闲置土地和厂房；</w:t>
      </w:r>
      <w:r>
        <w:rPr>
          <w:rFonts w:hint="eastAsia" w:ascii="Times New Roman" w:hAnsi="Times New Roman" w:eastAsia="方正仿宋_GB2312" w:cs="仿宋_GB2312"/>
          <w:color w:val="0F1115"/>
          <w:sz w:val="32"/>
          <w:shd w:val="clear" w:color="auto" w:fill="FFFFFF"/>
        </w:rPr>
        <w:t>支持平台公司</w:t>
      </w:r>
      <w:r>
        <w:rPr>
          <w:rFonts w:ascii="Times New Roman" w:hAnsi="Times New Roman" w:eastAsia="方正仿宋_GB2312" w:cs="仿宋_GB2312"/>
          <w:color w:val="0F1115"/>
          <w:sz w:val="32"/>
          <w:shd w:val="clear" w:color="auto" w:fill="FFFFFF"/>
        </w:rPr>
        <w:t>对供水、污水、燃气、停车、充电桩等可经营性的公共</w:t>
      </w:r>
      <w:r>
        <w:rPr>
          <w:rFonts w:ascii="Times New Roman" w:hAnsi="Times New Roman" w:cs="仿宋_GB2312"/>
          <w:color w:val="0F1115"/>
          <w:sz w:val="32"/>
          <w:shd w:val="clear" w:color="auto" w:fill="FFFFFF"/>
        </w:rPr>
        <w:t>资源通过特许经营、委托运营等方式释放现金流；对低效持有的股权或资产，通过资产证券化（ABS）、REITs等金融工具变现，培育稳定经营性现金流。</w:t>
      </w:r>
    </w:p>
    <w:p w14:paraId="59C04487">
      <w:pPr>
        <w:widowControl/>
        <w:ind w:firstLine="643"/>
        <w:jc w:val="left"/>
        <w:rPr>
          <w:rFonts w:hint="eastAsia" w:ascii="Times New Roman" w:hAnsi="Times New Roman" w:cs="仿宋_GB2312"/>
          <w:color w:val="0F1115"/>
          <w:sz w:val="32"/>
          <w:shd w:val="clear" w:color="auto" w:fill="FFFFFF"/>
        </w:rPr>
      </w:pPr>
      <w:r>
        <w:rPr>
          <w:rFonts w:ascii="Times New Roman" w:hAnsi="Times New Roman" w:cs="仿宋_GB2312"/>
          <w:b/>
          <w:bCs/>
          <w:color w:val="0F1115"/>
          <w:sz w:val="32"/>
          <w:shd w:val="clear" w:color="auto" w:fill="FFFFFF"/>
        </w:rPr>
        <w:t>建立市场化经营体制</w:t>
      </w:r>
      <w:r>
        <w:rPr>
          <w:rFonts w:hint="eastAsia" w:ascii="Times New Roman" w:hAnsi="Times New Roman" w:cs="仿宋_GB2312"/>
          <w:b/>
          <w:bCs/>
          <w:color w:val="0F1115"/>
          <w:sz w:val="32"/>
          <w:shd w:val="clear" w:color="auto" w:fill="FFFFFF"/>
        </w:rPr>
        <w:t>。</w:t>
      </w:r>
      <w:r>
        <w:rPr>
          <w:rFonts w:ascii="Times New Roman" w:hAnsi="Times New Roman" w:cs="仿宋_GB2312"/>
          <w:color w:val="0F1115"/>
          <w:sz w:val="32"/>
          <w:shd w:val="clear" w:color="auto" w:fill="FFFFFF"/>
        </w:rPr>
        <w:t>推动董事会规范化运作，引入外部独立董事，做实专业委员会。对经营性业务板块推行职业经理人制度，实行市场化薪酬与业绩挂钩。考核导向从重资产规模转向重净资产收益率、经营性现金流、全员劳动生产率等效益指标。</w:t>
      </w:r>
      <w:r>
        <w:rPr>
          <w:rFonts w:hint="eastAsia" w:ascii="Times New Roman" w:hAnsi="Times New Roman" w:cs="仿宋_GB2312"/>
          <w:color w:val="0F1115"/>
          <w:sz w:val="32"/>
          <w:shd w:val="clear" w:color="auto" w:fill="FFFFFF"/>
        </w:rPr>
        <w:t>探索</w:t>
      </w:r>
      <w:r>
        <w:rPr>
          <w:rFonts w:ascii="Times New Roman" w:hAnsi="Times New Roman" w:cs="仿宋_GB2312"/>
          <w:color w:val="0F1115"/>
          <w:sz w:val="32"/>
          <w:shd w:val="clear" w:color="auto" w:fill="FFFFFF"/>
        </w:rPr>
        <w:t>混改借力市场机制和资源</w:t>
      </w:r>
      <w:r>
        <w:rPr>
          <w:rFonts w:hint="eastAsia" w:ascii="Times New Roman" w:hAnsi="Times New Roman" w:cs="仿宋_GB2312"/>
          <w:color w:val="0F1115"/>
          <w:sz w:val="32"/>
          <w:shd w:val="clear" w:color="auto" w:fill="FFFFFF"/>
        </w:rPr>
        <w:t>，</w:t>
      </w:r>
      <w:r>
        <w:rPr>
          <w:rFonts w:ascii="Times New Roman" w:hAnsi="Times New Roman" w:cs="仿宋_GB2312"/>
          <w:color w:val="0F1115"/>
          <w:sz w:val="32"/>
          <w:shd w:val="clear" w:color="auto" w:fill="FFFFFF"/>
        </w:rPr>
        <w:t>对竞争性业务板块，引入民营资本、产业龙头进行混合所有制改革</w:t>
      </w:r>
      <w:r>
        <w:rPr>
          <w:rFonts w:hint="eastAsia" w:ascii="Times New Roman" w:hAnsi="Times New Roman" w:cs="仿宋_GB2312"/>
          <w:color w:val="0F1115"/>
          <w:sz w:val="32"/>
          <w:shd w:val="clear" w:color="auto" w:fill="FFFFFF"/>
        </w:rPr>
        <w:t>。</w:t>
      </w:r>
    </w:p>
    <w:p w14:paraId="4011C7D5">
      <w:pPr>
        <w:pStyle w:val="17"/>
        <w:shd w:val="clear" w:color="auto" w:fill="FFFFFF"/>
        <w:ind w:firstLine="640"/>
        <w:rPr>
          <w:rFonts w:hint="eastAsia" w:ascii="仿宋_GB2312" w:cs="仿宋_GB2312"/>
          <w:color w:val="0F1115"/>
          <w:sz w:val="32"/>
          <w:shd w:val="clear" w:color="auto" w:fill="FFFFFF"/>
        </w:rPr>
      </w:pPr>
    </w:p>
    <w:p w14:paraId="052C1996">
      <w:pPr>
        <w:widowControl/>
        <w:ind w:firstLine="640"/>
        <w:jc w:val="left"/>
        <w:rPr>
          <w:rFonts w:hint="eastAsia"/>
        </w:rPr>
      </w:pPr>
    </w:p>
    <w:p w14:paraId="07DE55DB">
      <w:pPr>
        <w:widowControl/>
        <w:ind w:firstLine="640"/>
        <w:jc w:val="left"/>
        <w:rPr>
          <w:rFonts w:hint="eastAsia"/>
        </w:rPr>
      </w:pPr>
    </w:p>
    <w:p w14:paraId="7790552C">
      <w:pPr>
        <w:spacing w:line="600" w:lineRule="exact"/>
        <w:ind w:firstLine="705" w:firstLineChars="196"/>
        <w:jc w:val="left"/>
        <w:rPr>
          <w:rFonts w:ascii="Times New Roman" w:hAnsi="Times New Roman" w:eastAsia="黑体"/>
          <w:bCs/>
          <w:sz w:val="36"/>
          <w:szCs w:val="36"/>
        </w:rPr>
      </w:pPr>
      <w:r>
        <w:rPr>
          <w:rFonts w:hint="eastAsia" w:ascii="Times New Roman" w:hAnsi="Times New Roman" w:eastAsia="黑体"/>
          <w:bCs/>
          <w:sz w:val="36"/>
          <w:szCs w:val="36"/>
        </w:rPr>
        <w:br w:type="page"/>
      </w:r>
    </w:p>
    <w:p w14:paraId="3BDF6C62">
      <w:pPr>
        <w:ind w:firstLine="720"/>
        <w:jc w:val="center"/>
        <w:outlineLvl w:val="0"/>
        <w:rPr>
          <w:rFonts w:hint="eastAsia" w:ascii="Times New Roman" w:hAnsi="Times New Roman" w:eastAsia="黑体"/>
          <w:bCs/>
          <w:sz w:val="36"/>
          <w:szCs w:val="36"/>
        </w:rPr>
      </w:pPr>
      <w:bookmarkStart w:id="70" w:name="_Toc9343"/>
      <w:bookmarkStart w:id="71" w:name="_Toc31718"/>
      <w:r>
        <w:rPr>
          <w:rFonts w:hint="eastAsia" w:ascii="Times New Roman" w:hAnsi="Times New Roman" w:eastAsia="黑体"/>
          <w:bCs/>
          <w:sz w:val="36"/>
          <w:szCs w:val="36"/>
        </w:rPr>
        <w:t>第三章 因地制宜发展新质生产力  科技创新</w:t>
      </w:r>
    </w:p>
    <w:p w14:paraId="77207609">
      <w:pPr>
        <w:ind w:firstLine="720"/>
        <w:jc w:val="center"/>
        <w:outlineLvl w:val="0"/>
        <w:rPr>
          <w:rFonts w:ascii="Times New Roman" w:hAnsi="Times New Roman" w:eastAsia="黑体"/>
          <w:bCs/>
          <w:sz w:val="36"/>
          <w:szCs w:val="36"/>
        </w:rPr>
      </w:pPr>
      <w:r>
        <w:rPr>
          <w:rFonts w:hint="eastAsia" w:ascii="Times New Roman" w:hAnsi="Times New Roman" w:eastAsia="黑体"/>
          <w:bCs/>
          <w:sz w:val="36"/>
          <w:szCs w:val="36"/>
        </w:rPr>
        <w:t>引领产业创新</w:t>
      </w:r>
      <w:bookmarkEnd w:id="69"/>
      <w:bookmarkEnd w:id="70"/>
      <w:bookmarkEnd w:id="71"/>
    </w:p>
    <w:p w14:paraId="335D3D9E">
      <w:pPr>
        <w:widowControl/>
        <w:ind w:firstLine="640"/>
        <w:jc w:val="left"/>
        <w:rPr>
          <w:rFonts w:hint="eastAsia" w:ascii="Times New Roman" w:hAnsi="Times New Roman" w:eastAsia="方正仿宋_GB2312"/>
          <w:bCs/>
          <w:color w:val="000000"/>
          <w:kern w:val="36"/>
          <w:sz w:val="32"/>
        </w:rPr>
      </w:pPr>
      <w:r>
        <w:rPr>
          <w:rFonts w:hint="eastAsia" w:ascii="Times New Roman" w:hAnsi="Times New Roman" w:eastAsia="方正仿宋_GB2312"/>
          <w:sz w:val="32"/>
        </w:rPr>
        <w:t>紧扣阳城开发区产业布局（精细化工为主导，陶瓷、</w:t>
      </w:r>
      <w:r>
        <w:rPr>
          <w:rFonts w:hint="eastAsia" w:ascii="Times New Roman" w:hAnsi="Times New Roman" w:eastAsia="方正仿宋_GB2312"/>
          <w:sz w:val="32"/>
          <w:lang w:val="en-US" w:eastAsia="zh-CN"/>
        </w:rPr>
        <w:t>加工</w:t>
      </w:r>
      <w:r>
        <w:rPr>
          <w:rFonts w:hint="eastAsia" w:ascii="Times New Roman" w:hAnsi="Times New Roman" w:eastAsia="方正仿宋_GB2312"/>
          <w:sz w:val="32"/>
        </w:rPr>
        <w:t>制造为支撑），立足资源禀赋、产业基础、区位优势，</w:t>
      </w:r>
      <w:r>
        <w:rPr>
          <w:rFonts w:hint="eastAsia" w:ascii="Times New Roman" w:hAnsi="Times New Roman" w:eastAsia="方正仿宋_GB2312"/>
          <w:bCs/>
          <w:color w:val="000000"/>
          <w:kern w:val="36"/>
          <w:sz w:val="32"/>
        </w:rPr>
        <w:t>聚焦能源、原材料等</w:t>
      </w:r>
      <w:r>
        <w:rPr>
          <w:rFonts w:hint="eastAsia" w:ascii="Times New Roman" w:hAnsi="Times New Roman" w:eastAsia="方正仿宋_GB2312"/>
          <w:bCs/>
          <w:color w:val="000000"/>
          <w:kern w:val="36"/>
          <w:sz w:val="32"/>
          <w:lang w:val="en-US" w:eastAsia="zh-CN"/>
        </w:rPr>
        <w:t>方面</w:t>
      </w:r>
      <w:r>
        <w:rPr>
          <w:rFonts w:hint="eastAsia" w:ascii="Times New Roman" w:hAnsi="Times New Roman" w:eastAsia="方正仿宋_GB2312"/>
          <w:bCs/>
          <w:color w:val="000000"/>
          <w:kern w:val="36"/>
          <w:sz w:val="32"/>
        </w:rPr>
        <w:t>，在能源转型、产业升级、适度多元发展的战略推进中，因地制宜发展新质生产力，持续推进转型发展。</w:t>
      </w:r>
    </w:p>
    <w:p w14:paraId="1B11A41A">
      <w:pPr>
        <w:spacing w:line="600" w:lineRule="exact"/>
        <w:ind w:firstLine="643"/>
        <w:jc w:val="center"/>
        <w:outlineLvl w:val="1"/>
        <w:rPr>
          <w:rFonts w:ascii="Times New Roman" w:hAnsi="Times New Roman" w:eastAsia="楷体_GB2312"/>
          <w:b/>
        </w:rPr>
      </w:pPr>
      <w:bookmarkStart w:id="72" w:name="_Toc19104"/>
      <w:bookmarkStart w:id="73" w:name="_Toc18081"/>
      <w:bookmarkStart w:id="74" w:name="_Toc27812"/>
      <w:r>
        <w:rPr>
          <w:rFonts w:hint="eastAsia" w:ascii="Times New Roman" w:hAnsi="Times New Roman" w:eastAsia="楷体_GB2312"/>
          <w:b/>
        </w:rPr>
        <w:t>第一节  坚持科技创新引领产业创新</w:t>
      </w:r>
      <w:bookmarkEnd w:id="72"/>
      <w:bookmarkEnd w:id="73"/>
      <w:bookmarkEnd w:id="74"/>
    </w:p>
    <w:p w14:paraId="0ED13AC9">
      <w:pPr>
        <w:widowControl/>
        <w:ind w:firstLine="643"/>
        <w:jc w:val="left"/>
        <w:rPr>
          <w:rFonts w:hint="eastAsia" w:ascii="Times New Roman" w:hAnsi="Times New Roman" w:eastAsia="方正仿宋_GB2312"/>
          <w:bCs/>
          <w:color w:val="000000"/>
          <w:kern w:val="36"/>
          <w:sz w:val="32"/>
        </w:rPr>
      </w:pPr>
      <w:r>
        <w:rPr>
          <w:rFonts w:hint="eastAsia" w:ascii="Times New Roman" w:hAnsi="Times New Roman" w:eastAsia="方正仿宋_GB2312"/>
          <w:b/>
          <w:color w:val="000000"/>
          <w:kern w:val="36"/>
          <w:sz w:val="32"/>
        </w:rPr>
        <w:t>聚焦阳城开发区转型赛道。</w:t>
      </w:r>
      <w:r>
        <w:rPr>
          <w:rFonts w:hint="eastAsia" w:ascii="Times New Roman" w:hAnsi="Times New Roman" w:eastAsia="方正仿宋_GB2312"/>
          <w:bCs/>
          <w:color w:val="000000"/>
          <w:kern w:val="36"/>
          <w:sz w:val="32"/>
        </w:rPr>
        <w:t>紧扣产业转型升级</w:t>
      </w:r>
      <w:r>
        <w:rPr>
          <w:rFonts w:hint="eastAsia" w:ascii="Times New Roman" w:hAnsi="Times New Roman" w:eastAsia="方正仿宋_GB2312"/>
          <w:bCs/>
          <w:color w:val="000000"/>
          <w:kern w:val="36"/>
          <w:sz w:val="32"/>
          <w:lang w:val="en-US" w:eastAsia="zh-CN"/>
        </w:rPr>
        <w:t>和节能降碳</w:t>
      </w:r>
      <w:r>
        <w:rPr>
          <w:rFonts w:hint="eastAsia" w:ascii="Times New Roman" w:hAnsi="Times New Roman" w:eastAsia="方正仿宋_GB2312"/>
          <w:bCs/>
          <w:color w:val="000000"/>
          <w:kern w:val="36"/>
          <w:sz w:val="32"/>
        </w:rPr>
        <w:t>两大任务，围绕</w:t>
      </w:r>
      <w:r>
        <w:rPr>
          <w:rFonts w:ascii="Times New Roman" w:hAnsi="Times New Roman" w:eastAsia="方正仿宋_GB2312" w:cs="Times New Roman"/>
          <w:sz w:val="32"/>
        </w:rPr>
        <w:t>精细化工、</w:t>
      </w:r>
      <w:r>
        <w:rPr>
          <w:rFonts w:hint="eastAsia" w:ascii="Times New Roman" w:hAnsi="Times New Roman" w:eastAsia="方正仿宋_GB2312" w:cs="Times New Roman"/>
          <w:sz w:val="32"/>
        </w:rPr>
        <w:t>陶瓷、加工制造</w:t>
      </w:r>
      <w:r>
        <w:rPr>
          <w:rFonts w:ascii="Times New Roman" w:hAnsi="Times New Roman" w:eastAsia="方正仿宋_GB2312" w:cs="Times New Roman"/>
          <w:sz w:val="32"/>
        </w:rPr>
        <w:t>等产业发展急需解决的技术难题，</w:t>
      </w:r>
      <w:r>
        <w:rPr>
          <w:rFonts w:hint="eastAsia" w:ascii="Times New Roman" w:hAnsi="Times New Roman" w:eastAsia="方正仿宋_GB2312" w:cs="Times New Roman"/>
          <w:sz w:val="32"/>
        </w:rPr>
        <w:t>内外协同</w:t>
      </w:r>
      <w:r>
        <w:rPr>
          <w:rFonts w:ascii="Times New Roman" w:hAnsi="Times New Roman" w:eastAsia="方正仿宋_GB2312" w:cs="Times New Roman"/>
          <w:sz w:val="32"/>
        </w:rPr>
        <w:t>组织实施科技计划项目，</w:t>
      </w:r>
      <w:r>
        <w:rPr>
          <w:rFonts w:hint="eastAsia" w:ascii="Times New Roman" w:hAnsi="Times New Roman" w:eastAsia="方正仿宋_GB2312" w:cs="Times New Roman"/>
          <w:sz w:val="32"/>
        </w:rPr>
        <w:t>聚焦先进</w:t>
      </w:r>
      <w:r>
        <w:rPr>
          <w:rFonts w:hint="eastAsia" w:ascii="Times New Roman" w:hAnsi="Times New Roman" w:eastAsia="方正仿宋_GB2312"/>
          <w:bCs/>
          <w:color w:val="000000"/>
          <w:kern w:val="36"/>
          <w:sz w:val="32"/>
        </w:rPr>
        <w:t>陶瓷新材料技术、硫化物加工技术、</w:t>
      </w:r>
      <w:r>
        <w:rPr>
          <w:rFonts w:hint="eastAsia" w:ascii="Times New Roman" w:hAnsi="Times New Roman" w:eastAsia="方正仿宋_GB2312"/>
          <w:bCs/>
          <w:color w:val="000000"/>
          <w:kern w:val="36"/>
          <w:sz w:val="32"/>
          <w:lang w:val="en-US" w:eastAsia="zh-CN"/>
        </w:rPr>
        <w:t>节能</w:t>
      </w:r>
      <w:r>
        <w:rPr>
          <w:rFonts w:hint="eastAsia" w:ascii="Times New Roman" w:hAnsi="Times New Roman" w:eastAsia="方正仿宋_GB2312"/>
          <w:bCs/>
          <w:color w:val="000000"/>
          <w:kern w:val="36"/>
          <w:sz w:val="32"/>
        </w:rPr>
        <w:t>低碳技术三大领域，与高水平院校和科研机构合作，强化陶瓷新材料研发、煤系固体废弃物资源化利用、智能制造等关键共性技术、颠覆性技术创新。</w:t>
      </w:r>
    </w:p>
    <w:p w14:paraId="0BC8F37C">
      <w:pPr>
        <w:pStyle w:val="6"/>
        <w:ind w:firstLine="643"/>
        <w:jc w:val="both"/>
        <w:rPr>
          <w:rFonts w:hint="eastAsia" w:ascii="Times New Roman" w:hAnsi="Times New Roman" w:eastAsia="方正仿宋_GB2312"/>
          <w:bCs/>
          <w:kern w:val="36"/>
          <w:sz w:val="32"/>
          <w:lang w:eastAsia="zh-CN"/>
        </w:rPr>
      </w:pPr>
      <w:r>
        <w:rPr>
          <w:rFonts w:ascii="Times New Roman" w:hAnsi="Times New Roman" w:eastAsia="方正仿宋_GB2312"/>
          <w:b/>
          <w:bCs/>
          <w:sz w:val="32"/>
        </w:rPr>
        <w:t>强化企业科技创新主体地位。</w:t>
      </w:r>
      <w:r>
        <w:rPr>
          <w:rFonts w:hint="eastAsia" w:ascii="Times New Roman" w:hAnsi="Times New Roman" w:eastAsia="方正仿宋_GB2312"/>
          <w:sz w:val="32"/>
        </w:rPr>
        <w:t>做强创新龙头企业。筛选精细化工、陶瓷领域龙头企业（</w:t>
      </w:r>
      <w:r>
        <w:rPr>
          <w:rFonts w:hint="eastAsia" w:ascii="Times New Roman" w:hAnsi="Times New Roman" w:eastAsia="方正仿宋_GB2312"/>
          <w:sz w:val="32"/>
          <w:lang w:val="en-US" w:eastAsia="zh-CN"/>
        </w:rPr>
        <w:t>九信化工、</w:t>
      </w:r>
      <w:r>
        <w:rPr>
          <w:rFonts w:hint="eastAsia" w:ascii="Times New Roman" w:hAnsi="Times New Roman" w:eastAsia="方正仿宋_GB2312"/>
          <w:sz w:val="32"/>
        </w:rPr>
        <w:t>鑫途化工、福龙陶瓷、华冠陶瓷等）打造“创新标杆”。</w:t>
      </w:r>
      <w:r>
        <w:rPr>
          <w:rFonts w:hint="eastAsia" w:ascii="Times New Roman" w:hAnsi="Times New Roman" w:eastAsia="方正仿宋_GB2312"/>
          <w:bCs/>
          <w:kern w:val="36"/>
          <w:sz w:val="32"/>
        </w:rPr>
        <w:t>鼓励和支持龙头骨干企业与高校、科研院所等单位合作,充分发挥高校科研人才优势,推动龙头企业牵头</w:t>
      </w:r>
      <w:r>
        <w:rPr>
          <w:rFonts w:hint="eastAsia" w:ascii="Times New Roman" w:hAnsi="Times New Roman" w:eastAsia="方正仿宋_GB2312"/>
          <w:sz w:val="32"/>
        </w:rPr>
        <w:t>组建产业创新联合体，联合上下游中小企业、高校院所开展关键技术攻关；</w:t>
      </w:r>
      <w:r>
        <w:rPr>
          <w:rFonts w:hint="eastAsia" w:ascii="Times New Roman" w:hAnsi="Times New Roman" w:eastAsia="方正仿宋_GB2312"/>
          <w:sz w:val="32"/>
          <w:lang w:val="en-US" w:eastAsia="zh-CN"/>
        </w:rPr>
        <w:t>支持</w:t>
      </w:r>
      <w:r>
        <w:rPr>
          <w:rFonts w:hint="eastAsia" w:ascii="Times New Roman" w:hAnsi="Times New Roman" w:eastAsia="方正仿宋_GB2312"/>
          <w:sz w:val="32"/>
        </w:rPr>
        <w:t>龙头企业建设研发中心、购置研发设备、开展技改攻关。引导龙头企业</w:t>
      </w:r>
      <w:r>
        <w:rPr>
          <w:rFonts w:hint="eastAsia" w:ascii="仿宋" w:hAnsi="仿宋" w:eastAsia="仿宋"/>
        </w:rPr>
        <w:t>发挥</w:t>
      </w:r>
      <w:r>
        <w:rPr>
          <w:rFonts w:hint="eastAsia" w:ascii="Times New Roman" w:hAnsi="Times New Roman" w:eastAsia="方正仿宋_GB2312"/>
          <w:sz w:val="32"/>
        </w:rPr>
        <w:t>“出题人”作用，采用“揭榜挂帅”机制解决产业链共性技术难题。鼓励中小企业加大研发投入。重点在精细化工新材料、先进陶瓷、固废利用、通用制造领域挖掘培育潜力企业。</w:t>
      </w:r>
      <w:r>
        <w:rPr>
          <w:rFonts w:hint="eastAsia" w:ascii="Times New Roman" w:hAnsi="Times New Roman" w:eastAsia="方正仿宋_GB2312"/>
          <w:bCs/>
          <w:kern w:val="36"/>
          <w:sz w:val="32"/>
        </w:rPr>
        <w:t>引导支持企业积极参与全省各地“晋创谷”科技成果转化。“十五五”期间</w:t>
      </w:r>
      <w:r>
        <w:rPr>
          <w:rFonts w:ascii="Times New Roman" w:hAnsi="Times New Roman" w:eastAsia="方正仿宋_GB2312" w:cs="Times New Roman"/>
          <w:sz w:val="32"/>
        </w:rPr>
        <w:t>培育科技型中小企业入库</w:t>
      </w:r>
      <w:r>
        <w:rPr>
          <w:rFonts w:hint="eastAsia" w:ascii="Times New Roman" w:hAnsi="Times New Roman" w:eastAsia="方正仿宋_GB2312" w:cs="Times New Roman"/>
          <w:color w:val="auto"/>
          <w:sz w:val="32"/>
        </w:rPr>
        <w:t>50</w:t>
      </w:r>
      <w:r>
        <w:rPr>
          <w:rFonts w:ascii="Times New Roman" w:hAnsi="Times New Roman" w:eastAsia="方正仿宋_GB2312" w:cs="Times New Roman"/>
          <w:sz w:val="32"/>
        </w:rPr>
        <w:t>家，高新技术企业达到</w:t>
      </w:r>
      <w:r>
        <w:rPr>
          <w:rFonts w:hint="eastAsia" w:ascii="Times New Roman" w:hAnsi="Times New Roman" w:eastAsia="方正仿宋_GB2312" w:cs="Times New Roman"/>
          <w:color w:val="auto"/>
          <w:sz w:val="32"/>
        </w:rPr>
        <w:t>18</w:t>
      </w:r>
      <w:r>
        <w:rPr>
          <w:rFonts w:ascii="Times New Roman" w:hAnsi="Times New Roman" w:eastAsia="方正仿宋_GB2312" w:cs="Times New Roman"/>
          <w:sz w:val="32"/>
        </w:rPr>
        <w:t>家。</w:t>
      </w:r>
    </w:p>
    <w:p w14:paraId="373193F2">
      <w:pPr>
        <w:pStyle w:val="6"/>
        <w:ind w:firstLine="643"/>
        <w:rPr>
          <w:rFonts w:ascii="Times New Roman" w:hAnsi="Times New Roman" w:eastAsia="方正仿宋_GB2312"/>
          <w:sz w:val="32"/>
        </w:rPr>
      </w:pPr>
      <w:r>
        <w:rPr>
          <w:rFonts w:hint="eastAsia" w:ascii="Times New Roman" w:hAnsi="Times New Roman" w:eastAsia="方正仿宋_GB2312"/>
          <w:b/>
          <w:kern w:val="36"/>
          <w:sz w:val="32"/>
        </w:rPr>
        <w:t>着力提升技术创新能力。</w:t>
      </w:r>
      <w:r>
        <w:rPr>
          <w:rFonts w:hint="eastAsia" w:ascii="Times New Roman" w:hAnsi="Times New Roman" w:eastAsia="方正仿宋_GB2312"/>
          <w:bCs/>
          <w:kern w:val="36"/>
          <w:sz w:val="32"/>
        </w:rPr>
        <w:t>培育一批科技</w:t>
      </w:r>
      <w:r>
        <w:rPr>
          <w:rFonts w:hint="eastAsia" w:ascii="Times New Roman" w:hAnsi="Times New Roman" w:eastAsia="方正仿宋_GB2312"/>
          <w:bCs/>
          <w:kern w:val="36"/>
          <w:sz w:val="32"/>
          <w:lang w:val="en-US" w:eastAsia="zh-CN"/>
        </w:rPr>
        <w:t>型</w:t>
      </w:r>
      <w:r>
        <w:rPr>
          <w:rFonts w:hint="eastAsia" w:ascii="Times New Roman" w:hAnsi="Times New Roman" w:eastAsia="方正仿宋_GB2312"/>
          <w:bCs/>
          <w:kern w:val="36"/>
          <w:sz w:val="32"/>
        </w:rPr>
        <w:t>新锐企业和科领军企业，用好政策红利，主动对接</w:t>
      </w:r>
      <w:r>
        <w:rPr>
          <w:rFonts w:hint="eastAsia" w:ascii="Times New Roman" w:hAnsi="Times New Roman" w:eastAsia="方正仿宋_GB2312"/>
          <w:bCs/>
          <w:color w:val="000000"/>
          <w:kern w:val="36"/>
          <w:sz w:val="32"/>
        </w:rPr>
        <w:t>高校、科研院所按照先使用后付费方式灵活转化科技成果服务开发区企业。</w:t>
      </w:r>
      <w:r>
        <w:rPr>
          <w:rFonts w:ascii="Times New Roman" w:hAnsi="Times New Roman" w:eastAsia="方正仿宋_GB2312"/>
          <w:sz w:val="32"/>
        </w:rPr>
        <w:t>建立科研机构与行业部门、科技企业</w:t>
      </w:r>
      <w:r>
        <w:rPr>
          <w:rFonts w:hint="eastAsia" w:ascii="方正仿宋_GB2312" w:hAnsi="方正仿宋_GB2312" w:eastAsia="方正仿宋_GB2312" w:cs="方正仿宋_GB2312"/>
          <w:sz w:val="32"/>
        </w:rPr>
        <w:t>“</w:t>
      </w:r>
      <w:r>
        <w:rPr>
          <w:rFonts w:ascii="Times New Roman" w:hAnsi="Times New Roman" w:eastAsia="方正仿宋_GB2312"/>
          <w:sz w:val="32"/>
        </w:rPr>
        <w:t>手拉手</w:t>
      </w:r>
      <w:r>
        <w:rPr>
          <w:rFonts w:hint="eastAsia" w:ascii="方正仿宋_GB2312" w:hAnsi="方正仿宋_GB2312" w:eastAsia="方正仿宋_GB2312" w:cs="方正仿宋_GB2312"/>
          <w:sz w:val="32"/>
        </w:rPr>
        <w:t>”</w:t>
      </w:r>
      <w:r>
        <w:rPr>
          <w:rFonts w:ascii="Times New Roman" w:hAnsi="Times New Roman" w:eastAsia="方正仿宋_GB2312"/>
          <w:sz w:val="32"/>
        </w:rPr>
        <w:t>研发模式，减少企业二次研发时间。</w:t>
      </w:r>
      <w:r>
        <w:rPr>
          <w:rFonts w:hint="eastAsia" w:ascii="Times New Roman" w:hAnsi="Times New Roman" w:eastAsia="方正仿宋_GB2312"/>
          <w:bCs/>
          <w:kern w:val="36"/>
          <w:sz w:val="32"/>
        </w:rPr>
        <w:t>组建阳城</w:t>
      </w:r>
      <w:r>
        <w:rPr>
          <w:rFonts w:ascii="Times New Roman" w:hAnsi="Times New Roman" w:eastAsia="方正仿宋_GB2312" w:cs="Times New Roman"/>
          <w:sz w:val="32"/>
        </w:rPr>
        <w:t>精细化工、</w:t>
      </w:r>
      <w:r>
        <w:rPr>
          <w:rFonts w:hint="eastAsia" w:ascii="Times New Roman" w:hAnsi="Times New Roman" w:eastAsia="方正仿宋_GB2312" w:cs="Times New Roman"/>
          <w:sz w:val="32"/>
        </w:rPr>
        <w:t>陶瓷</w:t>
      </w:r>
      <w:r>
        <w:rPr>
          <w:rFonts w:hint="eastAsia" w:ascii="Times New Roman" w:hAnsi="Times New Roman" w:eastAsia="方正仿宋_GB2312" w:cs="Times New Roman"/>
          <w:sz w:val="32"/>
          <w:lang w:eastAsia="zh-CN"/>
        </w:rPr>
        <w:t>、</w:t>
      </w:r>
      <w:r>
        <w:rPr>
          <w:rFonts w:hint="eastAsia" w:ascii="Times New Roman" w:hAnsi="Times New Roman" w:eastAsia="方正仿宋_GB2312"/>
          <w:bCs/>
          <w:kern w:val="36"/>
          <w:sz w:val="32"/>
        </w:rPr>
        <w:t>加工制造</w:t>
      </w:r>
      <w:r>
        <w:rPr>
          <w:rFonts w:hint="eastAsia" w:ascii="Times New Roman" w:hAnsi="Times New Roman" w:eastAsia="方正仿宋_GB2312" w:cs="Times New Roman"/>
          <w:sz w:val="32"/>
        </w:rPr>
        <w:t>三大产业技术联盟，以支持共性技术研发、产业公共服务平台、行业技术培训、人力资源支持等形式支持产业技术交流和共享</w:t>
      </w:r>
      <w:r>
        <w:rPr>
          <w:rFonts w:hint="eastAsia" w:ascii="Times New Roman" w:hAnsi="Times New Roman" w:eastAsia="方正仿宋_GB2312"/>
          <w:bCs/>
          <w:kern w:val="36"/>
          <w:sz w:val="32"/>
        </w:rPr>
        <w:t>。</w:t>
      </w:r>
      <w:r>
        <w:rPr>
          <w:rFonts w:ascii="Times New Roman" w:hAnsi="Times New Roman" w:eastAsia="方正仿宋_GB2312"/>
          <w:sz w:val="32"/>
        </w:rPr>
        <w:t>推广</w:t>
      </w:r>
      <w:r>
        <w:rPr>
          <w:rFonts w:hint="eastAsia" w:ascii="方正仿宋_GB2312" w:hAnsi="方正仿宋_GB2312" w:eastAsia="方正仿宋_GB2312" w:cs="方正仿宋_GB2312"/>
          <w:sz w:val="32"/>
        </w:rPr>
        <w:t>“</w:t>
      </w:r>
      <w:r>
        <w:rPr>
          <w:rFonts w:ascii="Times New Roman" w:hAnsi="Times New Roman" w:eastAsia="方正仿宋_GB2312"/>
          <w:sz w:val="32"/>
        </w:rPr>
        <w:t>定向研发、定向转化、定向服务</w:t>
      </w:r>
      <w:r>
        <w:rPr>
          <w:rFonts w:hint="eastAsia" w:ascii="方正仿宋_GB2312" w:hAnsi="方正仿宋_GB2312" w:eastAsia="方正仿宋_GB2312" w:cs="方正仿宋_GB2312"/>
          <w:sz w:val="32"/>
        </w:rPr>
        <w:t>”</w:t>
      </w:r>
      <w:r>
        <w:rPr>
          <w:rFonts w:ascii="Times New Roman" w:hAnsi="Times New Roman" w:eastAsia="方正仿宋_GB2312"/>
          <w:sz w:val="32"/>
        </w:rPr>
        <w:t>研发组织模式。推动企业融通创新，支持企业与高校、科研院所、产业园区共建产业技术创新联盟、中试转化基地、科教产教园区。实施</w:t>
      </w:r>
      <w:r>
        <w:rPr>
          <w:rFonts w:hint="eastAsia" w:ascii="Times New Roman" w:hAnsi="Times New Roman" w:eastAsia="方正仿宋_GB2312"/>
          <w:sz w:val="32"/>
        </w:rPr>
        <w:t>三大产业</w:t>
      </w:r>
      <w:r>
        <w:rPr>
          <w:rFonts w:ascii="Times New Roman" w:hAnsi="Times New Roman" w:eastAsia="方正仿宋_GB2312"/>
          <w:sz w:val="32"/>
        </w:rPr>
        <w:t>创新型中小微企业成长计划，鼓励中小企业组建关键技术攻关共同体，在细分领域掌握一批关键核心技术和产品。</w:t>
      </w:r>
    </w:p>
    <w:p w14:paraId="040571BA">
      <w:pPr>
        <w:spacing w:line="600" w:lineRule="exact"/>
        <w:ind w:firstLine="643"/>
        <w:jc w:val="center"/>
        <w:outlineLvl w:val="1"/>
        <w:rPr>
          <w:rFonts w:ascii="Times New Roman" w:hAnsi="Times New Roman" w:eastAsia="楷体_GB2312"/>
          <w:b/>
        </w:rPr>
      </w:pPr>
      <w:bookmarkStart w:id="75" w:name="_Toc18850"/>
      <w:bookmarkStart w:id="76" w:name="_Toc9889"/>
      <w:bookmarkStart w:id="77" w:name="_Toc342"/>
      <w:r>
        <w:rPr>
          <w:rFonts w:hint="eastAsia" w:ascii="Times New Roman" w:hAnsi="Times New Roman" w:eastAsia="楷体_GB2312"/>
          <w:b/>
        </w:rPr>
        <w:t>第二节  围绕主导产业建设高能级创新平台</w:t>
      </w:r>
      <w:bookmarkEnd w:id="75"/>
      <w:bookmarkEnd w:id="76"/>
      <w:bookmarkEnd w:id="77"/>
    </w:p>
    <w:p w14:paraId="5FE892A2">
      <w:pPr>
        <w:ind w:firstLine="640"/>
        <w:outlineLvl w:val="2"/>
        <w:rPr>
          <w:rFonts w:ascii="Times New Roman" w:hAnsi="Times New Roman" w:eastAsia="方正仿宋_GB2312"/>
        </w:rPr>
      </w:pPr>
      <w:r>
        <w:rPr>
          <w:rFonts w:ascii="Times New Roman" w:hAnsi="Times New Roman" w:eastAsia="方正仿宋_GB2312"/>
        </w:rPr>
        <w:t>以</w:t>
      </w:r>
      <w:r>
        <w:rPr>
          <w:rFonts w:hint="eastAsia" w:ascii="Times New Roman" w:hAnsi="Times New Roman" w:eastAsia="方正仿宋_GB2312"/>
        </w:rPr>
        <w:t>产业</w:t>
      </w:r>
      <w:r>
        <w:rPr>
          <w:rFonts w:ascii="Times New Roman" w:hAnsi="Times New Roman" w:eastAsia="方正仿宋_GB2312"/>
        </w:rPr>
        <w:t>集聚为导向，积极争取国家</w:t>
      </w:r>
      <w:r>
        <w:rPr>
          <w:rFonts w:hint="eastAsia" w:ascii="Times New Roman" w:hAnsi="Times New Roman" w:eastAsia="方正仿宋_GB2312"/>
        </w:rPr>
        <w:t>和省</w:t>
      </w:r>
      <w:r>
        <w:rPr>
          <w:rFonts w:ascii="Times New Roman" w:hAnsi="Times New Roman" w:eastAsia="方正仿宋_GB2312"/>
        </w:rPr>
        <w:t>战略科技力量在</w:t>
      </w:r>
      <w:r>
        <w:rPr>
          <w:rFonts w:hint="eastAsia" w:ascii="Times New Roman" w:hAnsi="Times New Roman" w:eastAsia="方正仿宋_GB2312"/>
        </w:rPr>
        <w:t>阳城</w:t>
      </w:r>
      <w:r>
        <w:rPr>
          <w:rFonts w:ascii="Times New Roman" w:hAnsi="Times New Roman" w:eastAsia="方正仿宋_GB2312"/>
        </w:rPr>
        <w:t>布局，推动</w:t>
      </w:r>
      <w:r>
        <w:rPr>
          <w:rFonts w:hint="eastAsia" w:ascii="Times New Roman" w:hAnsi="Times New Roman" w:eastAsia="方正仿宋_GB2312"/>
        </w:rPr>
        <w:t>精细化工、</w:t>
      </w:r>
      <w:r>
        <w:rPr>
          <w:rFonts w:hint="eastAsia" w:ascii="Times New Roman" w:hAnsi="Times New Roman" w:eastAsia="方正仿宋_GB2312"/>
          <w:lang w:val="en-US" w:eastAsia="zh-CN"/>
        </w:rPr>
        <w:t>陶瓷、加工</w:t>
      </w:r>
      <w:r>
        <w:rPr>
          <w:rFonts w:hint="eastAsia" w:ascii="Times New Roman" w:hAnsi="Times New Roman" w:eastAsia="方正仿宋_GB2312"/>
        </w:rPr>
        <w:t>制造产业发展</w:t>
      </w:r>
      <w:r>
        <w:rPr>
          <w:rFonts w:ascii="Times New Roman" w:hAnsi="Times New Roman" w:eastAsia="方正仿宋_GB2312"/>
        </w:rPr>
        <w:t>，打造一流科技和产业创新载体，建设区域性</w:t>
      </w:r>
      <w:r>
        <w:rPr>
          <w:rFonts w:hint="eastAsia" w:ascii="Times New Roman" w:hAnsi="Times New Roman" w:eastAsia="方正仿宋_GB2312"/>
        </w:rPr>
        <w:t>产业集群</w:t>
      </w:r>
      <w:r>
        <w:rPr>
          <w:rFonts w:ascii="Times New Roman" w:hAnsi="Times New Roman" w:eastAsia="方正仿宋_GB2312"/>
        </w:rPr>
        <w:t>创新高地。</w:t>
      </w:r>
    </w:p>
    <w:p w14:paraId="784E352D">
      <w:pPr>
        <w:widowControl/>
        <w:ind w:firstLine="643"/>
        <w:jc w:val="left"/>
        <w:rPr>
          <w:rFonts w:ascii="Times New Roman" w:hAnsi="Times New Roman" w:eastAsia="方正仿宋_GB2312"/>
        </w:rPr>
      </w:pPr>
      <w:r>
        <w:rPr>
          <w:rFonts w:ascii="Times New Roman" w:hAnsi="Times New Roman" w:eastAsia="方正仿宋_GB2312" w:cs="Times New Roman"/>
          <w:b/>
          <w:bCs/>
        </w:rPr>
        <w:t>建设一批高能级创新平台。</w:t>
      </w:r>
      <w:r>
        <w:rPr>
          <w:rFonts w:ascii="Times New Roman" w:hAnsi="Times New Roman" w:eastAsia="方正仿宋_GB2312"/>
        </w:rPr>
        <w:t>强化创新链产业链协同，聚焦优势产业和新兴产业，以企业为主体，推动创建</w:t>
      </w:r>
      <w:r>
        <w:rPr>
          <w:rFonts w:hint="eastAsia" w:ascii="Times New Roman" w:hAnsi="Times New Roman" w:eastAsia="方正仿宋_GB2312"/>
          <w:bCs/>
          <w:kern w:val="36"/>
        </w:rPr>
        <w:t>重点实验室、企业技术中心、中试基地、新型研发机构等专业化、精细化</w:t>
      </w:r>
      <w:r>
        <w:rPr>
          <w:rFonts w:hint="eastAsia" w:ascii="Times New Roman" w:hAnsi="Times New Roman" w:eastAsia="方正仿宋_GB2312"/>
          <w:bCs/>
          <w:kern w:val="36"/>
          <w:lang w:val="en-US" w:eastAsia="zh-CN"/>
        </w:rPr>
        <w:t>创新平台</w:t>
      </w:r>
      <w:r>
        <w:rPr>
          <w:rFonts w:ascii="Times New Roman" w:hAnsi="Times New Roman" w:eastAsia="方正仿宋_GB2312"/>
        </w:rPr>
        <w:t>。</w:t>
      </w:r>
      <w:r>
        <w:rPr>
          <w:rFonts w:hint="eastAsia" w:ascii="Times New Roman" w:hAnsi="Times New Roman" w:eastAsia="方正仿宋_GB2312"/>
        </w:rPr>
        <w:t>依托中国建材咸阳陶瓷研究院阳城陶瓷琉璃研发中心，搭建陶瓷新材料平台，拓展特种陶瓷、陶瓷固废利用研发方向，建设省级建筑陶瓷及琉璃检测检验公共平台，面向全行业开放服务。在台头化工园区新建精细化工中试基地，聚焦高附加值化学品、医药农药中间体、化工新材料，建设中试生产线，解决“实验室成果无法量产”痛点。依托现有制造产业园，建设先进制造配套平台，对接周边区域产业集群，建设绿色制造、固废资源化利用配套研发实验室，实现与周边区域产业互补、资源共享。</w:t>
      </w:r>
    </w:p>
    <w:p w14:paraId="784DE126">
      <w:pPr>
        <w:pStyle w:val="6"/>
        <w:keepNext w:val="0"/>
        <w:keepLines w:val="0"/>
        <w:pageBreakBefore w:val="0"/>
        <w:widowControl w:val="0"/>
        <w:kinsoku/>
        <w:wordWrap w:val="0"/>
        <w:overflowPunct/>
        <w:topLinePunct w:val="0"/>
        <w:autoSpaceDE/>
        <w:autoSpaceDN/>
        <w:bidi w:val="0"/>
        <w:adjustRightInd/>
        <w:snapToGrid/>
        <w:ind w:firstLine="643"/>
        <w:jc w:val="both"/>
        <w:textAlignment w:val="auto"/>
        <w:rPr>
          <w:rFonts w:hint="eastAsia" w:ascii="Times New Roman" w:hAnsi="Times New Roman" w:eastAsia="方正仿宋_GB2312"/>
          <w:lang w:val="en-US" w:eastAsia="zh-CN"/>
        </w:rPr>
      </w:pPr>
      <w:r>
        <w:rPr>
          <w:rFonts w:hint="eastAsia" w:ascii="Times New Roman" w:hAnsi="Times New Roman" w:eastAsia="方正仿宋_GB2312"/>
          <w:b/>
          <w:bCs/>
          <w:lang w:val="en-US" w:eastAsia="zh-CN"/>
        </w:rPr>
        <w:t>加快</w:t>
      </w:r>
      <w:r>
        <w:rPr>
          <w:rFonts w:ascii="Times New Roman" w:hAnsi="Times New Roman" w:eastAsia="方正仿宋_GB2312"/>
          <w:b/>
          <w:bCs/>
        </w:rPr>
        <w:t>科技</w:t>
      </w:r>
      <w:r>
        <w:rPr>
          <w:rFonts w:hint="eastAsia" w:ascii="Times New Roman" w:hAnsi="Times New Roman" w:eastAsia="方正仿宋_GB2312"/>
          <w:b/>
          <w:bCs/>
          <w:lang w:val="en-US" w:eastAsia="zh-CN"/>
        </w:rPr>
        <w:t>成果</w:t>
      </w:r>
      <w:r>
        <w:rPr>
          <w:rFonts w:ascii="Times New Roman" w:hAnsi="Times New Roman" w:eastAsia="方正仿宋_GB2312"/>
          <w:b/>
          <w:bCs/>
        </w:rPr>
        <w:t>转移转化。</w:t>
      </w:r>
      <w:r>
        <w:rPr>
          <w:rFonts w:hint="eastAsia" w:ascii="Times New Roman" w:hAnsi="Times New Roman" w:eastAsia="方正仿宋_GB2312"/>
          <w:lang w:val="en-US" w:eastAsia="zh-CN"/>
        </w:rPr>
        <w:t>打通开成果转化堵点，</w:t>
      </w:r>
      <w:r>
        <w:rPr>
          <w:rFonts w:hint="eastAsia" w:ascii="Times New Roman" w:hAnsi="Times New Roman" w:eastAsia="方正仿宋_GB2312"/>
        </w:rPr>
        <w:t>联合</w:t>
      </w:r>
      <w:r>
        <w:rPr>
          <w:rFonts w:hint="eastAsia" w:ascii="Times New Roman" w:hAnsi="Times New Roman" w:eastAsia="方正仿宋_GB2312"/>
          <w:lang w:val="en-US" w:eastAsia="zh-CN"/>
        </w:rPr>
        <w:t>省</w:t>
      </w:r>
    </w:p>
    <w:p w14:paraId="6B5B07DD">
      <w:pPr>
        <w:pStyle w:val="6"/>
        <w:keepNext w:val="0"/>
        <w:keepLines w:val="0"/>
        <w:pageBreakBefore w:val="0"/>
        <w:widowControl w:val="0"/>
        <w:kinsoku/>
        <w:wordWrap w:val="0"/>
        <w:overflowPunct/>
        <w:topLinePunct w:val="0"/>
        <w:autoSpaceDE/>
        <w:autoSpaceDN/>
        <w:bidi w:val="0"/>
        <w:adjustRightInd/>
        <w:snapToGrid/>
        <w:ind w:left="0" w:leftChars="0" w:firstLine="0" w:firstLineChars="0"/>
        <w:jc w:val="both"/>
        <w:textAlignment w:val="auto"/>
        <w:rPr>
          <w:rFonts w:hint="eastAsia" w:ascii="Times New Roman" w:hAnsi="Times New Roman" w:eastAsia="方正仿宋_GB2312"/>
          <w:bCs/>
          <w:kern w:val="36"/>
        </w:rPr>
      </w:pPr>
      <w:r>
        <w:rPr>
          <w:rFonts w:hint="eastAsia" w:ascii="Times New Roman" w:hAnsi="Times New Roman" w:eastAsia="方正仿宋_GB2312"/>
          <w:lang w:val="en-US" w:eastAsia="zh-CN"/>
        </w:rPr>
        <w:t>内外</w:t>
      </w:r>
      <w:r>
        <w:rPr>
          <w:rFonts w:ascii="Times New Roman" w:hAnsi="Times New Roman" w:eastAsia="方正仿宋_GB2312"/>
        </w:rPr>
        <w:t>科技大市场</w:t>
      </w:r>
      <w:r>
        <w:rPr>
          <w:rFonts w:hint="eastAsia" w:ascii="Times New Roman" w:hAnsi="Times New Roman" w:eastAsia="方正仿宋_GB2312"/>
        </w:rPr>
        <w:t>等科技中介按行业建立定期科技成果转化推介制度</w:t>
      </w:r>
      <w:r>
        <w:rPr>
          <w:rFonts w:ascii="Times New Roman" w:hAnsi="Times New Roman" w:eastAsia="方正仿宋_GB2312"/>
        </w:rPr>
        <w:t>，完善技术转移体系，</w:t>
      </w:r>
      <w:r>
        <w:rPr>
          <w:rFonts w:hint="eastAsia" w:ascii="Times New Roman" w:hAnsi="Times New Roman" w:eastAsia="方正仿宋_GB2312"/>
          <w:lang w:val="en-US" w:eastAsia="zh-CN"/>
        </w:rPr>
        <w:t>链接</w:t>
      </w:r>
      <w:r>
        <w:rPr>
          <w:rFonts w:ascii="Times New Roman" w:hAnsi="Times New Roman" w:eastAsia="方正仿宋_GB2312"/>
        </w:rPr>
        <w:t>一批科技成果转化服务机构，</w:t>
      </w:r>
      <w:r>
        <w:rPr>
          <w:rFonts w:hint="eastAsia" w:ascii="Times New Roman" w:hAnsi="Times New Roman" w:eastAsia="方正仿宋_GB2312"/>
          <w:lang w:val="en-US" w:eastAsia="zh-CN"/>
        </w:rPr>
        <w:t>形成</w:t>
      </w:r>
      <w:r>
        <w:rPr>
          <w:rFonts w:ascii="Times New Roman" w:hAnsi="Times New Roman" w:eastAsia="方正仿宋_GB2312"/>
        </w:rPr>
        <w:t>科技成果常态化路演</w:t>
      </w:r>
      <w:r>
        <w:rPr>
          <w:rFonts w:hint="eastAsia" w:ascii="Times New Roman" w:hAnsi="Times New Roman" w:eastAsia="方正仿宋_GB2312"/>
          <w:lang w:val="en-US" w:eastAsia="zh-CN"/>
        </w:rPr>
        <w:t>和链接</w:t>
      </w:r>
      <w:r>
        <w:rPr>
          <w:rFonts w:ascii="Times New Roman" w:hAnsi="Times New Roman" w:eastAsia="方正仿宋_GB2312"/>
        </w:rPr>
        <w:t>制度。实施应用场景示范行动，</w:t>
      </w:r>
      <w:r>
        <w:rPr>
          <w:rFonts w:hint="eastAsia" w:ascii="Times New Roman" w:hAnsi="Times New Roman" w:eastAsia="方正仿宋_GB2312"/>
          <w:lang w:val="en-US" w:eastAsia="zh-CN"/>
        </w:rPr>
        <w:t>探索</w:t>
      </w:r>
      <w:r>
        <w:rPr>
          <w:rFonts w:ascii="Times New Roman" w:hAnsi="Times New Roman" w:eastAsia="方正仿宋_GB2312"/>
        </w:rPr>
        <w:t>建设概念验证平台和中试验证基地，加快自主攻关产品推广应用和迭代升级。</w:t>
      </w:r>
    </w:p>
    <w:p w14:paraId="1E49A7B1">
      <w:pPr>
        <w:widowControl/>
        <w:ind w:firstLine="643"/>
        <w:jc w:val="left"/>
        <w:rPr>
          <w:rFonts w:hint="eastAsia" w:ascii="Times New Roman" w:hAnsi="Times New Roman" w:eastAsia="方正仿宋_GB2312"/>
        </w:rPr>
      </w:pPr>
      <w:r>
        <w:rPr>
          <w:rFonts w:hint="eastAsia" w:ascii="Times New Roman" w:hAnsi="Times New Roman" w:eastAsia="方正仿宋_GB2312"/>
          <w:b/>
          <w:bCs/>
        </w:rPr>
        <w:t>推动绿色科创与循环经济融合。</w:t>
      </w:r>
      <w:r>
        <w:rPr>
          <w:rFonts w:hint="eastAsia" w:ascii="Times New Roman" w:hAnsi="Times New Roman" w:eastAsia="方正仿宋_GB2312"/>
        </w:rPr>
        <w:t>紧扣园区“双碳”目标，将绿色技术创新作为重点方向。</w:t>
      </w:r>
      <w:r>
        <w:rPr>
          <w:rFonts w:ascii="Times New Roman" w:hAnsi="Times New Roman" w:eastAsia="方正仿宋_GB2312"/>
          <w:color w:val="000000"/>
          <w:kern w:val="0"/>
          <w:sz w:val="31"/>
          <w:szCs w:val="31"/>
          <w:lang w:bidi="ar"/>
        </w:rPr>
        <w:t>推动企业与高校、科研院所合作建设煤矸石短流程制备建筑陶瓷材料中试基地，短期中试基地主要建设煤矸石射选高岭石、煤矸石短流程制备建筑陶瓷材料中试线，中期主要建设煤矸石制备莫来石、焦宝石、瓷质研磨介质等材料。</w:t>
      </w:r>
      <w:r>
        <w:rPr>
          <w:rFonts w:hint="eastAsia" w:ascii="Times New Roman" w:hAnsi="Times New Roman" w:eastAsia="方正仿宋_GB2312"/>
        </w:rPr>
        <w:t>支持企业研发推广节能降耗、废水回用、固废高值化利用技术，推动创新与绿色发展深度融合。定向延链补链，依托现有产业基础与科创平台，围绕产业链薄弱环节开展精准科创招商。重点招引精细化工高端中间体、特种陶瓷、固废深加工、先进制造等科创型企业团队。运用产业链招商、飞地招商、场景招商、基金招商新模式，吸引外部优质科创资源集聚。</w:t>
      </w:r>
    </w:p>
    <w:p w14:paraId="0AB2F544">
      <w:pPr>
        <w:ind w:firstLine="618"/>
        <w:jc w:val="center"/>
        <w:outlineLvl w:val="1"/>
        <w:rPr>
          <w:rFonts w:ascii="Times New Roman" w:hAnsi="Times New Roman" w:eastAsia="楷体_GB2312"/>
          <w:b/>
          <w:spacing w:val="-6"/>
        </w:rPr>
      </w:pPr>
      <w:bookmarkStart w:id="78" w:name="_Toc2935"/>
      <w:bookmarkStart w:id="79" w:name="_Toc639"/>
      <w:bookmarkStart w:id="80" w:name="_Toc2958"/>
      <w:r>
        <w:rPr>
          <w:rFonts w:ascii="Times New Roman" w:hAnsi="Times New Roman" w:eastAsia="楷体_GB2312"/>
          <w:b/>
          <w:spacing w:val="-6"/>
        </w:rPr>
        <w:t>第</w:t>
      </w:r>
      <w:r>
        <w:rPr>
          <w:rFonts w:hint="eastAsia" w:ascii="Times New Roman" w:hAnsi="Times New Roman" w:eastAsia="楷体_GB2312"/>
          <w:b/>
          <w:spacing w:val="-6"/>
        </w:rPr>
        <w:t>三</w:t>
      </w:r>
      <w:r>
        <w:rPr>
          <w:rFonts w:ascii="Times New Roman" w:hAnsi="Times New Roman" w:eastAsia="楷体_GB2312"/>
          <w:b/>
          <w:spacing w:val="-6"/>
        </w:rPr>
        <w:t>节 一体</w:t>
      </w:r>
      <w:r>
        <w:rPr>
          <w:rFonts w:hint="eastAsia" w:ascii="Times New Roman" w:hAnsi="Times New Roman" w:eastAsia="楷体_GB2312"/>
          <w:b/>
          <w:spacing w:val="-6"/>
        </w:rPr>
        <w:t>化</w:t>
      </w:r>
      <w:r>
        <w:rPr>
          <w:rFonts w:ascii="Times New Roman" w:hAnsi="Times New Roman" w:eastAsia="楷体_GB2312"/>
          <w:b/>
          <w:spacing w:val="-6"/>
        </w:rPr>
        <w:t>推进科技人才</w:t>
      </w:r>
      <w:r>
        <w:rPr>
          <w:rFonts w:hint="eastAsia" w:ascii="Times New Roman" w:hAnsi="Times New Roman" w:eastAsia="楷体_GB2312"/>
          <w:b/>
          <w:spacing w:val="-6"/>
          <w:lang w:val="en-US" w:eastAsia="zh-CN"/>
        </w:rPr>
        <w:t>协同</w:t>
      </w:r>
      <w:r>
        <w:rPr>
          <w:rFonts w:ascii="Times New Roman" w:hAnsi="Times New Roman" w:eastAsia="楷体_GB2312"/>
          <w:b/>
          <w:spacing w:val="-6"/>
        </w:rPr>
        <w:t>发展</w:t>
      </w:r>
      <w:bookmarkEnd w:id="78"/>
      <w:bookmarkEnd w:id="79"/>
      <w:bookmarkEnd w:id="80"/>
    </w:p>
    <w:p w14:paraId="0E77DB84">
      <w:pPr>
        <w:ind w:firstLine="640"/>
        <w:rPr>
          <w:rFonts w:ascii="Times New Roman" w:hAnsi="Times New Roman"/>
        </w:rPr>
      </w:pPr>
      <w:r>
        <w:rPr>
          <w:rFonts w:hint="eastAsia" w:ascii="Times New Roman" w:hAnsi="Times New Roman"/>
          <w:lang w:val="en-US" w:eastAsia="zh-CN"/>
        </w:rPr>
        <w:t>坚持</w:t>
      </w:r>
      <w:r>
        <w:rPr>
          <w:rFonts w:ascii="Times New Roman" w:hAnsi="Times New Roman"/>
        </w:rPr>
        <w:t>科技创新、人才培养一体推进，形成</w:t>
      </w:r>
      <w:r>
        <w:rPr>
          <w:rFonts w:hint="eastAsia" w:ascii="Times New Roman" w:hAnsi="Times New Roman"/>
        </w:rPr>
        <w:t>优势互补、相互促进、协同发展的</w:t>
      </w:r>
      <w:r>
        <w:rPr>
          <w:rFonts w:ascii="Times New Roman" w:hAnsi="Times New Roman"/>
        </w:rPr>
        <w:t>良性循环，筑牢新质生产力发展的基础性、战略性支撑。</w:t>
      </w:r>
      <w:r>
        <w:rPr>
          <w:rFonts w:hint="eastAsia" w:ascii="Times New Roman" w:hAnsi="Times New Roman"/>
          <w:bCs/>
        </w:rPr>
        <w:t>按照高级技术人才外聘和培养相结合、中级管理人才职业培训为主体、职业技术人才和高校共建培养的方式</w:t>
      </w:r>
      <w:r>
        <w:rPr>
          <w:rFonts w:hint="eastAsia" w:ascii="Times New Roman" w:hAnsi="Times New Roman"/>
          <w:bCs/>
          <w:lang w:eastAsia="zh-CN"/>
        </w:rPr>
        <w:t>，</w:t>
      </w:r>
      <w:r>
        <w:rPr>
          <w:rFonts w:hint="eastAsia" w:ascii="Times New Roman" w:hAnsi="Times New Roman"/>
          <w:bCs/>
          <w:lang w:val="en-US" w:eastAsia="zh-CN"/>
        </w:rPr>
        <w:t>建好开发区人才体系。</w:t>
      </w:r>
    </w:p>
    <w:p w14:paraId="0691B63C">
      <w:pPr>
        <w:ind w:firstLine="643"/>
        <w:outlineLvl w:val="2"/>
        <w:rPr>
          <w:rFonts w:ascii="Times New Roman" w:hAnsi="Times New Roman"/>
        </w:rPr>
      </w:pPr>
      <w:r>
        <w:rPr>
          <w:rFonts w:hint="eastAsia"/>
          <w:b/>
          <w:bCs/>
          <w:lang w:val="en-US" w:eastAsia="zh-CN"/>
        </w:rPr>
        <w:t>加强市场化引才。</w:t>
      </w:r>
      <w:r>
        <w:rPr>
          <w:rFonts w:hint="eastAsia" w:ascii="Times New Roman" w:hAnsi="Times New Roman"/>
          <w:bCs/>
          <w:lang w:val="en-US" w:eastAsia="zh-CN"/>
        </w:rPr>
        <w:t>用好省市市场化引才政策，在关键技术领域集成政策引导企业引入一批核心技术人才。</w:t>
      </w:r>
      <w:r>
        <w:rPr>
          <w:rFonts w:hint="eastAsia" w:ascii="Times New Roman" w:hAnsi="Times New Roman"/>
        </w:rPr>
        <w:t>试行</w:t>
      </w:r>
      <w:r>
        <w:rPr>
          <w:rFonts w:ascii="Times New Roman" w:hAnsi="Times New Roman"/>
        </w:rPr>
        <w:t>产才融合推进机制，探索人才引进与项目招商相结合的引才方式，引育高质量科技团队。</w:t>
      </w:r>
      <w:r>
        <w:rPr>
          <w:rFonts w:hint="eastAsia"/>
          <w:lang w:val="en-US" w:eastAsia="zh-CN"/>
        </w:rPr>
        <w:t>实施高层次人才培育、团队引进、环境提升、高技能培训计划，围绕产业发展，积极引进关键核心技术研发、重大科技成果转化的领军人才和高端人才。探索“项目招才”（化工园区引入赛鼎公司专业团队）“以才引才”（阳城在外高层次人才推荐、重点企业或龙头企业通过产业链上下游对接，吸引配套项目和人才）“飞地引才”（通过区校合作，在知名院校、先进地区设立“人才飞地”）等方式柔性引进高层次人才。探索与猎头公司合作市场化引才。</w:t>
      </w:r>
    </w:p>
    <w:p w14:paraId="08011819">
      <w:pPr>
        <w:ind w:firstLine="643"/>
        <w:outlineLvl w:val="2"/>
        <w:rPr>
          <w:rFonts w:ascii="Times New Roman" w:hAnsi="Times New Roman"/>
        </w:rPr>
      </w:pPr>
      <w:r>
        <w:rPr>
          <w:rFonts w:hint="eastAsia" w:ascii="Times New Roman" w:hAnsi="Times New Roman"/>
          <w:b/>
          <w:bCs/>
          <w:lang w:val="en-US" w:eastAsia="zh-CN"/>
        </w:rPr>
        <w:t>加强职业人才培育。</w:t>
      </w:r>
      <w:r>
        <w:rPr>
          <w:rFonts w:hint="eastAsia"/>
          <w:lang w:val="en-US" w:eastAsia="zh-CN"/>
        </w:rPr>
        <w:t>注重培养一线创新人才和青年科技人才，建设高技能产业工人培训基地。</w:t>
      </w:r>
      <w:r>
        <w:rPr>
          <w:rFonts w:hint="eastAsia" w:ascii="Times New Roman" w:hAnsi="Times New Roman"/>
        </w:rPr>
        <w:t>用好</w:t>
      </w:r>
      <w:r>
        <w:rPr>
          <w:rFonts w:ascii="Times New Roman" w:hAnsi="Times New Roman"/>
          <w:bCs/>
        </w:rPr>
        <w:t>职业教育质量提升</w:t>
      </w:r>
      <w:r>
        <w:rPr>
          <w:rFonts w:hint="eastAsia" w:ascii="Times New Roman" w:hAnsi="Times New Roman"/>
          <w:bCs/>
        </w:rPr>
        <w:t>政策</w:t>
      </w:r>
      <w:r>
        <w:rPr>
          <w:rFonts w:ascii="Times New Roman" w:hAnsi="Times New Roman"/>
          <w:bCs/>
        </w:rPr>
        <w:t>，</w:t>
      </w:r>
      <w:r>
        <w:rPr>
          <w:rFonts w:ascii="Times New Roman" w:hAnsi="Times New Roman"/>
        </w:rPr>
        <w:t>推动职业技能培训与先进制造业集群培育提升深度融合，</w:t>
      </w:r>
      <w:r>
        <w:rPr>
          <w:rFonts w:hint="eastAsia" w:ascii="Times New Roman" w:hAnsi="Times New Roman"/>
        </w:rPr>
        <w:t>在三大产业</w:t>
      </w:r>
      <w:r>
        <w:rPr>
          <w:rFonts w:ascii="Times New Roman" w:hAnsi="Times New Roman"/>
        </w:rPr>
        <w:t>开展</w:t>
      </w:r>
      <w:r>
        <w:rPr>
          <w:rFonts w:hint="eastAsia" w:ascii="Times New Roman" w:hAnsi="Times New Roman"/>
        </w:rPr>
        <w:t>县</w:t>
      </w:r>
      <w:r>
        <w:rPr>
          <w:rFonts w:ascii="Times New Roman" w:hAnsi="Times New Roman"/>
        </w:rPr>
        <w:t>域产教联合体、行业产教融合共同体</w:t>
      </w:r>
      <w:r>
        <w:rPr>
          <w:rFonts w:hint="eastAsia" w:ascii="Times New Roman" w:hAnsi="Times New Roman"/>
        </w:rPr>
        <w:t>、特色产业学院</w:t>
      </w:r>
      <w:r>
        <w:rPr>
          <w:rFonts w:ascii="Times New Roman" w:hAnsi="Times New Roman"/>
        </w:rPr>
        <w:t>建设。</w:t>
      </w:r>
      <w:r>
        <w:rPr>
          <w:rFonts w:hint="eastAsia"/>
          <w:lang w:val="en-US" w:eastAsia="zh-CN"/>
        </w:rPr>
        <w:t>与省内职业院校合作，共建产业专班和实训基地，订单式培养产业急需的技能型人才。</w:t>
      </w:r>
      <w:r>
        <w:rPr>
          <w:rFonts w:ascii="Times New Roman" w:hAnsi="Times New Roman"/>
        </w:rPr>
        <w:t>壮大</w:t>
      </w:r>
      <w:r>
        <w:rPr>
          <w:rFonts w:hint="eastAsia" w:ascii="Times New Roman" w:hAnsi="Times New Roman"/>
        </w:rPr>
        <w:t>职业</w:t>
      </w:r>
      <w:r>
        <w:rPr>
          <w:rFonts w:ascii="Times New Roman" w:hAnsi="Times New Roman"/>
        </w:rPr>
        <w:t>人才队伍，开展</w:t>
      </w:r>
      <w:r>
        <w:rPr>
          <w:rFonts w:hint="eastAsia" w:ascii="Times New Roman" w:hAnsi="Times New Roman"/>
        </w:rPr>
        <w:t>职业</w:t>
      </w:r>
      <w:r>
        <w:rPr>
          <w:rFonts w:ascii="Times New Roman" w:hAnsi="Times New Roman"/>
        </w:rPr>
        <w:t>技能提升行动，鼓励带徒传艺、技能交流，完善职业技能竞赛体系，培养更多卓越工程师、能工巧匠、大国工匠。</w:t>
      </w:r>
    </w:p>
    <w:p w14:paraId="28FEEA70">
      <w:pPr>
        <w:spacing w:before="156" w:beforeLines="50" w:after="156" w:afterLines="50" w:line="600" w:lineRule="exact"/>
        <w:ind w:firstLine="618"/>
        <w:jc w:val="center"/>
        <w:outlineLvl w:val="1"/>
        <w:rPr>
          <w:rFonts w:ascii="Times New Roman" w:hAnsi="Times New Roman" w:eastAsia="楷体_GB2312"/>
          <w:b/>
          <w:spacing w:val="-6"/>
        </w:rPr>
      </w:pPr>
      <w:bookmarkStart w:id="81" w:name="_Toc24054"/>
      <w:bookmarkStart w:id="82" w:name="_Toc9448"/>
      <w:bookmarkStart w:id="83" w:name="_Toc18460"/>
      <w:r>
        <w:rPr>
          <w:rFonts w:hint="eastAsia" w:ascii="Times New Roman" w:hAnsi="Times New Roman" w:eastAsia="楷体_GB2312"/>
          <w:b/>
          <w:spacing w:val="-6"/>
        </w:rPr>
        <w:t xml:space="preserve">第四节  </w:t>
      </w:r>
      <w:r>
        <w:rPr>
          <w:rFonts w:ascii="Times New Roman" w:hAnsi="Times New Roman" w:eastAsia="楷体_GB2312"/>
          <w:b/>
          <w:spacing w:val="-6"/>
        </w:rPr>
        <w:t>促进数实深度融合发展</w:t>
      </w:r>
      <w:bookmarkEnd w:id="81"/>
      <w:bookmarkEnd w:id="82"/>
      <w:bookmarkEnd w:id="83"/>
    </w:p>
    <w:p w14:paraId="567482CF">
      <w:pPr>
        <w:spacing w:line="600" w:lineRule="exact"/>
        <w:ind w:firstLine="640"/>
        <w:jc w:val="left"/>
        <w:rPr>
          <w:rFonts w:ascii="Times New Roman" w:hAnsi="Times New Roman"/>
        </w:rPr>
      </w:pPr>
      <w:r>
        <w:rPr>
          <w:rFonts w:hint="eastAsia" w:ascii="Times New Roman" w:hAnsi="Times New Roman"/>
        </w:rPr>
        <w:t>坚持数据赋能、场景驱动，发挥优势行业数据和丰富应用场景优势，促进数字技术赋能传统产业转型升级，催生新产业新业态新模式，构建数字经济驱动力。</w:t>
      </w:r>
    </w:p>
    <w:p w14:paraId="4ECB1AE9">
      <w:pPr>
        <w:widowControl/>
        <w:ind w:firstLine="643"/>
        <w:jc w:val="left"/>
        <w:rPr>
          <w:rFonts w:ascii="Times New Roman" w:hAnsi="Times New Roman"/>
        </w:rPr>
      </w:pPr>
      <w:r>
        <w:rPr>
          <w:rFonts w:hint="eastAsia"/>
          <w:b/>
          <w:bCs/>
        </w:rPr>
        <w:t>纵深推进制造业数智变革。</w:t>
      </w:r>
      <w:r>
        <w:rPr>
          <w:rFonts w:hint="eastAsia" w:ascii="Times New Roman" w:hAnsi="Times New Roman"/>
        </w:rPr>
        <w:t>以智能制造为主攻方向，以场景应用为牵引，加快精细化工、先进制造等重点行业智能升级。重点推动陶瓷制造业等传统产业数据资源化、资产化，培育数据要素驱动的新业态。探索在陶瓷行业率先实现数字化转型，实现生产设备网络化、生产数据可视化、生产过程透明化，推动陶瓷企业降本增效，</w:t>
      </w:r>
      <w:r>
        <w:rPr>
          <w:color w:val="000000"/>
          <w:kern w:val="0"/>
          <w:sz w:val="31"/>
          <w:szCs w:val="31"/>
          <w:lang w:bidi="ar"/>
        </w:rPr>
        <w:t>以原料制备、窑炉控制、物流仓储、在线检测等环节为重点，提炼形成若干套具有自动执行、智能感知、深度学习、智能决策等功能的智能化、数字化、集成化系统解决方案</w:t>
      </w:r>
      <w:r>
        <w:rPr>
          <w:rFonts w:hint="eastAsia"/>
          <w:color w:val="000000"/>
          <w:kern w:val="0"/>
          <w:sz w:val="31"/>
          <w:szCs w:val="31"/>
          <w:lang w:bidi="ar"/>
        </w:rPr>
        <w:t>。</w:t>
      </w:r>
      <w:r>
        <w:rPr>
          <w:rFonts w:hint="eastAsia" w:ascii="Times New Roman" w:hAnsi="Times New Roman"/>
        </w:rPr>
        <w:t>分行业推动实现规上制造业企业数字化改造全覆盖，到“十五五”末培育1-2家智能工厂。</w:t>
      </w:r>
    </w:p>
    <w:p w14:paraId="60D44312">
      <w:pPr>
        <w:spacing w:line="600" w:lineRule="exact"/>
        <w:ind w:firstLine="643"/>
        <w:jc w:val="left"/>
        <w:rPr>
          <w:rFonts w:ascii="Times New Roman" w:hAnsi="Times New Roman" w:eastAsia="黑体" w:cs="Times New Roman"/>
          <w:bCs/>
          <w:sz w:val="36"/>
          <w:szCs w:val="36"/>
        </w:rPr>
      </w:pPr>
      <w:r>
        <w:rPr>
          <w:rFonts w:hint="eastAsia"/>
          <w:b/>
          <w:bCs/>
        </w:rPr>
        <w:t>促进</w:t>
      </w:r>
      <w:r>
        <w:rPr>
          <w:rFonts w:hint="eastAsia"/>
          <w:b/>
          <w:bCs/>
          <w:lang w:val="en-US" w:eastAsia="zh-CN"/>
        </w:rPr>
        <w:t>配套</w:t>
      </w:r>
      <w:r>
        <w:rPr>
          <w:rFonts w:hint="eastAsia"/>
          <w:b/>
          <w:bCs/>
        </w:rPr>
        <w:t>服务业数智赋能。</w:t>
      </w:r>
      <w:r>
        <w:rPr>
          <w:rFonts w:hint="eastAsia"/>
        </w:rPr>
        <w:t>加快新一代信息技术向生产性服务业全产业链渗透，构建“数字+服务”生态体系，</w:t>
      </w:r>
      <w:r>
        <w:rPr>
          <w:rFonts w:hint="eastAsia" w:ascii="Times New Roman" w:hAnsi="Times New Roman"/>
        </w:rPr>
        <w:t>引导企业运用数字营销、跨境电商等新渠道，拓展国内外市场。通过融合发展，打造阳城陶瓷文化IP和</w:t>
      </w:r>
      <w:r>
        <w:rPr>
          <w:rFonts w:hint="eastAsia" w:ascii="方正仿宋_GB2312" w:hAnsi="方正仿宋_GB2312" w:eastAsia="方正仿宋_GB2312" w:cs="方正仿宋_GB2312"/>
        </w:rPr>
        <w:t>消费</w:t>
      </w:r>
      <w:r>
        <w:rPr>
          <w:rFonts w:hint="eastAsia" w:ascii="方正仿宋_GB2312" w:hAnsi="方正仿宋_GB2312" w:eastAsia="方正仿宋_GB2312" w:cs="方正仿宋_GB2312"/>
          <w:spacing w:val="7"/>
          <w:sz w:val="30"/>
          <w:szCs w:val="30"/>
        </w:rPr>
        <w:t>品牌</w:t>
      </w:r>
      <w:r>
        <w:rPr>
          <w:rFonts w:hint="eastAsia" w:ascii="方正仿宋_GB2312" w:hAnsi="方正仿宋_GB2312" w:eastAsia="方正仿宋_GB2312" w:cs="方正仿宋_GB2312"/>
        </w:rPr>
        <w:t>。依托八甲口区位优势，开展智慧物流行动，建设集智能仓储、无人配送、流通加工于一体的智慧物流园区，打造“物流+产业+商贸”深度融合的示范平台，推动传统物流向供应链一体化、智能化转型，探索构建多式联运数字综合运输体系。</w:t>
      </w:r>
    </w:p>
    <w:p w14:paraId="411D6AA0">
      <w:pPr>
        <w:ind w:firstLine="643"/>
        <w:outlineLvl w:val="2"/>
        <w:rPr>
          <w:rFonts w:ascii="Times New Roman" w:hAnsi="Times New Roman"/>
        </w:rPr>
      </w:pPr>
      <w:bookmarkStart w:id="84" w:name="_Toc592"/>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14:paraId="05725B52">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c>
          <w:tcPr>
            <w:tcW w:w="5000" w:type="pct"/>
            <w:noWrap w:val="0"/>
            <w:vAlign w:val="center"/>
          </w:tcPr>
          <w:p w14:paraId="54402A8F">
            <w:pPr>
              <w:widowControl/>
              <w:adjustRightInd w:val="0"/>
              <w:jc w:val="center"/>
              <w:rPr>
                <w:rFonts w:hint="default" w:ascii="黑体" w:hAnsi="黑体" w:eastAsia="黑体" w:cs="黑体"/>
                <w:sz w:val="22"/>
                <w:szCs w:val="22"/>
                <w:shd w:val="clear" w:color="auto" w:fill="FFFFFF"/>
                <w:lang w:val="en-US" w:eastAsia="zh-CN"/>
              </w:rPr>
            </w:pPr>
            <w:r>
              <w:rPr>
                <w:rFonts w:hint="eastAsia" w:ascii="黑体" w:hAnsi="黑体" w:eastAsia="黑体" w:cs="黑体"/>
                <w:sz w:val="28"/>
                <w:szCs w:val="28"/>
              </w:rPr>
              <w:t>专栏</w:t>
            </w:r>
            <w:r>
              <w:rPr>
                <w:rFonts w:hint="eastAsia" w:ascii="黑体" w:hAnsi="黑体" w:eastAsia="黑体" w:cs="黑体"/>
                <w:sz w:val="28"/>
                <w:szCs w:val="28"/>
                <w:lang w:val="en-US" w:eastAsia="zh-CN"/>
              </w:rPr>
              <w:t>4</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创新生态建设行动</w:t>
            </w:r>
          </w:p>
        </w:tc>
      </w:tr>
      <w:tr w14:paraId="1CC392BD">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557" w:hRule="atLeast"/>
        </w:trPr>
        <w:tc>
          <w:tcPr>
            <w:tcW w:w="5000" w:type="pct"/>
            <w:noWrap w:val="0"/>
            <w:vAlign w:val="center"/>
          </w:tcPr>
          <w:p w14:paraId="445C6670">
            <w:pPr>
              <w:overflowPunct w:val="0"/>
              <w:spacing w:line="460" w:lineRule="exact"/>
              <w:ind w:firstLine="562" w:firstLineChars="200"/>
              <w:rPr>
                <w:rFonts w:hint="eastAsia" w:ascii="Times New Roman" w:hAnsi="Times New Roman" w:eastAsia="仿宋_GB2312"/>
                <w:sz w:val="28"/>
                <w:szCs w:val="28"/>
                <w:lang w:val="en-US" w:eastAsia="zh-CN"/>
              </w:rPr>
            </w:pPr>
            <w:r>
              <w:rPr>
                <w:rFonts w:hint="eastAsia" w:ascii="Times New Roman" w:hAnsi="Times New Roman" w:eastAsia="仿宋_GB2312"/>
                <w:b/>
                <w:bCs/>
                <w:sz w:val="28"/>
                <w:szCs w:val="28"/>
                <w:lang w:val="en-US" w:eastAsia="zh-CN"/>
              </w:rPr>
              <w:t>搭建陶瓷产业研发平台。</w:t>
            </w:r>
            <w:r>
              <w:rPr>
                <w:rFonts w:hint="eastAsia" w:ascii="Times New Roman" w:hAnsi="Times New Roman" w:eastAsia="仿宋_GB2312"/>
                <w:sz w:val="28"/>
                <w:szCs w:val="28"/>
                <w:lang w:val="en-US" w:eastAsia="zh-CN"/>
              </w:rPr>
              <w:t>依托咸阳陶瓷院阳城陶瓷技术发展中心和其他高校、科研机构创建特种陶瓷及陶瓷新型无机非金属新材料技术创新联盟，加强对山东工陶院、清华大学、哈工大及省内相关材料学院的合作和新材料、新技术的引进，针对原料配方、产品力学性能、物理化学性能、材料复合及产品应用等工艺开展跨学科、跨领域联合研发，加快科技成果产业化。</w:t>
            </w:r>
          </w:p>
          <w:p w14:paraId="5D4A884E">
            <w:pPr>
              <w:overflowPunct w:val="0"/>
              <w:spacing w:line="460" w:lineRule="exact"/>
              <w:ind w:firstLine="562" w:firstLineChars="200"/>
              <w:rPr>
                <w:rFonts w:hint="eastAsia" w:ascii="Times New Roman" w:hAnsi="Times New Roman" w:eastAsia="仿宋_GB2312"/>
                <w:sz w:val="28"/>
                <w:szCs w:val="28"/>
                <w:lang w:val="en-US" w:eastAsia="zh-CN"/>
              </w:rPr>
            </w:pPr>
            <w:r>
              <w:rPr>
                <w:rFonts w:hint="eastAsia" w:ascii="Times New Roman" w:hAnsi="Times New Roman"/>
                <w:b/>
                <w:bCs/>
                <w:sz w:val="28"/>
                <w:szCs w:val="28"/>
                <w:lang w:val="en-US" w:eastAsia="zh-CN"/>
              </w:rPr>
              <w:t>设立</w:t>
            </w:r>
            <w:r>
              <w:rPr>
                <w:rFonts w:hint="eastAsia" w:ascii="Times New Roman" w:hAnsi="Times New Roman" w:eastAsia="仿宋_GB2312"/>
                <w:b/>
                <w:bCs/>
                <w:sz w:val="28"/>
                <w:szCs w:val="28"/>
                <w:lang w:val="en-US" w:eastAsia="zh-CN"/>
              </w:rPr>
              <w:t>阳开产业研究院。</w:t>
            </w:r>
            <w:r>
              <w:rPr>
                <w:rFonts w:hint="eastAsia" w:ascii="Times New Roman" w:hAnsi="Times New Roman" w:eastAsia="仿宋_GB2312"/>
                <w:sz w:val="28"/>
                <w:szCs w:val="28"/>
                <w:lang w:val="en-US" w:eastAsia="zh-CN"/>
              </w:rPr>
              <w:t>围绕阳城开发区三大产业设立产业研究院。吸纳省内外以及国外知名专家、高技术人才，涉及政策研究、产业规划、陶瓷、化工、电子信息技术、装备制造、新材料、新能源、节能环保等。采用在企业具化技术需求基础上、政府搭建平台提供共性产业服务支持、协助企业解决个性需求的模式，将阳开产业研究院打造成为阳城开发区智库，为阳城开发区发展提供专家决策咨询。</w:t>
            </w:r>
          </w:p>
          <w:p w14:paraId="53787538">
            <w:pPr>
              <w:overflowPunct w:val="0"/>
              <w:spacing w:line="460" w:lineRule="exact"/>
              <w:ind w:firstLine="562" w:firstLineChars="200"/>
              <w:rPr>
                <w:rFonts w:hint="eastAsia" w:ascii="Times New Roman" w:hAnsi="Times New Roman" w:eastAsia="仿宋_GB2312"/>
                <w:sz w:val="28"/>
                <w:szCs w:val="28"/>
                <w:lang w:val="en-US" w:eastAsia="zh-CN"/>
              </w:rPr>
            </w:pPr>
            <w:r>
              <w:rPr>
                <w:rFonts w:hint="eastAsia" w:ascii="Times New Roman" w:hAnsi="Times New Roman"/>
                <w:b/>
                <w:bCs/>
                <w:sz w:val="28"/>
                <w:szCs w:val="28"/>
                <w:lang w:val="en-US" w:eastAsia="zh-CN"/>
              </w:rPr>
              <w:t>产业工人培育行动。</w:t>
            </w:r>
            <w:r>
              <w:rPr>
                <w:rFonts w:hint="eastAsia" w:ascii="Times New Roman" w:hAnsi="Times New Roman"/>
                <w:sz w:val="28"/>
                <w:szCs w:val="28"/>
                <w:lang w:val="en-US" w:eastAsia="zh-CN"/>
              </w:rPr>
              <w:t>围绕精细化工、陶瓷和加工制造，联合晋城职业技术学院，阳城职校开展订单人才培养，</w:t>
            </w:r>
            <w:r>
              <w:rPr>
                <w:rFonts w:hint="eastAsia" w:ascii="Times New Roman" w:hAnsi="Times New Roman" w:eastAsia="仿宋_GB2312"/>
                <w:sz w:val="28"/>
                <w:szCs w:val="28"/>
                <w:lang w:val="en-US" w:eastAsia="zh-CN"/>
              </w:rPr>
              <w:t>开展产教融合共同体、特色产业学院建设。</w:t>
            </w:r>
          </w:p>
          <w:p w14:paraId="7111FBBD">
            <w:pPr>
              <w:overflowPunct w:val="0"/>
              <w:spacing w:line="460" w:lineRule="exact"/>
              <w:ind w:firstLine="562" w:firstLineChars="200"/>
              <w:rPr>
                <w:rFonts w:hint="default" w:ascii="Times New Roman" w:hAnsi="Times New Roman" w:eastAsia="仿宋_GB2312"/>
                <w:sz w:val="28"/>
                <w:szCs w:val="28"/>
                <w:lang w:val="en-US" w:eastAsia="zh-CN"/>
              </w:rPr>
            </w:pPr>
            <w:r>
              <w:rPr>
                <w:rFonts w:hint="eastAsia" w:ascii="Times New Roman" w:hAnsi="Times New Roman"/>
                <w:b/>
                <w:bCs/>
                <w:sz w:val="28"/>
                <w:szCs w:val="28"/>
                <w:lang w:val="en-US" w:eastAsia="zh-CN"/>
              </w:rPr>
              <w:t>数智深度赋能行动。</w:t>
            </w:r>
            <w:r>
              <w:rPr>
                <w:rFonts w:hint="eastAsia" w:ascii="Times New Roman" w:hAnsi="Times New Roman"/>
                <w:sz w:val="28"/>
                <w:szCs w:val="28"/>
                <w:lang w:val="en-US" w:eastAsia="zh-CN"/>
              </w:rPr>
              <w:t>深化企业智能改造，拓展陶瓷智能控窑、化工智能安防等应用场景，探索推动传统制造业领域规模以上工业企业数字化转型实现全覆盖。</w:t>
            </w:r>
          </w:p>
        </w:tc>
      </w:tr>
    </w:tbl>
    <w:p w14:paraId="4A1DEEFE">
      <w:pPr>
        <w:ind w:firstLine="720"/>
        <w:rPr>
          <w:rFonts w:ascii="Times New Roman" w:hAnsi="Times New Roman" w:eastAsia="黑体"/>
          <w:bCs/>
          <w:sz w:val="36"/>
          <w:szCs w:val="36"/>
        </w:rPr>
      </w:pPr>
      <w:r>
        <w:rPr>
          <w:rFonts w:hint="eastAsia" w:ascii="Times New Roman" w:hAnsi="Times New Roman" w:eastAsia="黑体"/>
          <w:bCs/>
          <w:sz w:val="36"/>
          <w:szCs w:val="36"/>
        </w:rPr>
        <w:br w:type="page"/>
      </w:r>
    </w:p>
    <w:p w14:paraId="79665DDD">
      <w:pPr>
        <w:ind w:firstLine="720"/>
        <w:jc w:val="center"/>
        <w:outlineLvl w:val="0"/>
        <w:rPr>
          <w:rFonts w:ascii="Times New Roman" w:hAnsi="Times New Roman" w:eastAsia="黑体"/>
          <w:bCs/>
          <w:sz w:val="36"/>
          <w:szCs w:val="36"/>
        </w:rPr>
      </w:pPr>
      <w:bookmarkStart w:id="85" w:name="_Toc9134"/>
      <w:bookmarkStart w:id="86" w:name="_Toc15879"/>
      <w:r>
        <w:rPr>
          <w:rFonts w:hint="eastAsia" w:ascii="Times New Roman" w:hAnsi="Times New Roman" w:eastAsia="黑体"/>
          <w:bCs/>
          <w:sz w:val="36"/>
          <w:szCs w:val="36"/>
        </w:rPr>
        <w:t>第四章  推动绿色发展，促进</w:t>
      </w:r>
      <w:bookmarkEnd w:id="58"/>
      <w:bookmarkEnd w:id="84"/>
      <w:r>
        <w:rPr>
          <w:rFonts w:hint="eastAsia" w:ascii="Times New Roman" w:hAnsi="Times New Roman" w:eastAsia="黑体"/>
          <w:bCs/>
          <w:sz w:val="36"/>
          <w:szCs w:val="36"/>
        </w:rPr>
        <w:t>资源高效利用</w:t>
      </w:r>
      <w:bookmarkEnd w:id="85"/>
      <w:bookmarkEnd w:id="86"/>
    </w:p>
    <w:p w14:paraId="672BCE16">
      <w:pPr>
        <w:spacing w:line="600" w:lineRule="exact"/>
        <w:ind w:firstLine="640"/>
        <w:rPr>
          <w:rFonts w:hint="eastAsia"/>
        </w:rPr>
      </w:pPr>
      <w:r>
        <w:rPr>
          <w:rFonts w:hint="eastAsia"/>
        </w:rPr>
        <w:t>坚持</w:t>
      </w:r>
      <w:r>
        <w:rPr>
          <w:rFonts w:hint="eastAsia"/>
          <w:lang w:val="en-US" w:eastAsia="zh-CN"/>
        </w:rPr>
        <w:t>提高</w:t>
      </w:r>
      <w:r>
        <w:rPr>
          <w:rFonts w:hint="eastAsia"/>
        </w:rPr>
        <w:t>资源</w:t>
      </w:r>
      <w:r>
        <w:rPr>
          <w:rFonts w:hint="eastAsia"/>
          <w:lang w:val="en-US" w:eastAsia="zh-CN"/>
        </w:rPr>
        <w:t>利用效率</w:t>
      </w:r>
      <w:r>
        <w:rPr>
          <w:rFonts w:hint="eastAsia"/>
        </w:rPr>
        <w:t>，深入推进</w:t>
      </w:r>
      <w:r>
        <w:rPr>
          <w:rFonts w:hint="eastAsia"/>
          <w:lang w:val="en-US" w:eastAsia="zh-CN"/>
        </w:rPr>
        <w:t>节能降碳</w:t>
      </w:r>
      <w:r>
        <w:rPr>
          <w:rFonts w:hint="eastAsia"/>
        </w:rPr>
        <w:t>战略，着力转方式调结构，提升环境治理能力，形成节约资源和保护生态环境的产业结构、增长方式和</w:t>
      </w:r>
      <w:r>
        <w:rPr>
          <w:rFonts w:hint="eastAsia"/>
          <w:lang w:val="en-US" w:eastAsia="zh-CN"/>
        </w:rPr>
        <w:t>能源</w:t>
      </w:r>
      <w:r>
        <w:rPr>
          <w:rFonts w:hint="eastAsia"/>
        </w:rPr>
        <w:t>消费模式，</w:t>
      </w:r>
      <w:r>
        <w:rPr>
          <w:rFonts w:hint="eastAsia"/>
          <w:lang w:val="en-US" w:eastAsia="zh-CN"/>
        </w:rPr>
        <w:t>对标生态文明建设</w:t>
      </w:r>
      <w:r>
        <w:rPr>
          <w:rFonts w:hint="eastAsia"/>
        </w:rPr>
        <w:t>示范区</w:t>
      </w:r>
      <w:r>
        <w:rPr>
          <w:rFonts w:hint="eastAsia"/>
          <w:lang w:eastAsia="zh-CN"/>
        </w:rPr>
        <w:t>（</w:t>
      </w:r>
      <w:r>
        <w:rPr>
          <w:rFonts w:hint="eastAsia"/>
          <w:lang w:val="en-US" w:eastAsia="zh-CN"/>
        </w:rPr>
        <w:t>生态工业园区</w:t>
      </w:r>
      <w:r>
        <w:rPr>
          <w:rFonts w:hint="eastAsia"/>
          <w:lang w:eastAsia="zh-CN"/>
        </w:rPr>
        <w:t>）</w:t>
      </w:r>
      <w:r>
        <w:rPr>
          <w:rFonts w:hint="eastAsia"/>
          <w:lang w:val="en-US" w:eastAsia="zh-CN"/>
        </w:rPr>
        <w:t>建设</w:t>
      </w:r>
      <w:r>
        <w:rPr>
          <w:rFonts w:hint="eastAsia"/>
        </w:rPr>
        <w:t>，</w:t>
      </w:r>
      <w:r>
        <w:rPr>
          <w:rFonts w:hint="eastAsia"/>
          <w:lang w:val="en-US" w:eastAsia="zh-CN"/>
        </w:rPr>
        <w:t>探索创建零碳园区</w:t>
      </w:r>
      <w:r>
        <w:rPr>
          <w:rFonts w:hint="eastAsia"/>
        </w:rPr>
        <w:t>。</w:t>
      </w:r>
    </w:p>
    <w:p w14:paraId="168E03ED">
      <w:pPr>
        <w:ind w:firstLine="618"/>
        <w:jc w:val="center"/>
        <w:outlineLvl w:val="1"/>
        <w:rPr>
          <w:rFonts w:ascii="Times New Roman" w:hAnsi="Times New Roman" w:eastAsia="楷体_GB2312"/>
          <w:b/>
          <w:spacing w:val="-6"/>
        </w:rPr>
      </w:pPr>
      <w:bookmarkStart w:id="87" w:name="_Toc11885"/>
      <w:bookmarkStart w:id="88" w:name="_Toc9525"/>
      <w:bookmarkStart w:id="89" w:name="_Toc23446"/>
      <w:bookmarkStart w:id="90" w:name="_Toc21672"/>
      <w:r>
        <w:rPr>
          <w:rFonts w:ascii="Times New Roman" w:hAnsi="Times New Roman" w:eastAsia="楷体_GB2312"/>
          <w:b/>
          <w:spacing w:val="-6"/>
        </w:rPr>
        <w:t xml:space="preserve">第一节  </w:t>
      </w:r>
      <w:r>
        <w:rPr>
          <w:rFonts w:hint="eastAsia" w:ascii="Times New Roman" w:hAnsi="Times New Roman" w:eastAsia="楷体_GB2312"/>
          <w:b/>
          <w:spacing w:val="-6"/>
        </w:rPr>
        <w:t>有序实施</w:t>
      </w:r>
      <w:bookmarkEnd w:id="87"/>
      <w:bookmarkEnd w:id="88"/>
      <w:r>
        <w:rPr>
          <w:rFonts w:hint="eastAsia" w:ascii="Times New Roman" w:hAnsi="Times New Roman" w:eastAsia="楷体_GB2312"/>
          <w:b/>
          <w:spacing w:val="-6"/>
        </w:rPr>
        <w:t>节能降碳</w:t>
      </w:r>
      <w:bookmarkEnd w:id="89"/>
      <w:bookmarkEnd w:id="90"/>
    </w:p>
    <w:p w14:paraId="61395E15">
      <w:pPr>
        <w:pStyle w:val="38"/>
        <w:rPr>
          <w:rFonts w:hint="eastAsia" w:ascii="仿宋_GB2312" w:hAnsi="仿宋_GB2312" w:eastAsia="仿宋_GB2312" w:cs="仿宋_GB2312"/>
          <w:kern w:val="2"/>
          <w:szCs w:val="32"/>
        </w:rPr>
      </w:pPr>
      <w:r>
        <w:rPr>
          <w:rFonts w:hint="eastAsia" w:ascii="仿宋_GB2312" w:hAnsi="仿宋_GB2312" w:eastAsia="仿宋_GB2312" w:cs="仿宋_GB2312"/>
          <w:kern w:val="2"/>
          <w:szCs w:val="32"/>
        </w:rPr>
        <w:t>落实国家、省、市</w:t>
      </w:r>
      <w:r>
        <w:rPr>
          <w:rFonts w:hint="eastAsia" w:ascii="仿宋_GB2312" w:hAnsi="仿宋_GB2312" w:eastAsia="仿宋_GB2312" w:cs="仿宋_GB2312"/>
          <w:kern w:val="2"/>
          <w:szCs w:val="32"/>
          <w:lang w:val="en-US" w:eastAsia="zh-CN"/>
        </w:rPr>
        <w:t>关于更高水平更高质量做好节能降碳工作和开展</w:t>
      </w:r>
      <w:r>
        <w:rPr>
          <w:rFonts w:hint="eastAsia" w:ascii="仿宋_GB2312" w:hAnsi="仿宋_GB2312" w:eastAsia="仿宋_GB2312" w:cs="仿宋_GB2312"/>
          <w:kern w:val="2"/>
          <w:szCs w:val="32"/>
        </w:rPr>
        <w:t>碳达峰碳</w:t>
      </w:r>
      <w:r>
        <w:rPr>
          <w:rFonts w:hint="eastAsia" w:ascii="仿宋_GB2312" w:hAnsi="仿宋_GB2312" w:eastAsia="仿宋_GB2312" w:cs="仿宋_GB2312"/>
          <w:kern w:val="2"/>
          <w:szCs w:val="32"/>
          <w:lang w:val="en-US" w:eastAsia="zh-CN"/>
        </w:rPr>
        <w:t>工作的部署</w:t>
      </w:r>
      <w:r>
        <w:rPr>
          <w:rFonts w:hint="eastAsia" w:ascii="仿宋_GB2312" w:hAnsi="仿宋_GB2312" w:eastAsia="仿宋_GB2312" w:cs="仿宋_GB2312"/>
          <w:kern w:val="2"/>
          <w:szCs w:val="32"/>
        </w:rPr>
        <w:t>，按照《山西省碳达峰实施方案》《山西省工业领域碳达峰实施方案》完善能源消费强度和总量“双控”</w:t>
      </w:r>
      <w:r>
        <w:rPr>
          <w:rFonts w:hint="eastAsia" w:ascii="仿宋_GB2312" w:hAnsi="仿宋_GB2312" w:eastAsia="仿宋_GB2312" w:cs="仿宋_GB2312"/>
          <w:kern w:val="2"/>
          <w:szCs w:val="32"/>
          <w:lang w:eastAsia="zh-CN"/>
        </w:rPr>
        <w:t>，</w:t>
      </w:r>
      <w:r>
        <w:rPr>
          <w:rFonts w:hint="eastAsia" w:ascii="仿宋_GB2312" w:hAnsi="仿宋_GB2312" w:eastAsia="仿宋_GB2312" w:cs="仿宋_GB2312"/>
          <w:kern w:val="2"/>
          <w:szCs w:val="32"/>
        </w:rPr>
        <w:t>全面实施以强度控制为主、总量控制为辅的碳排放双控制度,确保顺利实现碳达峰目标。“十五五”时期规模以上工业单位增加值能耗下降率达到国家设定目标，单位工业增加值二氧化碳排放下降幅度大于全社会下降幅度，重点行业二氧化碳排放强度明显下降。</w:t>
      </w:r>
    </w:p>
    <w:p w14:paraId="70DB34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lang w:bidi="ar"/>
        </w:rPr>
      </w:pPr>
      <w:r>
        <w:rPr>
          <w:b/>
          <w:lang w:bidi="ar"/>
        </w:rPr>
        <w:t>实施差异化管控机制</w:t>
      </w:r>
      <w:r>
        <w:rPr>
          <w:lang w:bidi="ar"/>
        </w:rPr>
        <w:t>。着力破解“资源约束与用能需求”矛盾，通过</w:t>
      </w:r>
      <w:r>
        <w:rPr>
          <w:rFonts w:hint="eastAsia" w:ascii="仿宋_GB2312" w:hAnsi="仿宋_GB2312" w:eastAsia="仿宋_GB2312" w:cs="仿宋_GB2312"/>
          <w:kern w:val="2"/>
          <w:sz w:val="32"/>
          <w:szCs w:val="32"/>
          <w:lang w:val="en-US" w:eastAsia="zh-CN" w:bidi="ar-SA"/>
        </w:rPr>
        <w:t>源头管控与市场化调节结合，按照“有保有压、有增有减、以减定增”作为新上项目能耗管理的核心逻辑，推动能源要素向高效、低碳领域集中，确保能耗双控与碳排放双控目标实现。对高端转型、低碳技改、新兴产业放宽用能约束，优先保障指标；对低效高碳、落后产能实施严格管控，结合市场，作为替代源储备；对接省市碳配额、碳交易、指标调剂政策，提前谋划存量挖潜与置换通道。逐步弱</w:t>
      </w:r>
      <w:r>
        <w:rPr>
          <w:rFonts w:hint="eastAsia"/>
          <w:lang w:bidi="ar"/>
        </w:rPr>
        <w:t>化能耗总量刚性，</w:t>
      </w:r>
      <w:r>
        <w:rPr>
          <w:rFonts w:hint="eastAsia" w:ascii="仿宋_GB2312" w:hAnsi="仿宋_GB2312" w:eastAsia="仿宋_GB2312" w:cs="仿宋_GB2312"/>
          <w:kern w:val="2"/>
          <w:sz w:val="32"/>
          <w:szCs w:val="32"/>
          <w:lang w:val="en-US" w:eastAsia="zh-CN" w:bidi="ar-SA"/>
        </w:rPr>
        <w:t>聚焦碳强度+能效提升，</w:t>
      </w:r>
      <w:r>
        <w:rPr>
          <w:rFonts w:hint="eastAsia"/>
          <w:lang w:bidi="ar"/>
        </w:rPr>
        <w:t>以“效率换空间”</w:t>
      </w:r>
      <w:r>
        <w:rPr>
          <w:lang w:bidi="ar"/>
        </w:rPr>
        <w:t>。</w:t>
      </w:r>
    </w:p>
    <w:p w14:paraId="32C48AB2">
      <w:pPr>
        <w:ind w:firstLine="643"/>
        <w:rPr>
          <w:rFonts w:hint="eastAsia" w:eastAsia="仿宋_GB2312"/>
          <w:color w:val="000000"/>
          <w:lang w:eastAsia="zh-CN"/>
        </w:rPr>
      </w:pPr>
      <w:r>
        <w:rPr>
          <w:rFonts w:hint="eastAsia"/>
          <w:b/>
          <w:bCs/>
          <w:lang w:val="en-US" w:eastAsia="zh-CN"/>
        </w:rPr>
        <w:t>探索零碳园区创建。</w:t>
      </w:r>
      <w:r>
        <w:rPr>
          <w:rFonts w:hint="eastAsia"/>
          <w:color w:val="000000"/>
        </w:rPr>
        <w:t>以“近零碳、净零碳”为导向，</w:t>
      </w:r>
      <w:r>
        <w:rPr>
          <w:rFonts w:hint="eastAsia"/>
          <w:color w:val="000000"/>
          <w:lang w:val="en-US" w:eastAsia="zh-CN"/>
        </w:rPr>
        <w:t>以探索创建零碳园区牵引节能降碳工作。</w:t>
      </w:r>
      <w:r>
        <w:rPr>
          <w:rFonts w:hint="eastAsia"/>
          <w:color w:val="000000"/>
        </w:rPr>
        <w:t>力争到</w:t>
      </w:r>
      <w:r>
        <w:rPr>
          <w:rFonts w:hint="default" w:ascii="Times New Roman" w:hAnsi="Times New Roman" w:cs="Times New Roman"/>
          <w:color w:val="000000"/>
        </w:rPr>
        <w:t>20</w:t>
      </w:r>
      <w:r>
        <w:rPr>
          <w:rFonts w:hint="default" w:ascii="Times New Roman" w:hAnsi="Times New Roman" w:cs="Times New Roman"/>
          <w:color w:val="000000"/>
          <w:lang w:val="en-US" w:eastAsia="zh-CN"/>
        </w:rPr>
        <w:t>30</w:t>
      </w:r>
      <w:r>
        <w:rPr>
          <w:rFonts w:hint="eastAsia"/>
          <w:color w:val="000000"/>
        </w:rPr>
        <w:t>年底，园区绿色能源结构全面建成，绿色低碳产业体系初步形成，能碳管理能力基本建立</w:t>
      </w:r>
      <w:r>
        <w:rPr>
          <w:rFonts w:hint="eastAsia"/>
          <w:color w:val="000000"/>
          <w:lang w:eastAsia="zh-CN"/>
        </w:rPr>
        <w:t>。</w:t>
      </w:r>
      <w:r>
        <w:rPr>
          <w:rFonts w:hint="eastAsia"/>
          <w:color w:val="000000"/>
        </w:rPr>
        <w:t>加快园区用能结构转型</w:t>
      </w:r>
      <w:r>
        <w:rPr>
          <w:rFonts w:hint="eastAsia"/>
          <w:color w:val="000000"/>
          <w:lang w:eastAsia="zh-CN"/>
        </w:rPr>
        <w:t>，</w:t>
      </w:r>
      <w:r>
        <w:rPr>
          <w:rFonts w:hint="eastAsia"/>
          <w:color w:val="000000"/>
        </w:rPr>
        <w:t>因地制宜推广绿电直连、新能源就近接入增量配电网等绿色电力直供模式。完善升级园区基础设施</w:t>
      </w:r>
      <w:r>
        <w:rPr>
          <w:rFonts w:hint="eastAsia"/>
          <w:color w:val="000000"/>
          <w:lang w:eastAsia="zh-CN"/>
        </w:rPr>
        <w:t>，</w:t>
      </w:r>
      <w:r>
        <w:rPr>
          <w:rFonts w:hint="eastAsia"/>
          <w:color w:val="000000"/>
        </w:rPr>
        <w:t>推进电力、热力、燃气、供排水等基础设施的绿色化、智能化建设改造。支持园区统筹推进工业余热等清洁能源多元开发。支持园区企业通过电力直接交易、代理交易、购买绿证等方式，积极参与绿电、绿证交易，提高可再生能源消费比例。</w:t>
      </w:r>
    </w:p>
    <w:p w14:paraId="247264A9">
      <w:pPr>
        <w:pStyle w:val="38"/>
        <w:widowControl/>
        <w:ind w:firstLine="643"/>
        <w:jc w:val="left"/>
        <w:rPr>
          <w:rFonts w:hint="eastAsia" w:ascii="仿宋_GB2312" w:hAnsi="仿宋" w:eastAsia="仿宋_GB2312" w:cs="??_GB2312"/>
          <w:kern w:val="2"/>
          <w:shd w:val="clear" w:color="auto" w:fill="FFFFFF"/>
          <w:lang w:bidi="ar"/>
        </w:rPr>
      </w:pPr>
      <w:r>
        <w:rPr>
          <w:rFonts w:hint="eastAsia" w:ascii="仿宋_GB2312" w:hAnsi="仿宋_GB2312" w:eastAsia="仿宋_GB2312" w:cs="仿宋_GB2312"/>
          <w:b/>
          <w:bCs/>
          <w:kern w:val="2"/>
          <w:sz w:val="32"/>
          <w:szCs w:val="32"/>
          <w:lang w:val="en-US" w:eastAsia="zh-CN" w:bidi="ar-SA"/>
        </w:rPr>
        <w:t>深入实施节能降碳战略。</w:t>
      </w:r>
      <w:r>
        <w:rPr>
          <w:rFonts w:hint="eastAsia" w:ascii="仿宋_GB2312" w:hAnsi="仿宋" w:eastAsia="仿宋_GB2312" w:cs="??_GB2312"/>
          <w:kern w:val="2"/>
          <w:shd w:val="clear" w:color="auto" w:fill="FFFFFF"/>
          <w:lang w:bidi="ar"/>
        </w:rPr>
        <w:t>科学应对“能碳联审”机制，</w:t>
      </w:r>
      <w:r>
        <w:rPr>
          <w:rFonts w:hint="eastAsia" w:ascii="仿宋_GB2312" w:hAnsi="仿宋" w:eastAsia="仿宋_GB2312" w:cs="??_GB2312"/>
          <w:kern w:val="2"/>
          <w:shd w:val="clear" w:color="auto" w:fill="FFFFFF"/>
          <w:lang w:val="en-US" w:eastAsia="zh-CN" w:bidi="ar"/>
        </w:rPr>
        <w:t>推动县域</w:t>
      </w:r>
      <w:r>
        <w:rPr>
          <w:rFonts w:hint="eastAsia" w:ascii="仿宋_GB2312" w:hAnsi="仿宋" w:eastAsia="仿宋_GB2312" w:cs="??_GB2312"/>
          <w:kern w:val="2"/>
          <w:shd w:val="clear" w:color="auto" w:fill="FFFFFF"/>
          <w:lang w:bidi="ar"/>
        </w:rPr>
        <w:t>能耗指标统筹使用</w:t>
      </w:r>
      <w:r>
        <w:rPr>
          <w:rFonts w:hint="eastAsia" w:ascii="仿宋_GB2312" w:hAnsi="仿宋" w:eastAsia="仿宋_GB2312" w:cs="??_GB2312"/>
          <w:kern w:val="2"/>
          <w:shd w:val="clear" w:color="auto" w:fill="FFFFFF"/>
          <w:lang w:eastAsia="zh-CN" w:bidi="ar"/>
        </w:rPr>
        <w:t>。</w:t>
      </w:r>
      <w:r>
        <w:rPr>
          <w:rFonts w:hint="eastAsia" w:ascii="仿宋_GB2312" w:hAnsi="仿宋" w:eastAsia="仿宋_GB2312" w:cs="??_GB2312"/>
          <w:kern w:val="2"/>
          <w:shd w:val="clear" w:color="auto" w:fill="FFFFFF"/>
          <w:lang w:bidi="ar"/>
        </w:rPr>
        <w:t>构建“预算管理+智能预警”能耗管控体系，对重点用能企业实施用能预算管理，推行“能评服务前移”工作模式，组建服务专班提前介入项目前期，协助企业科学测算能效水平，优化用能方案。完善用能权交易体系，将存量项目纳入交易，推动能源要素市场化配置，鼓励企业节能改造和使用绿电，腾出更多用能空间。</w:t>
      </w:r>
    </w:p>
    <w:p w14:paraId="538C7671">
      <w:pPr>
        <w:ind w:firstLine="643"/>
        <w:rPr>
          <w:rFonts w:hint="eastAsia"/>
        </w:rPr>
      </w:pPr>
      <w:r>
        <w:rPr>
          <w:rFonts w:hint="eastAsia"/>
          <w:b/>
          <w:bCs/>
        </w:rPr>
        <w:t>开展园区降碳行动。</w:t>
      </w:r>
      <w:r>
        <w:rPr>
          <w:rFonts w:hint="eastAsia"/>
        </w:rPr>
        <w:t>围绕传统</w:t>
      </w:r>
      <w:r>
        <w:rPr>
          <w:rFonts w:hint="eastAsia"/>
          <w:lang w:val="en-US" w:eastAsia="zh-CN"/>
        </w:rPr>
        <w:t>陶瓷、化工等</w:t>
      </w:r>
      <w:r>
        <w:rPr>
          <w:rFonts w:hint="eastAsia"/>
        </w:rPr>
        <w:t>高碳行业减碳降碳，提升园区产业集聚度和循环链接水平，推进工业余热余压余气、废水废气废液废渣等资源化利用，运用智慧能源监控系统提升园区能耗和碳排放管理水平。推动园区提升“绿电”使用占比，推进多能高效互补利用。加强园区绿色基础设施建设及共享</w:t>
      </w:r>
      <w:r>
        <w:rPr>
          <w:rFonts w:hint="eastAsia"/>
          <w:lang w:eastAsia="zh-CN"/>
        </w:rPr>
        <w:t>，</w:t>
      </w:r>
      <w:r>
        <w:rPr>
          <w:rFonts w:hint="eastAsia"/>
        </w:rPr>
        <w:t>为全省产业绿色低碳转型、实现高质量发展提供可复制、可推广的成熟经验。</w:t>
      </w:r>
    </w:p>
    <w:p w14:paraId="4EA8BF17">
      <w:pPr>
        <w:widowControl/>
        <w:numPr>
          <w:ilvl w:val="255"/>
          <w:numId w:val="0"/>
        </w:numPr>
        <w:spacing w:line="360" w:lineRule="auto"/>
        <w:ind w:firstLine="643"/>
        <w:jc w:val="left"/>
        <w:rPr>
          <w:rFonts w:hint="eastAsia" w:eastAsia="方正楷体_GB2312"/>
        </w:rPr>
      </w:pPr>
      <w:r>
        <w:rPr>
          <w:rFonts w:hint="eastAsia"/>
          <w:b/>
          <w:bCs/>
        </w:rPr>
        <w:t>落实碳排放双控制度。</w:t>
      </w:r>
      <w:r>
        <w:rPr>
          <w:rFonts w:hint="eastAsia"/>
        </w:rPr>
        <w:t>综合考虑经济社会发展水平、区域和功能定位、产业和能源结构等因素,</w:t>
      </w:r>
      <w:r>
        <w:rPr>
          <w:rFonts w:hint="eastAsia"/>
          <w:lang w:val="en-US" w:eastAsia="zh-CN"/>
        </w:rPr>
        <w:t>科学指导各</w:t>
      </w:r>
      <w:r>
        <w:rPr>
          <w:rFonts w:hint="eastAsia"/>
        </w:rPr>
        <w:t>园区和重点企业碳排放双控</w:t>
      </w:r>
      <w:r>
        <w:rPr>
          <w:rFonts w:hint="eastAsia"/>
          <w:lang w:eastAsia="zh-CN"/>
        </w:rPr>
        <w:t>。</w:t>
      </w:r>
      <w:r>
        <w:rPr>
          <w:rFonts w:hint="eastAsia"/>
        </w:rPr>
        <w:t>落实</w:t>
      </w:r>
      <w:r>
        <w:rPr>
          <w:rFonts w:hint="eastAsia"/>
          <w:color w:val="000000"/>
        </w:rPr>
        <w:t>新建项目碳排放评价+减量置换</w:t>
      </w:r>
      <w:r>
        <w:rPr>
          <w:rFonts w:hint="eastAsia"/>
          <w:color w:val="000000"/>
          <w:lang w:eastAsia="zh-CN"/>
        </w:rPr>
        <w:t>，</w:t>
      </w:r>
      <w:r>
        <w:rPr>
          <w:rFonts w:hint="eastAsia"/>
        </w:rPr>
        <w:t>建立</w:t>
      </w:r>
      <w:r>
        <w:rPr>
          <w:rFonts w:hint="eastAsia"/>
          <w:color w:val="000000"/>
        </w:rPr>
        <w:t>园区碳台账、年度核查、数据闭环</w:t>
      </w:r>
      <w:r>
        <w:rPr>
          <w:rFonts w:hint="eastAsia"/>
        </w:rPr>
        <w:t>，确保真实可追溯 。完成碳排放双控目标任务。严控煤炭消费，优化能源结构，园区</w:t>
      </w:r>
      <w:r>
        <w:rPr>
          <w:rFonts w:hint="eastAsia"/>
          <w:color w:val="000000"/>
        </w:rPr>
        <w:t>全面淘汰分散燃煤锅炉</w:t>
      </w:r>
      <w:r>
        <w:rPr>
          <w:rFonts w:hint="eastAsia"/>
        </w:rPr>
        <w:t>；扩大</w:t>
      </w:r>
      <w:r>
        <w:rPr>
          <w:rFonts w:hint="eastAsia"/>
          <w:color w:val="000000"/>
        </w:rPr>
        <w:t>煤层气、绿电、光伏</w:t>
      </w:r>
      <w:r>
        <w:rPr>
          <w:rFonts w:hint="eastAsia"/>
        </w:rPr>
        <w:t>替代，推进厂房光伏一体化（</w:t>
      </w:r>
      <w:r>
        <w:rPr>
          <w:rFonts w:hint="default" w:ascii="Times New Roman" w:hAnsi="Times New Roman" w:cs="Times New Roman"/>
        </w:rPr>
        <w:t>BIPV</w:t>
      </w:r>
      <w:r>
        <w:rPr>
          <w:rFonts w:hint="eastAsia"/>
        </w:rPr>
        <w:t>）。</w:t>
      </w:r>
    </w:p>
    <w:p w14:paraId="3AB7C0BA">
      <w:pPr>
        <w:ind w:firstLine="643"/>
        <w:rPr>
          <w:rFonts w:hint="eastAsia"/>
        </w:rPr>
      </w:pPr>
      <w:r>
        <w:rPr>
          <w:rFonts w:hint="eastAsia"/>
          <w:b/>
          <w:bCs/>
        </w:rPr>
        <w:t>推动重点行业碳达峰。</w:t>
      </w:r>
      <w:r>
        <w:rPr>
          <w:rFonts w:hint="eastAsia"/>
        </w:rPr>
        <w:t>加强产能置换监管，加快低效产能退出，对能效低于行业基准水平的存量项目，合理设置政策实施过渡期，引导企业有序开展节能降碳技术改造。持续整合优化产能布局，引导陶瓷建材行业向轻型化、集约化、制品化转型，推广</w:t>
      </w:r>
      <w:r>
        <w:rPr>
          <w:rFonts w:hint="eastAsia"/>
          <w:color w:val="000000"/>
        </w:rPr>
        <w:t>高效窑炉、余热回收、干法制粉</w:t>
      </w:r>
      <w:r>
        <w:rPr>
          <w:rFonts w:hint="eastAsia"/>
        </w:rPr>
        <w:t>，加强新型陶瓷材料、新型建材等产品研发应用。引导化工行业实施</w:t>
      </w:r>
      <w:r>
        <w:rPr>
          <w:rFonts w:hint="eastAsia"/>
          <w:color w:val="000000"/>
        </w:rPr>
        <w:t>工艺节能、余热余压利用、系统能效提升。</w:t>
      </w:r>
      <w:r>
        <w:rPr>
          <w:rFonts w:hint="eastAsia" w:ascii="Times New Roman" w:hAnsi="Times New Roman"/>
        </w:rPr>
        <w:t>推广节能技术设备，开展能源管理体系建设，实现节能增效。</w:t>
      </w:r>
      <w:r>
        <w:rPr>
          <w:rFonts w:hint="eastAsia"/>
        </w:rPr>
        <w:t>到</w:t>
      </w:r>
      <w:r>
        <w:rPr>
          <w:rFonts w:hint="default" w:ascii="Times New Roman" w:hAnsi="Times New Roman" w:cs="Times New Roman"/>
        </w:rPr>
        <w:t>2030</w:t>
      </w:r>
      <w:r>
        <w:rPr>
          <w:rFonts w:hint="eastAsia"/>
        </w:rPr>
        <w:t>年，原燃料替代水平大幅提高，陶瓷行业</w:t>
      </w:r>
      <w:r>
        <w:rPr>
          <w:rFonts w:hint="eastAsia"/>
          <w:lang w:val="en-US" w:eastAsia="zh-CN"/>
        </w:rPr>
        <w:t>基本</w:t>
      </w:r>
      <w:r>
        <w:rPr>
          <w:rFonts w:hint="eastAsia"/>
        </w:rPr>
        <w:t>改造为减污降碳协同增效的绿色低碳生产线。</w:t>
      </w:r>
    </w:p>
    <w:p w14:paraId="090FCF8D">
      <w:pPr>
        <w:ind w:firstLine="618"/>
        <w:jc w:val="center"/>
        <w:outlineLvl w:val="1"/>
        <w:rPr>
          <w:rFonts w:ascii="Times New Roman" w:hAnsi="Times New Roman" w:eastAsia="楷体_GB2312"/>
          <w:b/>
          <w:spacing w:val="-6"/>
        </w:rPr>
      </w:pPr>
      <w:bookmarkStart w:id="91" w:name="_Toc12320"/>
      <w:bookmarkStart w:id="92" w:name="_Toc16080"/>
      <w:bookmarkStart w:id="93" w:name="_Toc19995"/>
      <w:r>
        <w:rPr>
          <w:rFonts w:ascii="Times New Roman" w:hAnsi="Times New Roman" w:eastAsia="楷体_GB2312"/>
          <w:b/>
          <w:spacing w:val="-6"/>
        </w:rPr>
        <w:t>第</w:t>
      </w:r>
      <w:r>
        <w:rPr>
          <w:rFonts w:hint="eastAsia" w:ascii="Times New Roman" w:hAnsi="Times New Roman" w:eastAsia="楷体_GB2312"/>
          <w:b/>
          <w:spacing w:val="-6"/>
        </w:rPr>
        <w:t>二节</w:t>
      </w:r>
      <w:r>
        <w:rPr>
          <w:rFonts w:ascii="Times New Roman" w:hAnsi="Times New Roman" w:eastAsia="楷体_GB2312"/>
          <w:b/>
          <w:spacing w:val="-6"/>
        </w:rPr>
        <w:t xml:space="preserve"> </w:t>
      </w:r>
      <w:r>
        <w:rPr>
          <w:rFonts w:hint="eastAsia" w:ascii="Times New Roman" w:hAnsi="Times New Roman" w:eastAsia="楷体_GB2312"/>
          <w:b/>
          <w:spacing w:val="-6"/>
        </w:rPr>
        <w:t>加强水</w:t>
      </w:r>
      <w:r>
        <w:rPr>
          <w:rFonts w:ascii="Times New Roman" w:hAnsi="Times New Roman" w:eastAsia="楷体_GB2312"/>
          <w:b/>
          <w:spacing w:val="-6"/>
        </w:rPr>
        <w:t>资源节约利用</w:t>
      </w:r>
      <w:bookmarkEnd w:id="91"/>
      <w:bookmarkEnd w:id="92"/>
      <w:bookmarkEnd w:id="93"/>
    </w:p>
    <w:p w14:paraId="3E9A0706">
      <w:pPr>
        <w:ind w:firstLine="640"/>
        <w:rPr>
          <w:rFonts w:ascii="Times New Roman" w:hAnsi="Times New Roman"/>
          <w:bCs/>
        </w:rPr>
      </w:pPr>
      <w:r>
        <w:rPr>
          <w:rFonts w:hint="eastAsia" w:ascii="Times New Roman" w:hAnsi="Times New Roman"/>
        </w:rPr>
        <w:t>全方位贯彻</w:t>
      </w:r>
      <w:r>
        <w:rPr>
          <w:rFonts w:ascii="Times New Roman" w:hAnsi="Times New Roman"/>
        </w:rPr>
        <w:t>“四水四定”原则，</w:t>
      </w:r>
      <w:r>
        <w:rPr>
          <w:rFonts w:hint="eastAsia" w:ascii="Times New Roman" w:hAnsi="Times New Roman"/>
        </w:rPr>
        <w:t>按照</w:t>
      </w:r>
      <w:r>
        <w:rPr>
          <w:rFonts w:ascii="Times New Roman" w:hAnsi="Times New Roman"/>
        </w:rPr>
        <w:t>山西省《严格落实“四水四定”实施方案》</w:t>
      </w:r>
      <w:r>
        <w:rPr>
          <w:rFonts w:hint="eastAsia" w:ascii="Times New Roman" w:hAnsi="Times New Roman"/>
        </w:rPr>
        <w:t>，明确用水总量指标，</w:t>
      </w:r>
      <w:r>
        <w:rPr>
          <w:rFonts w:ascii="Times New Roman" w:hAnsi="Times New Roman"/>
          <w:bCs/>
        </w:rPr>
        <w:t>全面提升</w:t>
      </w:r>
      <w:r>
        <w:rPr>
          <w:rFonts w:hint="eastAsia" w:ascii="Times New Roman" w:hAnsi="Times New Roman"/>
          <w:bCs/>
          <w:lang w:val="en-US" w:eastAsia="zh-CN"/>
        </w:rPr>
        <w:t>水</w:t>
      </w:r>
      <w:r>
        <w:rPr>
          <w:rFonts w:ascii="Times New Roman" w:hAnsi="Times New Roman"/>
          <w:bCs/>
        </w:rPr>
        <w:t>资源利用效率。</w:t>
      </w:r>
    </w:p>
    <w:p w14:paraId="11870667">
      <w:pPr>
        <w:ind w:firstLine="643"/>
        <w:rPr>
          <w:rFonts w:ascii="Times New Roman" w:hAnsi="Times New Roman" w:eastAsia="方正仿宋_GB2312"/>
          <w:sz w:val="32"/>
        </w:rPr>
      </w:pPr>
      <w:r>
        <w:rPr>
          <w:rFonts w:ascii="Times New Roman" w:hAnsi="Times New Roman"/>
          <w:b/>
        </w:rPr>
        <w:t>全面落实</w:t>
      </w:r>
      <w:r>
        <w:rPr>
          <w:rFonts w:hint="eastAsia" w:ascii="方正仿宋_GB2312" w:hAnsi="方正仿宋_GB2312" w:eastAsia="方正仿宋_GB2312" w:cs="方正仿宋_GB2312"/>
          <w:b/>
        </w:rPr>
        <w:t>“</w:t>
      </w:r>
      <w:r>
        <w:rPr>
          <w:rFonts w:hint="eastAsia" w:ascii="Times New Roman" w:hAnsi="Times New Roman"/>
          <w:b/>
          <w:lang w:val="en-US" w:eastAsia="zh-CN"/>
        </w:rPr>
        <w:t>以水定产</w:t>
      </w:r>
      <w:r>
        <w:rPr>
          <w:rFonts w:hint="eastAsia" w:ascii="方正仿宋_GB2312" w:hAnsi="方正仿宋_GB2312" w:eastAsia="方正仿宋_GB2312" w:cs="方正仿宋_GB2312"/>
          <w:b/>
        </w:rPr>
        <w:t>”</w:t>
      </w:r>
      <w:r>
        <w:rPr>
          <w:rFonts w:ascii="Times New Roman" w:hAnsi="Times New Roman"/>
          <w:b/>
        </w:rPr>
        <w:t>。</w:t>
      </w:r>
      <w:r>
        <w:rPr>
          <w:rFonts w:ascii="Times New Roman" w:hAnsi="Times New Roman" w:eastAsia="方正仿宋_GB2312"/>
          <w:sz w:val="32"/>
        </w:rPr>
        <w:t>细化实化以水定产举措，建立水资源承载力分区管控体系，实行水资源消耗总量和强度双控。</w:t>
      </w:r>
      <w:r>
        <w:rPr>
          <w:rFonts w:hint="eastAsia" w:ascii="Times New Roman" w:hAnsi="Times New Roman" w:eastAsia="方正仿宋_GB2312"/>
          <w:sz w:val="32"/>
        </w:rPr>
        <w:t>开源节流，</w:t>
      </w:r>
      <w:r>
        <w:rPr>
          <w:rFonts w:hint="eastAsia" w:ascii="Times New Roman" w:hAnsi="Times New Roman" w:eastAsia="方正仿宋_GB2312"/>
          <w:sz w:val="32"/>
          <w:lang w:val="en-US" w:eastAsia="zh-CN"/>
        </w:rPr>
        <w:t>推动</w:t>
      </w:r>
      <w:r>
        <w:rPr>
          <w:rFonts w:hint="eastAsia" w:ascii="Times New Roman" w:hAnsi="Times New Roman" w:eastAsia="方正仿宋_GB2312"/>
          <w:sz w:val="32"/>
        </w:rPr>
        <w:t>出台用水、管水、节水制度</w:t>
      </w:r>
      <w:r>
        <w:rPr>
          <w:rFonts w:hint="eastAsia" w:ascii="Times New Roman" w:hAnsi="Times New Roman" w:eastAsia="方正仿宋_GB2312"/>
          <w:sz w:val="32"/>
          <w:lang w:eastAsia="zh-CN"/>
        </w:rPr>
        <w:t>，推进工业节水减排，</w:t>
      </w:r>
      <w:r>
        <w:rPr>
          <w:rFonts w:hint="eastAsia" w:ascii="Times New Roman" w:hAnsi="Times New Roman" w:eastAsia="方正仿宋_GB2312" w:cs="仿宋_GB2312"/>
          <w:color w:val="auto"/>
          <w:sz w:val="32"/>
          <w:szCs w:val="32"/>
          <w:highlight w:val="none"/>
          <w:lang w:eastAsia="zh-CN"/>
        </w:rPr>
        <w:t>鼓励工业企业开展以节水为重点内容的绿色高质量转型升级和循环化改造，加快节水及水循环利用设施建设。</w:t>
      </w:r>
      <w:r>
        <w:rPr>
          <w:rFonts w:hint="eastAsia" w:ascii="Times New Roman" w:hAnsi="Times New Roman" w:eastAsia="方正仿宋_GB2312"/>
          <w:sz w:val="32"/>
        </w:rPr>
        <w:t>以水源置换为重点，通过管网延伸联通、设施提升改造等一系列举措，强化多水源协同配置。</w:t>
      </w:r>
      <w:r>
        <w:rPr>
          <w:rFonts w:ascii="Times New Roman" w:hAnsi="Times New Roman" w:eastAsia="方正仿宋_GB2312"/>
          <w:sz w:val="32"/>
        </w:rPr>
        <w:t>全面加强非常规水源利用，推动再生水水质提升和深度处理，</w:t>
      </w:r>
      <w:r>
        <w:rPr>
          <w:rFonts w:hint="eastAsia" w:ascii="Times New Roman" w:hAnsi="Times New Roman" w:eastAsia="方正仿宋_GB2312"/>
          <w:sz w:val="32"/>
        </w:rPr>
        <w:t>提高再生水管网密度，将再生水纳入水资源统一配置。</w:t>
      </w:r>
      <w:r>
        <w:rPr>
          <w:rFonts w:ascii="Times New Roman" w:hAnsi="Times New Roman" w:eastAsia="方正仿宋_GB2312"/>
          <w:sz w:val="32"/>
        </w:rPr>
        <w:t>推行合同节水管理</w:t>
      </w:r>
      <w:r>
        <w:rPr>
          <w:rFonts w:hint="eastAsia" w:ascii="Times New Roman" w:hAnsi="Times New Roman" w:eastAsia="方正仿宋_GB2312"/>
          <w:sz w:val="32"/>
        </w:rPr>
        <w:t>，</w:t>
      </w:r>
      <w:r>
        <w:rPr>
          <w:rFonts w:ascii="Times New Roman" w:hAnsi="Times New Roman" w:eastAsia="方正仿宋_GB2312"/>
          <w:sz w:val="32"/>
        </w:rPr>
        <w:t>全面加强非常规水源利用，推动再生水水质提升和深度处理，加快工业节水减排、城镇节水降耗，推动实现用水方式向节约集约转变。</w:t>
      </w:r>
    </w:p>
    <w:p w14:paraId="040D6846">
      <w:pPr>
        <w:ind w:firstLine="643"/>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鼓励企业节水改造。</w:t>
      </w:r>
      <w:r>
        <w:rPr>
          <w:rFonts w:hint="eastAsia" w:ascii="方正仿宋_GB2312" w:hAnsi="方正仿宋_GB2312" w:eastAsia="方正仿宋_GB2312" w:cs="方正仿宋_GB2312"/>
        </w:rPr>
        <w:t>推广先进适用节水技术装备，推动工业企业、工业园区创建节水型企业、园区，按规定严格复核。支持工业园区污水收集分流管网、污水集中处理、再生水回用等基础设施建设，加强工业废水循环利用。协同金融机构通过“节水贷”“水权贷”等金融信贷产品支持企业开展节水改造。支持合法用水户将自主节水量进行水权交易。到</w:t>
      </w:r>
      <w:r>
        <w:rPr>
          <w:rFonts w:hint="default" w:ascii="Times New Roman" w:hAnsi="Times New Roman" w:eastAsia="方正仿宋_GB2312" w:cs="Times New Roman"/>
        </w:rPr>
        <w:t>2030</w:t>
      </w:r>
      <w:r>
        <w:rPr>
          <w:rFonts w:hint="eastAsia" w:ascii="方正仿宋_GB2312" w:hAnsi="方正仿宋_GB2312" w:eastAsia="方正仿宋_GB2312" w:cs="方正仿宋_GB2312"/>
        </w:rPr>
        <w:t>年，再生水利用率达到</w:t>
      </w:r>
      <w:r>
        <w:rPr>
          <w:rFonts w:hint="default" w:ascii="Times New Roman" w:hAnsi="Times New Roman" w:eastAsia="方正仿宋_GB2312" w:cs="Times New Roman"/>
        </w:rPr>
        <w:t>30%</w:t>
      </w:r>
      <w:r>
        <w:rPr>
          <w:rFonts w:hint="eastAsia" w:ascii="方正仿宋_GB2312" w:hAnsi="方正仿宋_GB2312" w:eastAsia="方正仿宋_GB2312" w:cs="方正仿宋_GB2312"/>
        </w:rPr>
        <w:t>以上。</w:t>
      </w:r>
    </w:p>
    <w:p w14:paraId="06681623">
      <w:pPr>
        <w:pStyle w:val="7"/>
        <w:keepNext w:val="0"/>
        <w:keepLines w:val="0"/>
        <w:pageBreakBefore w:val="0"/>
        <w:kinsoku/>
        <w:wordWrap/>
        <w:bidi w:val="0"/>
        <w:spacing w:line="580" w:lineRule="exact"/>
        <w:ind w:left="51" w:leftChars="16" w:firstLine="643" w:firstLineChars="200"/>
        <w:jc w:val="both"/>
        <w:outlineLvl w:val="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引导企业科学用水。</w:t>
      </w:r>
      <w:r>
        <w:rPr>
          <w:rFonts w:hint="eastAsia" w:ascii="仿宋_GB2312" w:hAnsi="仿宋_GB2312" w:eastAsia="仿宋_GB2312" w:cs="仿宋_GB2312"/>
          <w:color w:val="auto"/>
          <w:kern w:val="2"/>
          <w:sz w:val="32"/>
          <w:szCs w:val="32"/>
          <w:highlight w:val="none"/>
          <w:lang w:val="en-US" w:eastAsia="zh-CN" w:bidi="ar-SA"/>
        </w:rPr>
        <w:t>引导企业按照山西省《严格落实“四水四定”实施方案》，在用水总量指标控制配额内，开展科学取水、计划用水、节水评价等工作。制定</w:t>
      </w:r>
      <w:r>
        <w:rPr>
          <w:rFonts w:hint="eastAsia" w:cs="仿宋_GB2312"/>
          <w:color w:val="auto"/>
          <w:kern w:val="2"/>
          <w:sz w:val="32"/>
          <w:szCs w:val="32"/>
          <w:highlight w:val="none"/>
          <w:lang w:val="en-US" w:eastAsia="zh-CN" w:bidi="ar-SA"/>
        </w:rPr>
        <w:t>开发区</w:t>
      </w:r>
      <w:r>
        <w:rPr>
          <w:rFonts w:hint="eastAsia" w:ascii="仿宋_GB2312" w:hAnsi="仿宋_GB2312" w:eastAsia="仿宋_GB2312" w:cs="仿宋_GB2312"/>
          <w:color w:val="auto"/>
          <w:kern w:val="2"/>
          <w:sz w:val="32"/>
          <w:szCs w:val="32"/>
          <w:highlight w:val="none"/>
          <w:lang w:val="en-US" w:eastAsia="zh-CN" w:bidi="ar-SA"/>
        </w:rPr>
        <w:t>年度用水计划，以节水增效、集约高效为目标，优化用水结构、转变用水方式、提高用水效益。</w:t>
      </w:r>
      <w:r>
        <w:rPr>
          <w:rFonts w:hint="eastAsia" w:cs="仿宋_GB2312"/>
          <w:color w:val="auto"/>
          <w:kern w:val="2"/>
          <w:sz w:val="32"/>
          <w:szCs w:val="32"/>
          <w:highlight w:val="none"/>
          <w:lang w:val="en-US" w:eastAsia="zh-CN" w:bidi="ar-SA"/>
        </w:rPr>
        <w:t>指导企业合理运用</w:t>
      </w:r>
      <w:r>
        <w:rPr>
          <w:rFonts w:hint="eastAsia" w:ascii="仿宋_GB2312" w:hAnsi="仿宋_GB2312" w:eastAsia="仿宋_GB2312" w:cs="仿宋_GB2312"/>
          <w:color w:val="auto"/>
          <w:kern w:val="2"/>
          <w:sz w:val="32"/>
          <w:szCs w:val="32"/>
          <w:highlight w:val="none"/>
          <w:lang w:val="en-US" w:eastAsia="zh-CN" w:bidi="ar-SA"/>
        </w:rPr>
        <w:t>用水指标收储管理，</w:t>
      </w:r>
      <w:r>
        <w:rPr>
          <w:rFonts w:hint="eastAsia" w:cs="仿宋_GB2312"/>
          <w:color w:val="auto"/>
          <w:kern w:val="2"/>
          <w:sz w:val="32"/>
          <w:szCs w:val="32"/>
          <w:highlight w:val="none"/>
          <w:lang w:val="en-US" w:eastAsia="zh-CN" w:bidi="ar-SA"/>
        </w:rPr>
        <w:t>采取</w:t>
      </w:r>
      <w:r>
        <w:rPr>
          <w:rFonts w:hint="eastAsia" w:ascii="仿宋_GB2312" w:hAnsi="仿宋_GB2312" w:eastAsia="仿宋_GB2312" w:cs="仿宋_GB2312"/>
          <w:color w:val="auto"/>
          <w:kern w:val="2"/>
          <w:sz w:val="32"/>
          <w:szCs w:val="32"/>
          <w:highlight w:val="none"/>
          <w:lang w:val="en-US" w:eastAsia="zh-CN" w:bidi="ar-SA"/>
        </w:rPr>
        <w:t>长期转让、短期租赁、季节性调剂等多种形式的用水权交易模式</w:t>
      </w:r>
      <w:r>
        <w:rPr>
          <w:rFonts w:hint="eastAsia" w:cs="仿宋_GB2312"/>
          <w:color w:val="auto"/>
          <w:kern w:val="2"/>
          <w:sz w:val="32"/>
          <w:szCs w:val="32"/>
          <w:highlight w:val="none"/>
          <w:lang w:val="en-US" w:eastAsia="zh-CN" w:bidi="ar-SA"/>
        </w:rPr>
        <w:t>调剂用水配额</w:t>
      </w:r>
      <w:r>
        <w:rPr>
          <w:rFonts w:hint="eastAsia" w:ascii="仿宋_GB2312" w:hAnsi="仿宋_GB2312" w:eastAsia="仿宋_GB2312" w:cs="仿宋_GB2312"/>
          <w:color w:val="auto"/>
          <w:kern w:val="2"/>
          <w:sz w:val="32"/>
          <w:szCs w:val="32"/>
          <w:highlight w:val="none"/>
          <w:lang w:val="en-US" w:eastAsia="zh-CN" w:bidi="ar-SA"/>
        </w:rPr>
        <w:t>，鼓励缺水单位通过用水权市场化交易获得用水权。</w:t>
      </w:r>
    </w:p>
    <w:p w14:paraId="12AE2F91">
      <w:pPr>
        <w:ind w:firstLine="618"/>
        <w:jc w:val="center"/>
        <w:outlineLvl w:val="1"/>
        <w:rPr>
          <w:rFonts w:ascii="Times New Roman" w:hAnsi="Times New Roman" w:eastAsia="楷体_GB2312"/>
          <w:b/>
          <w:spacing w:val="-6"/>
        </w:rPr>
      </w:pPr>
      <w:bookmarkStart w:id="94" w:name="_Toc20267"/>
      <w:bookmarkStart w:id="95" w:name="_Toc2625"/>
      <w:bookmarkStart w:id="96" w:name="_Toc30282"/>
      <w:bookmarkStart w:id="97" w:name="_Toc15713"/>
      <w:r>
        <w:rPr>
          <w:rFonts w:ascii="Times New Roman" w:hAnsi="Times New Roman" w:eastAsia="楷体_GB2312"/>
          <w:b/>
          <w:spacing w:val="-6"/>
        </w:rPr>
        <w:t>第</w:t>
      </w:r>
      <w:r>
        <w:rPr>
          <w:rFonts w:hint="eastAsia" w:ascii="Times New Roman" w:hAnsi="Times New Roman" w:eastAsia="楷体_GB2312"/>
          <w:b/>
          <w:spacing w:val="-6"/>
        </w:rPr>
        <w:t>三</w:t>
      </w:r>
      <w:r>
        <w:rPr>
          <w:rFonts w:ascii="Times New Roman" w:hAnsi="Times New Roman" w:eastAsia="楷体_GB2312"/>
          <w:b/>
          <w:spacing w:val="-6"/>
        </w:rPr>
        <w:t>节  强化污染防治</w:t>
      </w:r>
      <w:bookmarkEnd w:id="94"/>
      <w:bookmarkEnd w:id="95"/>
      <w:bookmarkEnd w:id="96"/>
      <w:bookmarkEnd w:id="97"/>
    </w:p>
    <w:p w14:paraId="3F637756">
      <w:pPr>
        <w:spacing w:line="600" w:lineRule="exact"/>
        <w:ind w:firstLine="643"/>
        <w:rPr>
          <w:rFonts w:hint="eastAsia" w:ascii="Times New Roman" w:hAnsi="Times New Roman" w:eastAsia="仿宋_GB2312"/>
          <w:b/>
          <w:sz w:val="32"/>
          <w:lang w:eastAsia="zh-CN"/>
        </w:rPr>
      </w:pPr>
      <w:r>
        <w:rPr>
          <w:rFonts w:hint="eastAsia" w:ascii="楷体_GB2312" w:hAnsi="楷体" w:eastAsia="楷体_GB2312"/>
          <w:b/>
        </w:rPr>
        <w:t>加强大气污染防治。</w:t>
      </w:r>
      <w:r>
        <w:rPr>
          <w:rFonts w:hint="eastAsia" w:ascii="Times New Roman" w:hAnsi="Times New Roman"/>
          <w:sz w:val="32"/>
        </w:rPr>
        <w:t>坚持以PM2.5治理为主线，实施大气污染联防联控。</w:t>
      </w:r>
      <w:r>
        <w:rPr>
          <w:rFonts w:hint="eastAsia" w:ascii="Times New Roman" w:hAnsi="Times New Roman"/>
          <w:sz w:val="32"/>
          <w:lang w:val="en-US" w:eastAsia="zh-CN"/>
        </w:rPr>
        <w:t>推动陶瓷企业全流程管控无组织扬尘，</w:t>
      </w:r>
      <w:r>
        <w:rPr>
          <w:rFonts w:hint="eastAsia" w:ascii="Times New Roman" w:hAnsi="Times New Roman"/>
          <w:sz w:val="32"/>
        </w:rPr>
        <w:t>强化</w:t>
      </w:r>
      <w:r>
        <w:rPr>
          <w:rFonts w:hint="eastAsia" w:ascii="Times New Roman" w:hAnsi="Times New Roman"/>
          <w:sz w:val="32"/>
          <w:lang w:val="en-US" w:eastAsia="zh-CN"/>
        </w:rPr>
        <w:t>化工行业实施低</w:t>
      </w:r>
      <w:r>
        <w:rPr>
          <w:rFonts w:hint="eastAsia" w:ascii="Times New Roman" w:hAnsi="Times New Roman"/>
          <w:sz w:val="32"/>
        </w:rPr>
        <w:t>挥发性</w:t>
      </w:r>
      <w:r>
        <w:rPr>
          <w:rFonts w:hint="eastAsia" w:ascii="Times New Roman" w:hAnsi="Times New Roman"/>
          <w:sz w:val="32"/>
          <w:lang w:val="en-US" w:eastAsia="zh-CN"/>
        </w:rPr>
        <w:t>原辅材料替代</w:t>
      </w:r>
      <w:r>
        <w:rPr>
          <w:rFonts w:hint="eastAsia" w:ascii="Times New Roman" w:hAnsi="Times New Roman"/>
          <w:sz w:val="32"/>
        </w:rPr>
        <w:t>，</w:t>
      </w:r>
      <w:r>
        <w:rPr>
          <w:rFonts w:hint="eastAsia" w:ascii="Times New Roman" w:hAnsi="Times New Roman"/>
          <w:sz w:val="32"/>
          <w:lang w:val="en-US" w:eastAsia="zh-CN"/>
        </w:rPr>
        <w:t>升级废气收集治理设施。</w:t>
      </w:r>
      <w:r>
        <w:rPr>
          <w:rFonts w:hint="eastAsia" w:ascii="Times New Roman" w:hAnsi="Times New Roman"/>
          <w:sz w:val="32"/>
        </w:rPr>
        <w:t>推动重点企业加快产业升级，实施清洁生产。加大扬尘防治力度，对各类施工现场落实扬尘污染防治措施，积极开展“绿色工地”创建。在管车、降尘、治企</w:t>
      </w:r>
      <w:r>
        <w:rPr>
          <w:rFonts w:hint="eastAsia" w:ascii="Times New Roman" w:hAnsi="Times New Roman"/>
          <w:sz w:val="32"/>
          <w:lang w:val="en-US" w:eastAsia="zh-CN"/>
        </w:rPr>
        <w:t>和综合区域整治等</w:t>
      </w:r>
      <w:r>
        <w:rPr>
          <w:rFonts w:hint="eastAsia" w:ascii="Times New Roman" w:hAnsi="Times New Roman"/>
          <w:sz w:val="32"/>
        </w:rPr>
        <w:t>常规治污着力点基础上，加强VOCs排放源的精准管理。</w:t>
      </w:r>
      <w:r>
        <w:rPr>
          <w:rFonts w:hint="eastAsia" w:ascii="Times New Roman" w:hAnsi="Times New Roman"/>
          <w:sz w:val="32"/>
          <w:lang w:val="en-US" w:eastAsia="zh-CN"/>
        </w:rPr>
        <w:t>持续压减COD、氨氮、总磷产生量，</w:t>
      </w:r>
      <w:r>
        <w:rPr>
          <w:rFonts w:hint="eastAsia" w:ascii="Times New Roman" w:hAnsi="Times New Roman"/>
          <w:sz w:val="32"/>
        </w:rPr>
        <w:t>加强细颗粒物和臭氧协同控制</w:t>
      </w:r>
      <w:r>
        <w:rPr>
          <w:rFonts w:hint="eastAsia" w:ascii="Times New Roman" w:hAnsi="Times New Roman"/>
          <w:sz w:val="32"/>
          <w:lang w:eastAsia="zh-CN"/>
        </w:rPr>
        <w:t>。</w:t>
      </w:r>
    </w:p>
    <w:p w14:paraId="65E5F7C8">
      <w:pPr>
        <w:spacing w:line="600" w:lineRule="exact"/>
        <w:ind w:firstLine="643"/>
        <w:rPr>
          <w:rFonts w:ascii="Times New Roman" w:hAnsi="Times New Roman" w:eastAsia="仿宋"/>
        </w:rPr>
      </w:pPr>
      <w:r>
        <w:rPr>
          <w:rFonts w:hint="eastAsia" w:ascii="楷体_GB2312" w:hAnsi="楷体" w:eastAsia="楷体_GB2312"/>
          <w:b/>
        </w:rPr>
        <w:t>加强水污染治理。</w:t>
      </w:r>
      <w:r>
        <w:rPr>
          <w:rFonts w:hint="eastAsia" w:ascii="Times New Roman" w:hAnsi="Times New Roman"/>
        </w:rPr>
        <w:t>持续增强工业废水处理能力，进一步降低排放总量，削减入河负荷。增加环保基础设施投入，扩大管网覆盖，推进现有环保基础设施</w:t>
      </w:r>
      <w:r>
        <w:rPr>
          <w:rFonts w:hint="eastAsia" w:ascii="Times New Roman"/>
        </w:rPr>
        <w:t>提标改造，</w:t>
      </w:r>
      <w:r>
        <w:rPr>
          <w:rFonts w:hint="eastAsia" w:ascii="Times New Roman" w:hAnsi="Times New Roman"/>
        </w:rPr>
        <w:t>进一步提高污水收集率和处理率，依法实施污泥无害化处理处置，提高废物废水的资源化利用。</w:t>
      </w:r>
      <w:r>
        <w:rPr>
          <w:rFonts w:hint="eastAsia" w:ascii="Times New Roman"/>
        </w:rPr>
        <w:t>加大地下水保护力度，防治地下水污染，保障地下水质量保持稳定</w:t>
      </w:r>
      <w:r>
        <w:rPr>
          <w:rFonts w:hint="eastAsia" w:ascii="Times New Roman" w:hAnsi="Times New Roman"/>
        </w:rPr>
        <w:t>。</w:t>
      </w:r>
    </w:p>
    <w:p w14:paraId="425F8FD1">
      <w:pPr>
        <w:spacing w:line="600" w:lineRule="exact"/>
        <w:ind w:firstLine="643"/>
        <w:rPr>
          <w:rFonts w:hint="eastAsia" w:ascii="Times New Roman" w:hAnsi="Times New Roman"/>
        </w:rPr>
      </w:pPr>
      <w:r>
        <w:rPr>
          <w:rFonts w:hint="eastAsia" w:ascii="楷体_GB2312" w:hAnsi="楷体" w:eastAsia="楷体_GB2312"/>
          <w:b/>
        </w:rPr>
        <w:t>加强固体废弃物处置利用。</w:t>
      </w:r>
      <w:r>
        <w:rPr>
          <w:rFonts w:hint="eastAsia" w:ascii="Times New Roman" w:hAnsi="Times New Roman"/>
        </w:rPr>
        <w:t>规范固体废弃物产生、收集、贮存、运输、处置、利用各环节的管理，探索建立固体废弃物减量化、无害化、资源化处理机制，鼓励对一般工业固体废物综合利用和重复利用</w:t>
      </w:r>
      <w:r>
        <w:rPr>
          <w:rFonts w:hint="eastAsia"/>
          <w:color w:val="FF0000"/>
        </w:rPr>
        <w:t>，</w:t>
      </w:r>
      <w:r>
        <w:rPr>
          <w:rFonts w:hint="eastAsia" w:ascii="Times New Roman" w:hAnsi="Times New Roman"/>
        </w:rPr>
        <w:t>推进一般工业固体废物的综合利用和安全处置。</w:t>
      </w:r>
    </w:p>
    <w:tbl>
      <w:tblPr>
        <w:tblStyle w:val="21"/>
        <w:tblW w:w="8522" w:type="dxa"/>
        <w:jc w:val="center"/>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top w:w="0" w:type="dxa"/>
          <w:left w:w="108" w:type="dxa"/>
          <w:bottom w:w="0" w:type="dxa"/>
          <w:right w:w="108" w:type="dxa"/>
        </w:tblCellMar>
      </w:tblPr>
      <w:tblGrid>
        <w:gridCol w:w="8522"/>
      </w:tblGrid>
      <w:tr w14:paraId="5FFFB114">
        <w:tblPrEx>
          <w:tblBorders>
            <w:top w:val="none" w:color="auto" w:sz="4" w:space="0"/>
            <w:left w:val="none" w:color="auto" w:sz="4" w:space="0"/>
            <w:bottom w:val="none" w:color="auto" w:sz="4" w:space="0"/>
            <w:right w:val="none" w:color="auto" w:sz="4" w:space="0"/>
            <w:insideH w:val="none" w:color="auto" w:sz="4" w:space="0"/>
            <w:insideV w:val="none" w:color="auto" w:sz="0" w:space="0"/>
          </w:tblBorders>
          <w:tblCellMar>
            <w:top w:w="0" w:type="dxa"/>
            <w:left w:w="108" w:type="dxa"/>
            <w:bottom w:w="0" w:type="dxa"/>
            <w:right w:w="108" w:type="dxa"/>
          </w:tblCellMar>
        </w:tblPrEx>
        <w:trPr>
          <w:trHeight w:val="0" w:hRule="atLeast"/>
          <w:jc w:val="center"/>
        </w:trPr>
        <w:tc>
          <w:tcPr>
            <w:tcW w:w="8522" w:type="dxa"/>
            <w:tcBorders>
              <w:top w:val="single" w:color="auto" w:sz="12" w:space="0"/>
              <w:left w:val="single" w:color="auto" w:sz="12" w:space="0"/>
              <w:bottom w:val="nil"/>
              <w:right w:val="single" w:color="auto" w:sz="12" w:space="0"/>
            </w:tcBorders>
            <w:noWrap w:val="0"/>
            <w:tcMar>
              <w:top w:w="-1" w:type="dxa"/>
              <w:left w:w="-1" w:type="dxa"/>
              <w:bottom w:w="-1" w:type="dxa"/>
              <w:right w:w="-1" w:type="dxa"/>
            </w:tcMar>
            <w:vAlign w:val="center"/>
          </w:tcPr>
          <w:p w14:paraId="393791DB">
            <w:pPr>
              <w:widowControl/>
              <w:adjustRightInd w:val="0"/>
              <w:snapToGrid w:val="0"/>
              <w:jc w:val="center"/>
              <w:rPr>
                <w:rFonts w:hint="default" w:ascii="黑体" w:hAnsi="黑体" w:eastAsia="黑体" w:cs="黑体"/>
                <w:sz w:val="22"/>
                <w:szCs w:val="22"/>
                <w:shd w:val="clear" w:color="auto" w:fill="FFFFFF"/>
                <w:lang w:val="en-US" w:eastAsia="zh-CN"/>
              </w:rPr>
            </w:pPr>
            <w:r>
              <w:rPr>
                <w:rFonts w:hint="eastAsia" w:ascii="黑体" w:hAnsi="黑体" w:eastAsia="黑体" w:cs="黑体"/>
                <w:sz w:val="28"/>
                <w:szCs w:val="28"/>
              </w:rPr>
              <w:t>专栏</w:t>
            </w:r>
            <w:r>
              <w:rPr>
                <w:rFonts w:hint="eastAsia" w:ascii="黑体" w:hAnsi="黑体" w:eastAsia="黑体" w:cs="黑体"/>
                <w:sz w:val="28"/>
                <w:szCs w:val="28"/>
                <w:lang w:val="en-US" w:eastAsia="zh-CN"/>
              </w:rPr>
              <w:t>5</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绿色发展专项行动</w:t>
            </w:r>
          </w:p>
        </w:tc>
      </w:tr>
      <w:tr w14:paraId="10D96420">
        <w:tblPrEx>
          <w:tblBorders>
            <w:top w:val="none" w:color="auto" w:sz="4" w:space="0"/>
            <w:left w:val="none" w:color="auto" w:sz="4" w:space="0"/>
            <w:bottom w:val="none" w:color="auto" w:sz="4" w:space="0"/>
            <w:right w:val="none" w:color="auto" w:sz="4" w:space="0"/>
            <w:insideH w:val="none" w:color="auto" w:sz="4" w:space="0"/>
            <w:insideV w:val="none" w:color="auto" w:sz="0" w:space="0"/>
          </w:tblBorders>
          <w:tblCellMar>
            <w:top w:w="0" w:type="dxa"/>
            <w:left w:w="108" w:type="dxa"/>
            <w:bottom w:w="0" w:type="dxa"/>
            <w:right w:w="108" w:type="dxa"/>
          </w:tblCellMar>
        </w:tblPrEx>
        <w:trPr>
          <w:trHeight w:val="0" w:hRule="atLeast"/>
          <w:jc w:val="center"/>
        </w:trPr>
        <w:tc>
          <w:tcPr>
            <w:tcW w:w="8522" w:type="dxa"/>
            <w:tcBorders>
              <w:top w:val="single" w:color="auto" w:sz="4" w:space="0"/>
              <w:left w:val="single" w:color="auto" w:sz="12" w:space="0"/>
              <w:bottom w:val="single" w:color="auto" w:sz="12" w:space="0"/>
              <w:right w:val="single" w:color="auto" w:sz="12" w:space="0"/>
            </w:tcBorders>
            <w:noWrap w:val="0"/>
            <w:tcMar>
              <w:top w:w="-1" w:type="dxa"/>
              <w:left w:w="-1" w:type="dxa"/>
              <w:bottom w:w="-1" w:type="dxa"/>
              <w:right w:w="-1" w:type="dxa"/>
            </w:tcMar>
            <w:vAlign w:val="center"/>
          </w:tcPr>
          <w:p w14:paraId="606C3A71">
            <w:pPr>
              <w:overflowPunct w:val="0"/>
              <w:snapToGrid w:val="0"/>
              <w:spacing w:line="460" w:lineRule="exact"/>
              <w:ind w:firstLine="562" w:firstLineChars="200"/>
              <w:rPr>
                <w:rFonts w:hint="eastAsia" w:ascii="Times New Roman" w:hAnsi="Times New Roman" w:eastAsia="仿宋_GB2312"/>
                <w:sz w:val="28"/>
                <w:szCs w:val="28"/>
                <w:lang w:val="en-US" w:eastAsia="zh-CN"/>
              </w:rPr>
            </w:pPr>
            <w:r>
              <w:rPr>
                <w:rFonts w:hint="eastAsia" w:ascii="Times New Roman" w:hAnsi="Times New Roman" w:eastAsia="仿宋_GB2312"/>
                <w:b/>
                <w:bCs/>
                <w:sz w:val="28"/>
                <w:szCs w:val="28"/>
                <w:lang w:val="en-US" w:eastAsia="zh-CN"/>
              </w:rPr>
              <w:t>节能降碳技术改造行动。</w:t>
            </w:r>
            <w:r>
              <w:rPr>
                <w:rFonts w:hint="eastAsia" w:ascii="Times New Roman" w:hAnsi="Times New Roman" w:eastAsia="仿宋_GB2312"/>
                <w:sz w:val="28"/>
                <w:szCs w:val="28"/>
                <w:lang w:val="en-US" w:eastAsia="zh-CN"/>
              </w:rPr>
              <w:t>围绕传统陶瓷、化工等高碳行业减碳降碳，加强园区绿色基础设施建设，提升“绿电”使用占比，扩大煤层气、绿电、光伏替代，引导企业有序开展节能降碳技术改造。</w:t>
            </w:r>
          </w:p>
          <w:p w14:paraId="2CC0E06C">
            <w:pPr>
              <w:overflowPunct w:val="0"/>
              <w:snapToGrid w:val="0"/>
              <w:spacing w:line="460" w:lineRule="exact"/>
              <w:ind w:firstLine="562" w:firstLineChars="200"/>
              <w:rPr>
                <w:rFonts w:hint="default" w:ascii="Times New Roman" w:hAnsi="Times New Roman" w:eastAsia="仿宋_GB2312"/>
                <w:sz w:val="28"/>
                <w:szCs w:val="28"/>
                <w:lang w:val="en-US" w:eastAsia="zh-CN"/>
              </w:rPr>
            </w:pPr>
            <w:r>
              <w:rPr>
                <w:rFonts w:hint="eastAsia" w:ascii="Times New Roman" w:hAnsi="Times New Roman" w:eastAsia="仿宋_GB2312"/>
                <w:b/>
                <w:bCs/>
                <w:sz w:val="28"/>
                <w:szCs w:val="28"/>
                <w:lang w:val="en-US" w:eastAsia="zh-CN"/>
              </w:rPr>
              <w:t>“以水定产”系列行动。</w:t>
            </w:r>
            <w:r>
              <w:rPr>
                <w:rFonts w:hint="eastAsia" w:ascii="Times New Roman" w:hAnsi="Times New Roman" w:eastAsia="仿宋_GB2312"/>
                <w:sz w:val="28"/>
                <w:szCs w:val="28"/>
                <w:lang w:val="en-US" w:eastAsia="zh-CN"/>
              </w:rPr>
              <w:t>按照一年准备，二年试点，三年实施的进度，稳步推进工业节水减排，全面加强非常规水源利用，鼓励企业节水改造，指导企业科学用水。</w:t>
            </w:r>
          </w:p>
          <w:p w14:paraId="231AE7C9">
            <w:pPr>
              <w:overflowPunct w:val="0"/>
              <w:snapToGrid w:val="0"/>
              <w:spacing w:line="460" w:lineRule="exact"/>
              <w:ind w:firstLine="562" w:firstLineChars="200"/>
              <w:rPr>
                <w:rFonts w:hint="default" w:ascii="Times New Roman" w:hAnsi="Times New Roman" w:eastAsia="仿宋_GB2312"/>
                <w:sz w:val="28"/>
                <w:szCs w:val="28"/>
                <w:lang w:val="en-US" w:eastAsia="zh-CN"/>
              </w:rPr>
            </w:pPr>
            <w:r>
              <w:rPr>
                <w:rFonts w:hint="eastAsia" w:ascii="Times New Roman" w:hAnsi="Times New Roman" w:eastAsia="仿宋_GB2312"/>
                <w:b/>
                <w:bCs/>
                <w:sz w:val="28"/>
                <w:szCs w:val="28"/>
                <w:lang w:val="en-US" w:eastAsia="zh-CN"/>
              </w:rPr>
              <w:t>污染物减排行动。</w:t>
            </w:r>
            <w:r>
              <w:rPr>
                <w:rFonts w:hint="eastAsia" w:ascii="Times New Roman" w:hAnsi="Times New Roman" w:eastAsia="仿宋_GB2312"/>
                <w:sz w:val="28"/>
                <w:szCs w:val="28"/>
                <w:lang w:val="en-US" w:eastAsia="zh-CN"/>
              </w:rPr>
              <w:t>按照“净厂、治路、增绿、控面”一体推进要求，精准管控、系统治理大气污染。加快安阳产业园环境综合整治；落实建筑工地“六个百分百”要求，动态督查整治区内散乱污。</w:t>
            </w:r>
          </w:p>
        </w:tc>
      </w:tr>
    </w:tbl>
    <w:p w14:paraId="689D4E6F">
      <w:pPr>
        <w:ind w:firstLine="720"/>
        <w:rPr>
          <w:rFonts w:ascii="Times New Roman" w:hAnsi="Times New Roman" w:eastAsia="黑体"/>
          <w:bCs/>
          <w:sz w:val="36"/>
          <w:szCs w:val="36"/>
        </w:rPr>
      </w:pPr>
      <w:bookmarkStart w:id="98" w:name="_Toc567433569_WPSOffice_Level1"/>
      <w:r>
        <w:rPr>
          <w:rFonts w:hint="eastAsia" w:ascii="Times New Roman" w:hAnsi="Times New Roman" w:eastAsia="黑体"/>
          <w:bCs/>
          <w:sz w:val="36"/>
          <w:szCs w:val="36"/>
        </w:rPr>
        <w:br w:type="page"/>
      </w:r>
    </w:p>
    <w:p w14:paraId="75D6EA70">
      <w:pPr>
        <w:spacing w:line="600" w:lineRule="exact"/>
        <w:ind w:firstLine="720"/>
        <w:jc w:val="center"/>
        <w:outlineLvl w:val="0"/>
        <w:rPr>
          <w:rFonts w:ascii="Times New Roman" w:hAnsi="Times New Roman" w:eastAsia="黑体"/>
          <w:bCs/>
          <w:sz w:val="36"/>
          <w:szCs w:val="36"/>
        </w:rPr>
      </w:pPr>
      <w:bookmarkStart w:id="99" w:name="_Toc21270"/>
      <w:bookmarkStart w:id="100" w:name="_Toc18979"/>
      <w:bookmarkStart w:id="101" w:name="_Toc29990"/>
      <w:r>
        <w:rPr>
          <w:rFonts w:hint="eastAsia" w:ascii="Times New Roman" w:hAnsi="Times New Roman" w:eastAsia="黑体"/>
          <w:bCs/>
          <w:sz w:val="36"/>
          <w:szCs w:val="36"/>
        </w:rPr>
        <w:t>第五章 加强保障服务 打造深化改革</w:t>
      </w:r>
      <w:bookmarkEnd w:id="98"/>
      <w:r>
        <w:rPr>
          <w:rFonts w:hint="eastAsia" w:ascii="Times New Roman" w:hAnsi="Times New Roman" w:eastAsia="黑体"/>
          <w:bCs/>
          <w:sz w:val="36"/>
          <w:szCs w:val="36"/>
        </w:rPr>
        <w:t>阳开样板</w:t>
      </w:r>
      <w:bookmarkEnd w:id="99"/>
      <w:bookmarkEnd w:id="100"/>
      <w:bookmarkEnd w:id="101"/>
    </w:p>
    <w:p w14:paraId="50ECBD07">
      <w:pPr>
        <w:ind w:firstLine="640"/>
        <w:rPr>
          <w:rFonts w:hint="eastAsia"/>
        </w:rPr>
      </w:pPr>
      <w:r>
        <w:rPr>
          <w:rFonts w:hint="eastAsia" w:ascii="Times New Roman" w:hAnsi="Times New Roman"/>
          <w:bCs/>
        </w:rPr>
        <w:t>坚持破立并举、系统集成，深度融入全国统一大市场，以改革成效推动经济高质量发展。</w:t>
      </w:r>
      <w:r>
        <w:rPr>
          <w:rFonts w:hint="eastAsia"/>
        </w:rPr>
        <w:t>对标一流营商环境，提升全面开放能级，提升招商引资水平和效能。</w:t>
      </w:r>
    </w:p>
    <w:p w14:paraId="251C9694">
      <w:pPr>
        <w:spacing w:line="600" w:lineRule="exact"/>
        <w:ind w:firstLine="618"/>
        <w:jc w:val="center"/>
        <w:outlineLvl w:val="1"/>
        <w:rPr>
          <w:rFonts w:ascii="Times New Roman" w:hAnsi="Times New Roman" w:eastAsia="楷体_GB2312"/>
          <w:b/>
          <w:spacing w:val="-6"/>
        </w:rPr>
      </w:pPr>
      <w:bookmarkStart w:id="102" w:name="_Toc17369"/>
      <w:bookmarkStart w:id="103" w:name="_Toc8922"/>
      <w:bookmarkStart w:id="104" w:name="_Toc28382"/>
      <w:bookmarkStart w:id="105" w:name="_Toc5351"/>
      <w:r>
        <w:rPr>
          <w:rFonts w:hint="eastAsia" w:ascii="Times New Roman" w:hAnsi="Times New Roman" w:eastAsia="楷体_GB2312"/>
          <w:b/>
          <w:spacing w:val="-6"/>
        </w:rPr>
        <w:t>第一节  突出党建引领</w:t>
      </w:r>
      <w:bookmarkEnd w:id="102"/>
      <w:bookmarkEnd w:id="103"/>
      <w:bookmarkEnd w:id="104"/>
    </w:p>
    <w:p w14:paraId="54C967DB">
      <w:pPr>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val="0"/>
          <w:color w:val="000000" w:themeColor="text1"/>
          <w:lang w:val="en-US" w:eastAsia="zh-CN"/>
          <w14:textFill>
            <w14:solidFill>
              <w14:schemeClr w14:val="tx1"/>
            </w14:solidFill>
          </w14:textFill>
        </w:rPr>
        <w:t>加强党的全面领导。</w:t>
      </w:r>
      <w:r>
        <w:rPr>
          <w:rFonts w:hint="eastAsia" w:ascii="方正仿宋_GB2312" w:hAnsi="方正仿宋_GB2312" w:eastAsia="方正仿宋_GB2312" w:cs="方正仿宋_GB2312"/>
          <w:bCs/>
          <w:color w:val="000000" w:themeColor="text1"/>
          <w:lang w:val="en-US" w:eastAsia="zh-CN"/>
          <w14:textFill>
            <w14:solidFill>
              <w14:schemeClr w14:val="tx1"/>
            </w14:solidFill>
          </w14:textFill>
        </w:rPr>
        <w:t>坚持把党的领导贯穿到开发区建设发展各领域全过程，完善党委领导、政府负责、开发区发挥主体作用、各方力量协同配合的工作格局。</w:t>
      </w:r>
      <w:r>
        <w:rPr>
          <w:rFonts w:hint="eastAsia" w:ascii="方正仿宋_GB2312" w:hAnsi="方正仿宋_GB2312" w:eastAsia="方正仿宋_GB2312" w:cs="方正仿宋_GB2312"/>
        </w:rPr>
        <w:t>始终将党的政治建设摆在首位，确保党中央和省委、市委、县委决策部署在开发区不折不扣落地生根，为将阳城开发区建设成为省级示范开发区提供强大动力和根本保证。</w:t>
      </w:r>
    </w:p>
    <w:p w14:paraId="4DA23053">
      <w:pPr>
        <w:ind w:firstLine="643"/>
        <w:rPr>
          <w:rFonts w:hint="eastAsia"/>
        </w:rPr>
      </w:pPr>
      <w:r>
        <w:rPr>
          <w:rFonts w:hint="eastAsia"/>
          <w:b/>
          <w:bCs/>
        </w:rPr>
        <w:t>持续推动党建引领。</w:t>
      </w:r>
      <w:r>
        <w:rPr>
          <w:rFonts w:hint="eastAsia"/>
        </w:rPr>
        <w:t>坚持政治统领、把准方向。</w:t>
      </w:r>
      <w:r>
        <w:rPr>
          <w:rFonts w:hint="eastAsia"/>
          <w:lang w:val="en-US" w:eastAsia="zh-CN"/>
        </w:rPr>
        <w:t>落实</w:t>
      </w:r>
      <w:r>
        <w:rPr>
          <w:rFonts w:hint="eastAsia"/>
        </w:rPr>
        <w:t>党建工作责任制，形成党工委统一领导、党工委书记负总责、分管领导具体负责、各党组织齐抓共管的工作格局。围绕开发区中心工作谋划和推进党的建设，推动党建工作与优化营商环境、招商引资、项目建设、企业服务、安全环保等主责主业同频共振、互促共进。探索符合开发区特点的党建新模式、新路径、新机制。深化非公企业党建“两个覆盖”，根据非公企业特点，精准施策，推动党的组织和工作从“有形覆盖”向“有效覆盖”深化，非公企业领域重点企业党组织覆盖率达到100%。</w:t>
      </w:r>
    </w:p>
    <w:p w14:paraId="1F897D19">
      <w:pPr>
        <w:ind w:firstLine="643"/>
        <w:rPr>
          <w:rFonts w:hint="eastAsia"/>
          <w:lang w:val="en-US" w:eastAsia="zh-CN"/>
        </w:rPr>
      </w:pPr>
      <w:r>
        <w:rPr>
          <w:rFonts w:hint="eastAsia"/>
          <w:b/>
          <w:bCs/>
          <w:lang w:val="en-US" w:eastAsia="zh-CN"/>
        </w:rPr>
        <w:t>树立和践行正确政绩观。</w:t>
      </w:r>
      <w:r>
        <w:rPr>
          <w:rFonts w:hint="eastAsia"/>
        </w:rPr>
        <w:t>坚持系统思维、强化全局意识，从多重维度审视发展、谋划工作、推动落实。以战略定力谋划长远发展</w:t>
      </w:r>
      <w:r>
        <w:rPr>
          <w:rFonts w:hint="eastAsia"/>
          <w:lang w:eastAsia="zh-CN"/>
        </w:rPr>
        <w:t>，</w:t>
      </w:r>
      <w:r>
        <w:rPr>
          <w:rFonts w:hint="eastAsia"/>
        </w:rPr>
        <w:t>既立足当下稳增长，更着眼长远谋布局</w:t>
      </w:r>
      <w:r>
        <w:rPr>
          <w:rFonts w:hint="eastAsia"/>
          <w:lang w:eastAsia="zh-CN"/>
        </w:rPr>
        <w:t>，</w:t>
      </w:r>
      <w:r>
        <w:rPr>
          <w:rFonts w:hint="eastAsia"/>
          <w:lang w:val="en-US" w:eastAsia="zh-CN"/>
        </w:rPr>
        <w:t>科学设定发展目标，坚持高质量发展，统筹</w:t>
      </w:r>
      <w:r>
        <w:rPr>
          <w:rFonts w:hint="eastAsia"/>
        </w:rPr>
        <w:t>量的合理增长和质的有效提升</w:t>
      </w:r>
      <w:r>
        <w:rPr>
          <w:rFonts w:hint="eastAsia"/>
          <w:lang w:eastAsia="zh-CN"/>
        </w:rPr>
        <w:t>，</w:t>
      </w:r>
      <w:r>
        <w:rPr>
          <w:rFonts w:hint="eastAsia"/>
          <w:lang w:val="en-US" w:eastAsia="zh-CN"/>
        </w:rPr>
        <w:t>防止“数字政绩观”</w:t>
      </w:r>
      <w:r>
        <w:rPr>
          <w:rFonts w:hint="eastAsia"/>
        </w:rPr>
        <w:t>。</w:t>
      </w:r>
      <w:r>
        <w:rPr>
          <w:rFonts w:hint="eastAsia"/>
          <w:lang w:val="en-US" w:eastAsia="zh-CN"/>
        </w:rPr>
        <w:t>引导干部</w:t>
      </w:r>
      <w:r>
        <w:rPr>
          <w:rFonts w:hint="eastAsia"/>
        </w:rPr>
        <w:t>以实干担当破解发展难题</w:t>
      </w:r>
      <w:r>
        <w:rPr>
          <w:rFonts w:hint="eastAsia"/>
          <w:lang w:eastAsia="zh-CN"/>
        </w:rPr>
        <w:t>，</w:t>
      </w:r>
      <w:r>
        <w:rPr>
          <w:rFonts w:hint="eastAsia"/>
          <w:lang w:val="en-US" w:eastAsia="zh-CN"/>
        </w:rPr>
        <w:t>激励干事创业，加强企业和项目服务，以钉钉子精神打通堵点卡点。</w:t>
      </w:r>
      <w:r>
        <w:rPr>
          <w:rFonts w:hint="eastAsia"/>
          <w:lang w:eastAsia="zh-CN"/>
        </w:rPr>
        <w:t>实现高质量发展和高水平安全良性互动，</w:t>
      </w:r>
      <w:r>
        <w:rPr>
          <w:rFonts w:hint="eastAsia"/>
          <w:lang w:val="en-US" w:eastAsia="zh-CN"/>
        </w:rPr>
        <w:t>统筹绿色发展、安全发展。</w:t>
      </w:r>
    </w:p>
    <w:p w14:paraId="0EF1A623">
      <w:pPr>
        <w:spacing w:line="600" w:lineRule="exact"/>
        <w:ind w:firstLine="643"/>
        <w:rPr>
          <w:rFonts w:hint="eastAsia"/>
        </w:rPr>
      </w:pPr>
      <w:r>
        <w:rPr>
          <w:rFonts w:hint="eastAsia"/>
          <w:b/>
          <w:bCs/>
        </w:rPr>
        <w:t>加强干部队伍建设。</w:t>
      </w:r>
      <w:r>
        <w:rPr>
          <w:rFonts w:hint="eastAsia"/>
        </w:rPr>
        <w:t>树立实干担当导向。招商引资、项目建设、服务企业中培养、考察和使用干部。持续开展开发区干部职工能力提升培训，组织开外出考察学习，提升领导职工在经济运行、规划运营、招商引资、项目建设等方面能力水平，建设勇于创新、作风过硬、精于业务、善于管理的高素质队伍，为开发区高质量发展提供人才支撑。</w:t>
      </w:r>
    </w:p>
    <w:p w14:paraId="6224ABFA">
      <w:pPr>
        <w:ind w:firstLine="643"/>
        <w:rPr>
          <w:rFonts w:hint="eastAsia"/>
        </w:rPr>
      </w:pPr>
      <w:r>
        <w:rPr>
          <w:rFonts w:hint="eastAsia"/>
          <w:b/>
          <w:bCs/>
        </w:rPr>
        <w:t>实施“政治领航”工程。</w:t>
      </w:r>
      <w:r>
        <w:rPr>
          <w:rFonts w:hint="eastAsia"/>
        </w:rPr>
        <w:t>强化创新理论武装，严格落实“第一议题”制度，常态化开展党工委理论学习中心组学习。严明政治纪律规矩，加强对党员干部的政治监督，确保在重大原则问题上同党中央保持高度一致。严格执行重大事项请示报告制度。严肃党内政治生活，高质量开好民主生活会和组织生活会，认真落实“三会一课”、谈心谈话等制度，增强党内政治生活的政治性、时代性、原则性、战斗性。</w:t>
      </w:r>
    </w:p>
    <w:p w14:paraId="1C470170">
      <w:pPr>
        <w:spacing w:line="600" w:lineRule="exact"/>
        <w:ind w:firstLine="643"/>
        <w:rPr>
          <w:rFonts w:hint="eastAsia"/>
          <w:b/>
          <w:bCs/>
        </w:rPr>
      </w:pPr>
      <w:r>
        <w:rPr>
          <w:rFonts w:hint="eastAsia"/>
          <w:b/>
          <w:bCs/>
        </w:rPr>
        <w:t>实施“清廉开发区”工程。</w:t>
      </w:r>
      <w:r>
        <w:rPr>
          <w:rFonts w:hint="eastAsia"/>
        </w:rPr>
        <w:t>压实全面从严治党主体责任，制定党工委主体责任清单、纪工委监督责任清单，层层传导压力。强化重点领域廉政风险防控，紧盯工程建设、土地出让、政府采购、专项资金管理等关键环节，健全内控机制，加强纪审贯通。加强廉洁文化建设，定期开展警示教育活动，弘扬“亲”“清”政商文化。持续深化作风建设，大力整治形式主义、官僚主义，畅通企业诉求反映渠道，严肃查处损害营商环境的行为。</w:t>
      </w:r>
    </w:p>
    <w:p w14:paraId="3DCEB7A5">
      <w:pPr>
        <w:adjustRightInd w:val="0"/>
        <w:spacing w:line="580" w:lineRule="exact"/>
        <w:ind w:firstLine="643"/>
        <w:outlineLvl w:val="2"/>
        <w:rPr>
          <w:rFonts w:hint="eastAsia" w:ascii="仿宋_GB2312" w:hAnsi="仿宋_GB2312" w:eastAsia="仿宋_GB2312" w:cs="仿宋_GB2312"/>
          <w:kern w:val="2"/>
          <w:sz w:val="32"/>
          <w:szCs w:val="32"/>
          <w:lang w:val="en-US" w:eastAsia="zh-CN" w:bidi="ar-SA"/>
        </w:rPr>
      </w:pPr>
      <w:r>
        <w:rPr>
          <w:rFonts w:hint="eastAsia"/>
          <w:b/>
          <w:bCs/>
        </w:rPr>
        <w:t>实施“融合发展”工程。</w:t>
      </w:r>
      <w:r>
        <w:rPr>
          <w:rFonts w:hint="eastAsia"/>
        </w:rPr>
        <w:t>设立深化“党建+综合服务”“党建+营商环境”“党建+招商引资”等功能型党小组，开展“党员亮身份、服务亮承诺”活动，组织党员干部“一对一”联系重</w:t>
      </w:r>
      <w:r>
        <w:rPr>
          <w:rFonts w:hint="eastAsia" w:ascii="仿宋_GB2312" w:hAnsi="仿宋_GB2312" w:eastAsia="仿宋_GB2312" w:cs="仿宋_GB2312"/>
          <w:kern w:val="2"/>
          <w:sz w:val="32"/>
          <w:szCs w:val="32"/>
          <w:lang w:val="en-US" w:eastAsia="zh-CN" w:bidi="ar-SA"/>
        </w:rPr>
        <w:t>点企业，当好“店小二”。实施“双培工程”，把业务骨干培养成党员，把党员培养成业务骨干。</w:t>
      </w:r>
    </w:p>
    <w:p w14:paraId="3955352B">
      <w:pPr>
        <w:spacing w:line="600" w:lineRule="exact"/>
        <w:ind w:firstLine="618"/>
        <w:jc w:val="center"/>
        <w:outlineLvl w:val="1"/>
        <w:rPr>
          <w:rFonts w:hint="eastAsia" w:ascii="Times New Roman" w:hAnsi="Times New Roman" w:eastAsia="楷体_GB2312"/>
          <w:b/>
          <w:spacing w:val="-6"/>
          <w:lang w:val="en-US" w:eastAsia="zh-CN"/>
        </w:rPr>
      </w:pPr>
      <w:bookmarkStart w:id="106" w:name="_Toc11344"/>
      <w:bookmarkStart w:id="107" w:name="_Toc1556"/>
      <w:bookmarkStart w:id="108" w:name="_Toc1674"/>
      <w:r>
        <w:rPr>
          <w:rFonts w:hint="eastAsia" w:ascii="Times New Roman" w:hAnsi="Times New Roman" w:eastAsia="楷体_GB2312"/>
          <w:b/>
          <w:spacing w:val="-6"/>
          <w:lang w:val="en-US" w:eastAsia="zh-CN"/>
        </w:rPr>
        <w:t>第二节  培育壮大市场主体</w:t>
      </w:r>
      <w:bookmarkEnd w:id="105"/>
      <w:bookmarkEnd w:id="106"/>
      <w:bookmarkEnd w:id="107"/>
      <w:bookmarkEnd w:id="108"/>
    </w:p>
    <w:p w14:paraId="14E580A0">
      <w:pPr>
        <w:spacing w:line="600" w:lineRule="exact"/>
        <w:ind w:firstLine="643"/>
        <w:rPr>
          <w:rFonts w:hint="eastAsia"/>
          <w:lang w:val="en-US" w:eastAsia="zh-CN"/>
        </w:rPr>
      </w:pPr>
      <w:bookmarkStart w:id="109" w:name="_Toc8105"/>
      <w:bookmarkStart w:id="110" w:name="_Toc281209847"/>
      <w:r>
        <w:rPr>
          <w:rFonts w:hint="eastAsia"/>
          <w:b/>
          <w:bCs/>
          <w:lang w:val="en-US" w:eastAsia="zh-CN"/>
        </w:rPr>
        <w:t>做强引领性骨干龙头企业。</w:t>
      </w:r>
      <w:r>
        <w:rPr>
          <w:rFonts w:hint="eastAsia"/>
          <w:lang w:val="en-US" w:eastAsia="zh-CN"/>
        </w:rPr>
        <w:t>实施龙头企业梯度培育计划，建立以营业收入为核心指标的龙头企业动态培育库。通过强化政策精准供给、优化专项服务支持，引导“链主”企业通过并购、参股等方式，开展跨地区、跨行业、跨所有制整合重组和投资合作，提升核心吸引力。推动入库企业快速成长为具有行业影响力的骨干龙头企业，带动产业链上下游协同发展，力争“十五五”末三大产业中每个产业培育1-2户引领带动作用强的龙头“链主”企业。</w:t>
      </w:r>
      <w:bookmarkEnd w:id="109"/>
    </w:p>
    <w:p w14:paraId="438430F9">
      <w:pPr>
        <w:spacing w:line="600" w:lineRule="exact"/>
        <w:ind w:firstLine="643"/>
        <w:rPr>
          <w:rFonts w:hint="eastAsia"/>
          <w:lang w:val="en-US" w:eastAsia="zh-CN"/>
        </w:rPr>
      </w:pPr>
      <w:r>
        <w:rPr>
          <w:rFonts w:hint="eastAsia"/>
          <w:b/>
          <w:bCs/>
          <w:lang w:val="en-US" w:eastAsia="zh-CN"/>
        </w:rPr>
        <w:t>加强中小企业梯度培育。</w:t>
      </w:r>
      <w:r>
        <w:rPr>
          <w:rFonts w:hint="eastAsia"/>
          <w:lang w:val="en-US" w:eastAsia="zh-CN"/>
        </w:rPr>
        <w:t>构建全周期、多层次的企业梯度培育体系。聚焦不同发展阶段、不同规模层次企业的成长需求，系统强化分类指导，引导资源要素向高潜力、高成长性企业集聚。实施中小企业梯度培育工程，以“创新型中小企业、专精特新中小企业、专精特新‘小巨人’企业、制造业单项冠军”与“科技型中小企业、高新技术企业、科技领军企业”两条路径为培养方向，大力扶持成长型中坚企业，夯实产业基础；积极培育具有潜力的初创期和成长期小微主体，激发市场源头活力，最终形成接续有力、梯队攀升的企业成长生态。创新规上工业企业支持方式，精准靶向培育有潜力的规下工业企业升规入统，“一企一策”帮扶存量临退规企业稳规在规。</w:t>
      </w:r>
    </w:p>
    <w:p w14:paraId="415798CC">
      <w:pPr>
        <w:spacing w:line="600" w:lineRule="exact"/>
        <w:ind w:firstLine="643"/>
        <w:rPr>
          <w:rFonts w:hint="eastAsia"/>
          <w:lang w:val="en-US" w:eastAsia="zh-CN"/>
        </w:rPr>
      </w:pPr>
      <w:r>
        <w:rPr>
          <w:rFonts w:hint="eastAsia"/>
          <w:b/>
          <w:bCs/>
          <w:lang w:val="en-US" w:eastAsia="zh-CN"/>
        </w:rPr>
        <w:t>实施创新型企业成长计划。</w:t>
      </w:r>
      <w:r>
        <w:rPr>
          <w:rFonts w:hint="eastAsia"/>
          <w:lang w:val="en-US" w:eastAsia="zh-CN"/>
        </w:rPr>
        <w:t>推动创新资源向优质企业集中，形成领军企业引领突破、新锐企业蓬勃成长的创新格局。鼓励企业组建关键技术攻关共同体，在细分领域掌握一批关键核心技术和产品。用好“揭榜挂帅”“赛马制”“里程碑制”“科技副总”等科技政策红利，降低企业科技成果开发和转化成本。发挥科技创新券对企业研发投入带动作用，引导企业落实好企业研发投入后补助制度，企业研发准备金制度，全面落实研发费用加计扣除政策。用好科技金融和创业投资、股权投资政策。</w:t>
      </w:r>
    </w:p>
    <w:bookmarkEnd w:id="110"/>
    <w:p w14:paraId="588DA9DE">
      <w:pPr>
        <w:spacing w:line="600" w:lineRule="exact"/>
        <w:ind w:firstLine="606" w:firstLineChars="196"/>
        <w:jc w:val="center"/>
        <w:rPr>
          <w:rFonts w:ascii="Times New Roman" w:hAnsi="Times New Roman" w:eastAsia="楷体_GB2312"/>
          <w:b/>
          <w:spacing w:val="-6"/>
        </w:rPr>
      </w:pPr>
      <w:bookmarkStart w:id="111" w:name="_Toc12535"/>
      <w:r>
        <w:rPr>
          <w:rFonts w:hint="eastAsia" w:ascii="Times New Roman" w:hAnsi="Times New Roman" w:eastAsia="楷体_GB2312"/>
          <w:b/>
          <w:spacing w:val="-6"/>
        </w:rPr>
        <w:t>第三节  加强要素保障建设</w:t>
      </w:r>
      <w:bookmarkEnd w:id="111"/>
    </w:p>
    <w:p w14:paraId="7721DE7E">
      <w:pPr>
        <w:spacing w:line="600" w:lineRule="exact"/>
        <w:ind w:firstLine="643"/>
        <w:rPr>
          <w:rFonts w:hint="eastAsia"/>
          <w:lang w:val="en-US" w:eastAsia="zh-CN"/>
        </w:rPr>
      </w:pPr>
      <w:r>
        <w:rPr>
          <w:rFonts w:hint="eastAsia"/>
          <w:lang w:val="en-US" w:eastAsia="zh-CN"/>
        </w:rPr>
        <w:t>建立“要素跟着项目走”机制，围绕用地、用能、环容、资金等共性问题，加大协同解决力度，强化要素保障。</w:t>
      </w:r>
    </w:p>
    <w:p w14:paraId="60FA60C2">
      <w:pPr>
        <w:spacing w:line="600" w:lineRule="exact"/>
        <w:ind w:firstLine="643"/>
        <w:rPr>
          <w:rFonts w:hint="eastAsia"/>
          <w:lang w:val="en-US" w:eastAsia="zh-CN"/>
        </w:rPr>
      </w:pPr>
      <w:r>
        <w:rPr>
          <w:rFonts w:hint="eastAsia"/>
          <w:b/>
          <w:bCs/>
          <w:lang w:val="en-US" w:eastAsia="zh-CN"/>
        </w:rPr>
        <w:t>完善要素配套建设。</w:t>
      </w:r>
      <w:r>
        <w:rPr>
          <w:rFonts w:hint="eastAsia"/>
          <w:lang w:val="en-US" w:eastAsia="zh-CN"/>
        </w:rPr>
        <w:t>坚持要素保障与发展相匹配，完善用水、用电、用气、排污等配套设施，健全生产要素体系。积极破解环保瓶颈，按照市、县用能和生态环境建设要求，梯次推进开发区内工业项目节能降碳改造，全程陪跑开发区环评能评全流程，最大限度为项目建设提供能耗指标和环境容量。</w:t>
      </w:r>
    </w:p>
    <w:p w14:paraId="42DD075D">
      <w:pPr>
        <w:spacing w:line="600" w:lineRule="exact"/>
        <w:ind w:firstLine="643"/>
        <w:rPr>
          <w:rFonts w:hint="eastAsia"/>
          <w:lang w:val="en-US" w:eastAsia="zh-CN"/>
        </w:rPr>
      </w:pPr>
      <w:r>
        <w:rPr>
          <w:rFonts w:hint="eastAsia"/>
          <w:b/>
          <w:bCs/>
          <w:lang w:val="en-US" w:eastAsia="zh-CN"/>
        </w:rPr>
        <w:t>强化用地保障。</w:t>
      </w:r>
      <w:r>
        <w:rPr>
          <w:rFonts w:hint="eastAsia"/>
          <w:lang w:val="en-US" w:eastAsia="zh-CN"/>
        </w:rPr>
        <w:t>破解用地瓶颈，通过向上级争取和探索推进外购指标扩大土地增量，做好“筑巢”和“腾笼”两篇文章。争取增量用地，因地制宜采用长期租赁、弹性年期供应、先租后让等方式供应产业用地。盘活存量用地，认真开展项目清理，进一步提高土地要素配置效率。落实开发园区亩均投资强度要求，提高单位土地面积产出。</w:t>
      </w:r>
    </w:p>
    <w:p w14:paraId="3470633C">
      <w:pPr>
        <w:spacing w:line="600" w:lineRule="exact"/>
        <w:ind w:firstLine="643"/>
        <w:rPr>
          <w:rFonts w:hint="eastAsia"/>
          <w:lang w:val="en-US" w:eastAsia="zh-CN"/>
        </w:rPr>
      </w:pPr>
      <w:r>
        <w:rPr>
          <w:rFonts w:hint="eastAsia"/>
          <w:b/>
          <w:bCs/>
          <w:lang w:val="en-US" w:eastAsia="zh-CN"/>
        </w:rPr>
        <w:t>强化资金保障。</w:t>
      </w:r>
      <w:r>
        <w:rPr>
          <w:rFonts w:hint="eastAsia"/>
          <w:lang w:val="en-US" w:eastAsia="zh-CN"/>
        </w:rPr>
        <w:t>构建投融资主体多元化、投融资方式多样化、项目建设运营市场化的开发区建设投融资体制。创新金融服务产品，推动政银担合作，支持实体经济发展。加快集聚金融机构，鼓励符合条件的各类金融机构在开发区设立分支机构，支持科技金融等新型金融业发展。</w:t>
      </w:r>
    </w:p>
    <w:p w14:paraId="617CFA43">
      <w:pPr>
        <w:spacing w:line="600" w:lineRule="exact"/>
        <w:ind w:firstLine="618"/>
        <w:jc w:val="center"/>
        <w:outlineLvl w:val="1"/>
        <w:rPr>
          <w:rFonts w:ascii="Times New Roman" w:hAnsi="Times New Roman" w:eastAsia="楷体_GB2312"/>
          <w:b/>
          <w:spacing w:val="-6"/>
        </w:rPr>
      </w:pPr>
      <w:bookmarkStart w:id="112" w:name="_Toc2845"/>
      <w:bookmarkStart w:id="113" w:name="_Toc7304"/>
      <w:bookmarkStart w:id="114" w:name="_Toc16443"/>
      <w:r>
        <w:rPr>
          <w:rFonts w:hint="eastAsia" w:ascii="Times New Roman" w:hAnsi="Times New Roman" w:eastAsia="楷体_GB2312"/>
          <w:b/>
          <w:spacing w:val="-6"/>
        </w:rPr>
        <w:t>第四节  深化开发区改革</w:t>
      </w:r>
      <w:bookmarkEnd w:id="112"/>
      <w:bookmarkEnd w:id="113"/>
      <w:bookmarkEnd w:id="114"/>
    </w:p>
    <w:p w14:paraId="1299D248">
      <w:pPr>
        <w:spacing w:line="600" w:lineRule="exact"/>
        <w:ind w:firstLine="640"/>
        <w:rPr>
          <w:rFonts w:hint="eastAsia"/>
        </w:rPr>
      </w:pPr>
      <w:r>
        <w:rPr>
          <w:rFonts w:hint="eastAsia"/>
        </w:rPr>
        <w:t>以推动开发区高质量发展为核心，坚持问题导向和目标导向，持续深化“三化三制”改革</w:t>
      </w:r>
      <w:r>
        <w:rPr>
          <w:rFonts w:hint="eastAsia"/>
          <w:b/>
          <w:bCs/>
        </w:rPr>
        <w:t>。</w:t>
      </w:r>
      <w:r>
        <w:rPr>
          <w:rFonts w:hint="eastAsia"/>
        </w:rPr>
        <w:t>加快建设专业化、市场化、国际化的管理团队。通过系统性、整体性、协同性改革，破除制约开发区发展的体制机制障碍，激发内生动力和创新活力。</w:t>
      </w:r>
    </w:p>
    <w:p w14:paraId="3224C3E3">
      <w:pPr>
        <w:ind w:firstLine="643"/>
        <w:rPr>
          <w:rFonts w:ascii="Times New Roman" w:hAnsi="Times New Roman" w:cs="Times New Roman"/>
        </w:rPr>
      </w:pPr>
      <w:r>
        <w:rPr>
          <w:rFonts w:hint="eastAsia"/>
          <w:b/>
          <w:bCs/>
          <w:lang w:val="en-US" w:eastAsia="zh-CN"/>
        </w:rPr>
        <w:t>优化开发区管理职能。</w:t>
      </w:r>
      <w:r>
        <w:rPr>
          <w:rFonts w:ascii="Times New Roman" w:hAnsi="Times New Roman" w:cs="Times New Roman"/>
        </w:rPr>
        <w:t>落实好进一步深化开发区改革创新发展实施意见，</w:t>
      </w:r>
      <w:r>
        <w:rPr>
          <w:rFonts w:hint="eastAsia" w:ascii="Times New Roman" w:hAnsi="Times New Roman" w:cs="Times New Roman"/>
        </w:rPr>
        <w:t>强化</w:t>
      </w:r>
      <w:r>
        <w:rPr>
          <w:rFonts w:ascii="Times New Roman" w:hAnsi="Times New Roman" w:cs="Times New Roman"/>
        </w:rPr>
        <w:t>开发区聚焦经济建设和高质量发展的主责主业和功能定位。优化管理机构设置，</w:t>
      </w:r>
      <w:r>
        <w:rPr>
          <w:rFonts w:hint="eastAsia" w:ascii="Times New Roman" w:hAnsi="Times New Roman" w:cs="Times New Roman"/>
        </w:rPr>
        <w:t>进一步</w:t>
      </w:r>
      <w:r>
        <w:rPr>
          <w:rFonts w:ascii="Times New Roman" w:hAnsi="Times New Roman" w:cs="Times New Roman"/>
        </w:rPr>
        <w:t>实施</w:t>
      </w:r>
      <w:r>
        <w:rPr>
          <w:rFonts w:hint="eastAsia" w:ascii="Times New Roman" w:hAnsi="Times New Roman" w:cs="Times New Roman"/>
        </w:rPr>
        <w:t>“</w:t>
      </w:r>
      <w:r>
        <w:rPr>
          <w:rFonts w:ascii="Times New Roman" w:hAnsi="Times New Roman" w:cs="Times New Roman"/>
        </w:rPr>
        <w:t>大部制、扁平化</w:t>
      </w:r>
      <w:r>
        <w:rPr>
          <w:rFonts w:hint="eastAsia" w:ascii="Times New Roman" w:hAnsi="Times New Roman" w:cs="Times New Roman"/>
        </w:rPr>
        <w:t>”改革</w:t>
      </w:r>
      <w:r>
        <w:rPr>
          <w:rFonts w:ascii="Times New Roman" w:hAnsi="Times New Roman" w:cs="Times New Roman"/>
        </w:rPr>
        <w:t>，优化管委会管理架构和管理流程，</w:t>
      </w:r>
      <w:r>
        <w:rPr>
          <w:rFonts w:hint="eastAsia" w:ascii="Times New Roman" w:hAnsi="Times New Roman" w:cs="Times New Roman"/>
        </w:rPr>
        <w:t>灵活</w:t>
      </w:r>
      <w:r>
        <w:rPr>
          <w:rFonts w:ascii="Times New Roman" w:hAnsi="Times New Roman" w:cs="Times New Roman"/>
        </w:rPr>
        <w:t>探索</w:t>
      </w:r>
      <w:r>
        <w:rPr>
          <w:rFonts w:hint="eastAsia" w:ascii="Times New Roman" w:hAnsi="Times New Roman" w:cs="Times New Roman"/>
        </w:rPr>
        <w:t>“</w:t>
      </w:r>
      <w:r>
        <w:rPr>
          <w:rFonts w:ascii="Times New Roman" w:hAnsi="Times New Roman" w:cs="Times New Roman"/>
        </w:rPr>
        <w:t>公司化</w:t>
      </w:r>
      <w:r>
        <w:rPr>
          <w:rFonts w:hint="eastAsia" w:ascii="Times New Roman" w:hAnsi="Times New Roman" w:cs="Times New Roman"/>
        </w:rPr>
        <w:t>”“</w:t>
      </w:r>
      <w:r>
        <w:rPr>
          <w:rFonts w:ascii="Times New Roman" w:hAnsi="Times New Roman" w:cs="Times New Roman"/>
        </w:rPr>
        <w:t>项目制</w:t>
      </w:r>
      <w:r>
        <w:rPr>
          <w:rFonts w:hint="eastAsia" w:ascii="Times New Roman" w:hAnsi="Times New Roman" w:cs="Times New Roman"/>
        </w:rPr>
        <w:t>”</w:t>
      </w:r>
      <w:r>
        <w:rPr>
          <w:rFonts w:ascii="Times New Roman" w:hAnsi="Times New Roman" w:cs="Times New Roman"/>
        </w:rPr>
        <w:t>等管理形式</w:t>
      </w:r>
      <w:r>
        <w:rPr>
          <w:rFonts w:hint="eastAsia" w:ascii="Times New Roman" w:hAnsi="Times New Roman" w:cs="Times New Roman"/>
        </w:rPr>
        <w:t>，着重提升招商引资和项目建设的功能</w:t>
      </w:r>
      <w:r>
        <w:rPr>
          <w:rFonts w:ascii="Times New Roman" w:hAnsi="Times New Roman" w:cs="Times New Roman"/>
        </w:rPr>
        <w:t>。</w:t>
      </w:r>
    </w:p>
    <w:p w14:paraId="27216571">
      <w:pPr>
        <w:spacing w:line="600" w:lineRule="exact"/>
        <w:ind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lang w:val="en-US" w:eastAsia="zh-CN"/>
        </w:rPr>
        <w:t>完善开发区财税管理制度。</w:t>
      </w:r>
      <w:r>
        <w:rPr>
          <w:rFonts w:hint="eastAsia" w:ascii="方正仿宋_GB2312" w:hAnsi="方正仿宋_GB2312" w:eastAsia="方正仿宋_GB2312" w:cs="方正仿宋_GB2312"/>
        </w:rPr>
        <w:t>建立并完善阳城开发区财政独立核算体系，以一级财政、独立金库、自主收支、自求平衡为核心，适时启动实行一级财政体制。合理确定开发区财政收入增量部分县、开发区分成比例，开发区留成部分主要用于开发区相关工作事项。积极拓宽融资来源，争取中央预算内投资、地方政府专项债券和超长期特别国债等资金，设立开发区产业基金等。</w:t>
      </w:r>
    </w:p>
    <w:p w14:paraId="6E353689">
      <w:pPr>
        <w:ind w:firstLine="643"/>
        <w:rPr>
          <w:rFonts w:hint="eastAsia"/>
        </w:rPr>
      </w:pPr>
      <w:r>
        <w:rPr>
          <w:rFonts w:hint="eastAsia"/>
          <w:b/>
          <w:bCs/>
          <w:lang w:val="en-US" w:eastAsia="zh-CN"/>
        </w:rPr>
        <w:t>深化专业化管理。</w:t>
      </w:r>
      <w:r>
        <w:rPr>
          <w:rFonts w:hint="eastAsia"/>
        </w:rPr>
        <w:t>加强专业人才队伍建设，畅通县区人才交流渠道，激发开发区管理队伍活力。</w:t>
      </w:r>
      <w:r>
        <w:rPr>
          <w:rFonts w:hint="eastAsia" w:ascii="仿宋_GB2312" w:hAnsi="仿宋_GB2312" w:eastAsia="仿宋_GB2312" w:cs="仿宋_GB2312"/>
          <w:sz w:val="32"/>
          <w:szCs w:val="32"/>
        </w:rPr>
        <w:t>搭建能力提升平台。开设“开发区干部能力提升专班”，</w:t>
      </w:r>
      <w:r>
        <w:rPr>
          <w:rFonts w:hint="eastAsia" w:ascii="仿宋_GB2312" w:hAnsi="仿宋_GB2312" w:eastAsia="仿宋_GB2312" w:cs="仿宋_GB2312"/>
          <w:sz w:val="32"/>
          <w:szCs w:val="32"/>
          <w:lang w:eastAsia="zh-CN"/>
        </w:rPr>
        <w:t>根据开发区发展、干部职工短板弱项</w:t>
      </w:r>
      <w:r>
        <w:rPr>
          <w:rFonts w:hint="eastAsia" w:ascii="仿宋_GB2312" w:hAnsi="仿宋_GB2312" w:eastAsia="仿宋_GB2312" w:cs="仿宋_GB2312"/>
          <w:sz w:val="32"/>
          <w:szCs w:val="32"/>
        </w:rPr>
        <w:t>开展精准培训</w:t>
      </w:r>
      <w:r>
        <w:rPr>
          <w:rFonts w:hint="eastAsia" w:cs="仿宋_GB2312"/>
          <w:sz w:val="32"/>
          <w:szCs w:val="32"/>
          <w:lang w:eastAsia="zh-CN"/>
        </w:rPr>
        <w:t>，</w:t>
      </w:r>
      <w:r>
        <w:rPr>
          <w:rFonts w:hint="eastAsia" w:cs="仿宋_GB2312"/>
          <w:sz w:val="32"/>
          <w:szCs w:val="32"/>
          <w:lang w:val="en-US" w:eastAsia="zh-CN"/>
        </w:rPr>
        <w:t>持续提升干部队伍专业化能力</w:t>
      </w:r>
      <w:r>
        <w:rPr>
          <w:rFonts w:hint="eastAsia" w:ascii="仿宋_GB2312" w:hAnsi="仿宋_GB2312" w:eastAsia="仿宋_GB2312" w:cs="仿宋_GB2312"/>
          <w:sz w:val="32"/>
          <w:szCs w:val="32"/>
        </w:rPr>
        <w:t>。</w:t>
      </w:r>
    </w:p>
    <w:p w14:paraId="6FF5AF6D">
      <w:pPr>
        <w:ind w:firstLine="643"/>
        <w:rPr>
          <w:rFonts w:hint="default"/>
          <w:lang w:val="en-US" w:eastAsia="zh-CN"/>
        </w:rPr>
      </w:pPr>
      <w:r>
        <w:rPr>
          <w:rFonts w:hint="eastAsia"/>
          <w:b/>
          <w:bCs/>
          <w:lang w:val="en-US" w:eastAsia="zh-CN"/>
        </w:rPr>
        <w:t>推进市场化运作。</w:t>
      </w:r>
      <w:r>
        <w:rPr>
          <w:rFonts w:hint="default"/>
          <w:lang w:val="en-US" w:eastAsia="zh-CN"/>
        </w:rPr>
        <w:t>创新</w:t>
      </w:r>
      <w:r>
        <w:rPr>
          <w:rFonts w:hint="eastAsia"/>
          <w:lang w:val="en-US" w:eastAsia="zh-CN"/>
        </w:rPr>
        <w:t>“</w:t>
      </w:r>
      <w:r>
        <w:rPr>
          <w:rFonts w:hint="default"/>
          <w:lang w:val="en-US" w:eastAsia="zh-CN"/>
        </w:rPr>
        <w:t>小管委会+大平台公司</w:t>
      </w:r>
      <w:r>
        <w:rPr>
          <w:rFonts w:hint="eastAsia"/>
          <w:lang w:val="en-US" w:eastAsia="zh-CN"/>
        </w:rPr>
        <w:t>”</w:t>
      </w:r>
      <w:r>
        <w:rPr>
          <w:rFonts w:hint="default"/>
          <w:lang w:val="en-US" w:eastAsia="zh-CN"/>
        </w:rPr>
        <w:t>的运行模式。推动平台公司市场化转型，稳妥推进改革重组，优化业务布局和资源配置，打造园区运营管理和项目建设实施平台。着力提升平台公司资产运作能力，拓展产业运营、金融投资等能力。</w:t>
      </w:r>
    </w:p>
    <w:p w14:paraId="698B3C53">
      <w:pPr>
        <w:ind w:firstLine="643"/>
        <w:rPr>
          <w:rFonts w:hint="eastAsia"/>
        </w:rPr>
      </w:pPr>
      <w:r>
        <w:rPr>
          <w:rFonts w:hint="eastAsia"/>
          <w:b/>
          <w:bCs/>
          <w:lang w:val="en-US" w:eastAsia="zh-CN"/>
        </w:rPr>
        <w:t>提升国际化水平。</w:t>
      </w:r>
      <w:r>
        <w:rPr>
          <w:rFonts w:hint="eastAsia"/>
        </w:rPr>
        <w:t>积极</w:t>
      </w:r>
      <w:r>
        <w:rPr>
          <w:rFonts w:hint="eastAsia"/>
          <w:lang w:val="en-US" w:eastAsia="zh-CN"/>
        </w:rPr>
        <w:t>对接国</w:t>
      </w:r>
      <w:r>
        <w:rPr>
          <w:rFonts w:hint="eastAsia"/>
        </w:rPr>
        <w:t>内外企业、科研机构，开展产业对接、技术交流、人才培养等活动；搭建国际化平台，支持区内企业参加国际展会、研讨会、</w:t>
      </w:r>
      <w:bookmarkStart w:id="129" w:name="_GoBack"/>
      <w:bookmarkEnd w:id="129"/>
      <w:r>
        <w:rPr>
          <w:rFonts w:hint="eastAsia"/>
        </w:rPr>
        <w:t>招商活动等，拓展市场，提升企业竞争力；优化营商环境，吸引优质企业入驻。</w:t>
      </w:r>
    </w:p>
    <w:p w14:paraId="7A2C6C66">
      <w:pPr>
        <w:ind w:firstLine="643"/>
        <w:rPr>
          <w:rFonts w:hint="eastAsia"/>
        </w:rPr>
      </w:pPr>
      <w:r>
        <w:rPr>
          <w:rFonts w:hint="eastAsia"/>
          <w:b/>
          <w:bCs/>
          <w:lang w:val="en-US" w:eastAsia="zh-CN"/>
        </w:rPr>
        <w:t>落实领导班子任期制。</w:t>
      </w:r>
      <w:r>
        <w:rPr>
          <w:rFonts w:hint="eastAsia"/>
        </w:rPr>
        <w:t>将五年发展目标任务、班子任期目标任务及年度目标任务进行分解，责任到人，明确班子成员工作任务和考核标准，强化领导班子责任意识和担当精神。</w:t>
      </w:r>
    </w:p>
    <w:p w14:paraId="15477321">
      <w:pPr>
        <w:ind w:firstLine="643"/>
        <w:rPr>
          <w:rFonts w:hint="eastAsia"/>
        </w:rPr>
      </w:pPr>
      <w:r>
        <w:rPr>
          <w:rFonts w:hint="eastAsia"/>
          <w:b/>
          <w:bCs/>
          <w:lang w:val="en-US" w:eastAsia="zh-CN"/>
        </w:rPr>
        <w:t>深化全员岗位聘任制。</w:t>
      </w:r>
      <w:r>
        <w:rPr>
          <w:rFonts w:hint="eastAsia"/>
        </w:rPr>
        <w:t>加大竞聘强度，科级干部和一般干部全部实行竞聘上岗，打破身份和资历限制，根据岗位需求，向社会公开竞聘，实现人岗相适，建立“能进能出、能上能下”的流动机制。</w:t>
      </w:r>
    </w:p>
    <w:p w14:paraId="71186604">
      <w:pPr>
        <w:ind w:firstLine="643"/>
        <w:rPr>
          <w:rFonts w:hint="eastAsia"/>
        </w:rPr>
      </w:pPr>
      <w:r>
        <w:rPr>
          <w:rFonts w:hint="eastAsia"/>
          <w:b/>
          <w:bCs/>
          <w:lang w:val="en-US" w:eastAsia="zh-CN"/>
        </w:rPr>
        <w:t>健全绩效工资制。</w:t>
      </w:r>
      <w:r>
        <w:rPr>
          <w:rFonts w:hint="eastAsia"/>
        </w:rPr>
        <w:t>完善以实绩为导向的绩效指标和绩效考评体系，树立以实绩论英雄的鲜明导向。将个人绩效与部室绩效、开发区整体发展绩效强挂钩。强化考核结果运用</w:t>
      </w:r>
      <w:r>
        <w:rPr>
          <w:rFonts w:hint="eastAsia"/>
          <w:lang w:eastAsia="zh-CN"/>
        </w:rPr>
        <w:t>，</w:t>
      </w:r>
      <w:r>
        <w:rPr>
          <w:rFonts w:hint="eastAsia"/>
        </w:rPr>
        <w:t>考核结果与绩效工资、评优评先、干部推荐使用、职称聘用“四挂钩”。</w:t>
      </w:r>
    </w:p>
    <w:p w14:paraId="6A4F4357">
      <w:pPr>
        <w:ind w:firstLine="643"/>
        <w:rPr>
          <w:rFonts w:hint="eastAsia"/>
        </w:rPr>
      </w:pPr>
      <w:r>
        <w:rPr>
          <w:rFonts w:hint="eastAsia"/>
          <w:b/>
          <w:bCs/>
          <w:lang w:val="en-US" w:eastAsia="zh-CN"/>
        </w:rPr>
        <w:t>推进管运分离。</w:t>
      </w:r>
      <w:r>
        <w:rPr>
          <w:rFonts w:hint="eastAsia"/>
        </w:rPr>
        <w:t>完善“管委会+公司”管运分离机制，进一步明确管委会的经济管理、行政审批、公共服务、考核评价职能，以及开投公司的园区运营、招商引资、资本运作等市场职能。推动开投公司按照现代企业制度运营，增强自主经营、自负盈亏、自我发展能力；鼓励开投公司通过参与基础设施建设、园区运营、产业投资、招商引资等多元工作以市场化手段提升资源配置效率和经济效益；建立市场化的招商机制，吸引优质项目落地，提高招商引资质效。到2028年公司完全走向市场化运行，自负盈亏。</w:t>
      </w:r>
    </w:p>
    <w:p w14:paraId="5E36FEB5">
      <w:pPr>
        <w:spacing w:line="600" w:lineRule="exact"/>
        <w:ind w:firstLine="618"/>
        <w:jc w:val="center"/>
        <w:outlineLvl w:val="1"/>
        <w:rPr>
          <w:rFonts w:ascii="Times New Roman" w:hAnsi="Times New Roman" w:eastAsia="楷体_GB2312"/>
          <w:b/>
          <w:spacing w:val="-6"/>
        </w:rPr>
      </w:pPr>
      <w:bookmarkStart w:id="115" w:name="_Toc5973"/>
      <w:bookmarkStart w:id="116" w:name="_Toc9334"/>
      <w:bookmarkStart w:id="117" w:name="_Toc3012"/>
      <w:r>
        <w:rPr>
          <w:rFonts w:hint="eastAsia" w:ascii="Times New Roman" w:hAnsi="Times New Roman" w:eastAsia="楷体_GB2312"/>
          <w:b/>
          <w:spacing w:val="-6"/>
        </w:rPr>
        <w:t>第五节  打造一流营商环境</w:t>
      </w:r>
      <w:bookmarkEnd w:id="115"/>
      <w:bookmarkEnd w:id="116"/>
      <w:bookmarkEnd w:id="117"/>
    </w:p>
    <w:p w14:paraId="7ED6607C">
      <w:pPr>
        <w:ind w:firstLine="643"/>
        <w:rPr>
          <w:rFonts w:hint="eastAsia"/>
        </w:rPr>
      </w:pPr>
      <w:r>
        <w:rPr>
          <w:rFonts w:hint="eastAsia"/>
          <w:b/>
          <w:bCs/>
        </w:rPr>
        <w:t>构筑营商环境新高地。</w:t>
      </w:r>
      <w:r>
        <w:rPr>
          <w:rFonts w:hint="eastAsia"/>
        </w:rPr>
        <w:t>纵深推进“承诺制+标准地+全代办”改革，完善生产要素配置，提升为企服务成效。完善承权运行配套机制，优化简化审批流程；建立项目建设工作专班和审批全流程可追溯机制，将“一本制”“全代办”和环境容量、能耗指标争取、办理时限等纳入考核追溯范畴；持续增强执行意识、效能意识，制定涉企需求、助企解难清单，常态化开展面对面服务企业。</w:t>
      </w:r>
    </w:p>
    <w:p w14:paraId="0140631F">
      <w:pPr>
        <w:ind w:firstLine="643"/>
        <w:rPr>
          <w:rFonts w:hint="eastAsia"/>
        </w:rPr>
      </w:pPr>
      <w:r>
        <w:rPr>
          <w:rFonts w:hint="eastAsia"/>
          <w:b/>
          <w:bCs/>
        </w:rPr>
        <w:t>打造高效透明政务环境。</w:t>
      </w:r>
      <w:r>
        <w:rPr>
          <w:rFonts w:hint="eastAsia"/>
        </w:rPr>
        <w:t>完善审批事项负面清单管理制度，推行容缺受理机制。拓展“高效办成一件事”覆盖范围，加强跨部门协同，优化办事流程，运用人工智能创新服务场景，提高办事效率。升级政务服务标准，推动线下“只进一扇门、一窗通办”、线上“一网通办、一次不用跑”。建立健全“无事不扰”清单，创新监管模式，优化监管机制。动态更新涉企收费清单，减低企业制度成本。强化政企联动与区域协同，‌建立常态化政企沟通机制。</w:t>
      </w:r>
    </w:p>
    <w:p w14:paraId="57E45B4E">
      <w:pPr>
        <w:ind w:firstLine="643"/>
        <w:rPr>
          <w:rFonts w:hint="eastAsia"/>
        </w:rPr>
      </w:pPr>
      <w:r>
        <w:rPr>
          <w:rFonts w:hint="eastAsia"/>
          <w:b/>
          <w:bCs/>
          <w:lang w:val="en-US" w:eastAsia="zh-CN"/>
        </w:rPr>
        <w:t>提升政务服务效能。</w:t>
      </w:r>
      <w:r>
        <w:rPr>
          <w:rFonts w:hint="eastAsia"/>
          <w:lang w:val="en-US" w:eastAsia="zh-CN"/>
        </w:rPr>
        <w:t>实施项目“全生命周期”服务，从项目签约、手续审批、拿地开工到竣工投产，提供全周期全方位服务，形成全方位论证、全链条把关、全流程服务、全周期陪伴服务机制，助推项目早落地投产。</w:t>
      </w:r>
      <w:r>
        <w:rPr>
          <w:rFonts w:hint="default"/>
          <w:lang w:eastAsia="zh-CN"/>
        </w:rPr>
        <w:t>在提高审批管理科学化、高效化上下功夫，在打通痛点堵点上出实招，</w:t>
      </w:r>
      <w:r>
        <w:rPr>
          <w:rFonts w:hint="default"/>
          <w:lang w:val="en-US" w:eastAsia="zh-CN"/>
        </w:rPr>
        <w:t>推进全链条优化审批、全过程公正监管、全周期提升服务，实现企业办事无忧、政府无事不扰，</w:t>
      </w:r>
      <w:r>
        <w:rPr>
          <w:rFonts w:hint="default"/>
        </w:rPr>
        <w:t>加快落地“五有”套餐，全面提升政务服务标准化便利化水平</w:t>
      </w:r>
      <w:r>
        <w:rPr>
          <w:rFonts w:hint="default"/>
          <w:lang w:eastAsia="zh-CN"/>
        </w:rPr>
        <w:t>。</w:t>
      </w:r>
      <w:r>
        <w:rPr>
          <w:rFonts w:hint="eastAsia"/>
          <w:lang w:val="en-US" w:eastAsia="zh-CN"/>
        </w:rPr>
        <w:t>推动“</w:t>
      </w:r>
      <w:r>
        <w:rPr>
          <w:rFonts w:hint="default"/>
          <w:lang w:val="en-US" w:eastAsia="zh-CN"/>
        </w:rPr>
        <w:t>承诺制</w:t>
      </w:r>
      <w:r>
        <w:rPr>
          <w:rFonts w:hint="eastAsia"/>
          <w:lang w:val="en-US" w:eastAsia="zh-CN"/>
        </w:rPr>
        <w:t>”</w:t>
      </w:r>
      <w:r>
        <w:rPr>
          <w:rFonts w:hint="default"/>
          <w:lang w:val="en-US" w:eastAsia="zh-CN"/>
        </w:rPr>
        <w:t>事项100%全流程网上办理</w:t>
      </w:r>
      <w:r>
        <w:rPr>
          <w:rFonts w:hint="eastAsia"/>
          <w:lang w:val="en-US" w:eastAsia="zh-CN"/>
        </w:rPr>
        <w:t>，提升信息化管理水平</w:t>
      </w:r>
      <w:r>
        <w:rPr>
          <w:rFonts w:hint="default"/>
          <w:lang w:val="en-US" w:eastAsia="zh-CN"/>
        </w:rPr>
        <w:t>。</w:t>
      </w:r>
    </w:p>
    <w:bookmarkEnd w:id="59"/>
    <w:bookmarkEnd w:id="60"/>
    <w:bookmarkEnd w:id="61"/>
    <w:bookmarkEnd w:id="62"/>
    <w:bookmarkEnd w:id="63"/>
    <w:bookmarkEnd w:id="64"/>
    <w:bookmarkEnd w:id="65"/>
    <w:bookmarkEnd w:id="66"/>
    <w:bookmarkEnd w:id="67"/>
    <w:bookmarkEnd w:id="68"/>
    <w:p w14:paraId="2BEC2A2D">
      <w:pPr>
        <w:spacing w:line="600" w:lineRule="exact"/>
        <w:ind w:firstLine="618"/>
        <w:jc w:val="center"/>
        <w:outlineLvl w:val="1"/>
        <w:rPr>
          <w:rFonts w:ascii="Times New Roman" w:hAnsi="Times New Roman" w:eastAsia="楷体_GB2312"/>
          <w:b/>
          <w:spacing w:val="-6"/>
        </w:rPr>
      </w:pPr>
      <w:bookmarkStart w:id="118" w:name="_Toc1414"/>
      <w:bookmarkStart w:id="119" w:name="_Toc17565"/>
      <w:bookmarkStart w:id="120" w:name="_Toc10207"/>
      <w:bookmarkStart w:id="121" w:name="_Toc19716"/>
      <w:bookmarkStart w:id="122" w:name="_Toc1433"/>
      <w:bookmarkStart w:id="123" w:name="_Toc23147"/>
      <w:bookmarkStart w:id="124" w:name="_Toc443377922"/>
      <w:r>
        <w:rPr>
          <w:rFonts w:hint="eastAsia" w:ascii="Times New Roman" w:hAnsi="Times New Roman" w:eastAsia="楷体_GB2312"/>
          <w:b/>
          <w:spacing w:val="-6"/>
        </w:rPr>
        <w:t>第六节  提高安全保障能力</w:t>
      </w:r>
      <w:bookmarkEnd w:id="118"/>
      <w:bookmarkEnd w:id="119"/>
      <w:bookmarkEnd w:id="120"/>
      <w:bookmarkEnd w:id="121"/>
      <w:bookmarkEnd w:id="122"/>
      <w:bookmarkEnd w:id="123"/>
    </w:p>
    <w:p w14:paraId="1E1ABD0B">
      <w:pPr>
        <w:numPr>
          <w:ilvl w:val="255"/>
          <w:numId w:val="0"/>
        </w:numPr>
        <w:ind w:firstLine="643" w:firstLineChars="200"/>
        <w:rPr>
          <w:rFonts w:hint="eastAsia"/>
        </w:rPr>
      </w:pPr>
      <w:r>
        <w:rPr>
          <w:rFonts w:hint="eastAsia" w:ascii="方正仿宋_GB2312" w:hAnsi="方正仿宋_GB2312" w:eastAsia="方正仿宋_GB2312" w:cs="方正仿宋_GB2312"/>
          <w:b/>
          <w:bCs/>
        </w:rPr>
        <w:t>抓好生产安全。</w:t>
      </w:r>
      <w:bookmarkEnd w:id="124"/>
      <w:r>
        <w:rPr>
          <w:rFonts w:hint="eastAsia"/>
        </w:rPr>
        <w:t>强化和落实主体责任</w:t>
      </w:r>
      <w:r>
        <w:rPr>
          <w:rFonts w:hint="eastAsia"/>
          <w:lang w:eastAsia="zh-CN"/>
        </w:rPr>
        <w:t>，</w:t>
      </w:r>
      <w:r>
        <w:rPr>
          <w:rFonts w:hint="eastAsia"/>
          <w:lang w:val="en-US" w:eastAsia="zh-CN"/>
        </w:rPr>
        <w:t>深入推动</w:t>
      </w:r>
      <w:r>
        <w:rPr>
          <w:rFonts w:hint="eastAsia"/>
        </w:rPr>
        <w:t>“三管三必须”</w:t>
      </w:r>
      <w:r>
        <w:rPr>
          <w:rFonts w:hint="eastAsia"/>
          <w:lang w:val="en-US" w:eastAsia="zh-CN"/>
        </w:rPr>
        <w:t>工作，</w:t>
      </w:r>
      <w:r>
        <w:rPr>
          <w:rFonts w:hint="eastAsia"/>
        </w:rPr>
        <w:t>管行业必须管安全、管业务必须管安全、管生产经营必须管安全</w:t>
      </w:r>
      <w:r>
        <w:rPr>
          <w:rFonts w:hint="eastAsia"/>
          <w:lang w:eastAsia="zh-CN"/>
        </w:rPr>
        <w:t>。</w:t>
      </w:r>
      <w:r>
        <w:rPr>
          <w:rFonts w:hint="eastAsia"/>
        </w:rPr>
        <w:t>落实“1+3+N+1”安全管理模式，建立健全部室统筹、园区负责、企业主责的管理监督机制。聚焦化工、建筑工地等重点领域，建立常态化隐患排查整改制度，强化联合执法，坚决防范和遏制较大以上安全生产责任事故发生。完善和落实安全生产责任制，加强安全生产监管执法，突出抓好隐患排查和治理</w:t>
      </w:r>
      <w:r>
        <w:rPr>
          <w:rFonts w:hint="eastAsia"/>
          <w:lang w:eastAsia="zh-CN"/>
        </w:rPr>
        <w:t>。</w:t>
      </w:r>
      <w:r>
        <w:rPr>
          <w:rFonts w:hint="eastAsia"/>
        </w:rPr>
        <w:t>加强安全宣传、教育和培训，推进安全生产管理信息化平台建设，构建安全生产社会化服务体系。</w:t>
      </w:r>
    </w:p>
    <w:p w14:paraId="02D3076C">
      <w:pPr>
        <w:ind w:firstLine="643"/>
        <w:rPr>
          <w:rFonts w:hint="eastAsia"/>
        </w:rPr>
      </w:pPr>
      <w:bookmarkStart w:id="125" w:name="_Toc443377921"/>
      <w:r>
        <w:rPr>
          <w:rFonts w:hint="eastAsia" w:ascii="Times New Roman" w:hAnsi="Times New Roman"/>
          <w:b/>
          <w:bCs/>
        </w:rPr>
        <w:t>完善应急管理体系</w:t>
      </w:r>
      <w:r>
        <w:rPr>
          <w:rFonts w:hint="eastAsia" w:ascii="Times New Roman" w:hAnsi="Times New Roman"/>
        </w:rPr>
        <w:t>。构建统一指挥、专常兼备、反应灵敏、上下联动的应急管理体制，加快推进应急管理体系和能力现代化建设，提高防灾减灾抗灾救灾能力。</w:t>
      </w:r>
      <w:r>
        <w:rPr>
          <w:rFonts w:hint="eastAsia"/>
        </w:rPr>
        <w:t>完善应急管理体系，提升地质灾害、自然灾害</w:t>
      </w:r>
      <w:r>
        <w:rPr>
          <w:rFonts w:hint="eastAsia"/>
          <w:lang w:val="en-US" w:eastAsia="zh-CN"/>
        </w:rPr>
        <w:t>等</w:t>
      </w:r>
      <w:r>
        <w:rPr>
          <w:rFonts w:hint="eastAsia"/>
        </w:rPr>
        <w:t>防御工程标准。</w:t>
      </w:r>
    </w:p>
    <w:bookmarkEnd w:id="125"/>
    <w:p w14:paraId="79C31FA9">
      <w:pPr>
        <w:spacing w:line="600" w:lineRule="exact"/>
        <w:ind w:firstLine="618"/>
        <w:jc w:val="center"/>
        <w:outlineLvl w:val="1"/>
        <w:rPr>
          <w:rFonts w:ascii="Times New Roman" w:hAnsi="Times New Roman" w:eastAsia="楷体_GB2312"/>
          <w:b/>
          <w:spacing w:val="-6"/>
        </w:rPr>
      </w:pPr>
      <w:bookmarkStart w:id="126" w:name="_Toc1823"/>
      <w:bookmarkStart w:id="127" w:name="_Toc12119"/>
      <w:bookmarkStart w:id="128" w:name="_Toc28826"/>
      <w:r>
        <w:rPr>
          <w:rFonts w:hint="eastAsia" w:ascii="Times New Roman" w:hAnsi="Times New Roman" w:eastAsia="楷体_GB2312"/>
          <w:b/>
          <w:spacing w:val="-6"/>
        </w:rPr>
        <w:t>第七节  加强规划管理</w:t>
      </w:r>
      <w:bookmarkEnd w:id="126"/>
      <w:bookmarkEnd w:id="127"/>
      <w:bookmarkEnd w:id="128"/>
    </w:p>
    <w:p w14:paraId="4DA29459">
      <w:pPr>
        <w:widowControl/>
        <w:ind w:firstLine="640"/>
        <w:jc w:val="left"/>
        <w:rPr>
          <w:rFonts w:hint="eastAsia"/>
        </w:rPr>
      </w:pPr>
      <w:r>
        <w:rPr>
          <w:b/>
          <w:bCs/>
        </w:rPr>
        <w:t>强化统筹协调。</w:t>
      </w:r>
      <w:r>
        <w:t>进一步建立健全规划实施机制，围绕</w:t>
      </w:r>
      <w:r>
        <w:rPr>
          <w:rFonts w:hint="eastAsia"/>
          <w:lang w:val="en-US" w:eastAsia="zh-CN"/>
        </w:rPr>
        <w:t>规划</w:t>
      </w:r>
      <w:r>
        <w:t>目标任务，逐项分解任务分工、压实主体责任，建立健全跨部门协调推进机制，确保规划体系目标一致、任务协同、措施配套。做好规划与省市“十</w:t>
      </w:r>
      <w:r>
        <w:rPr>
          <w:rFonts w:hint="eastAsia"/>
        </w:rPr>
        <w:t>五</w:t>
      </w:r>
      <w:r>
        <w:t>五”规划及各专项规划之间的衔接，确保时序安排和空间配置协调有序，定位清晰、功能互补、统一衔接的规划体系。</w:t>
      </w:r>
    </w:p>
    <w:p w14:paraId="71220135">
      <w:pPr>
        <w:widowControl/>
        <w:ind w:firstLine="640"/>
        <w:jc w:val="left"/>
        <w:rPr>
          <w:rFonts w:hint="eastAsia"/>
        </w:rPr>
      </w:pPr>
      <w:r>
        <w:rPr>
          <w:b/>
          <w:bCs/>
        </w:rPr>
        <w:t>强化项目支撑</w:t>
      </w:r>
      <w:r>
        <w:rPr>
          <w:rFonts w:hint="eastAsia"/>
          <w:b/>
          <w:bCs/>
          <w:lang w:eastAsia="zh-CN"/>
        </w:rPr>
        <w:t>。</w:t>
      </w:r>
      <w:r>
        <w:t>以实施项目带动贯穿于经济社会发展的全过程，促进要素集聚、服务提升、作风改进、工作落实。持续深化项目谋划储备，按照“规划有安排、投资有必要、资金有来源、成本可管控、运营可持续”原则，做深做实前期工作，推动形成“谋划一批、储备一批、开工一批、投产一批”的良性循环。</w:t>
      </w:r>
    </w:p>
    <w:p w14:paraId="40953727">
      <w:pPr>
        <w:ind w:firstLine="640"/>
        <w:rPr>
          <w:rFonts w:hint="eastAsia"/>
        </w:rPr>
      </w:pPr>
      <w:r>
        <w:rPr>
          <w:b/>
          <w:bCs/>
        </w:rPr>
        <w:t>实施监督评估</w:t>
      </w:r>
      <w:r>
        <w:rPr>
          <w:rFonts w:hint="eastAsia"/>
          <w:b/>
          <w:bCs/>
          <w:lang w:eastAsia="zh-CN"/>
        </w:rPr>
        <w:t>。</w:t>
      </w:r>
      <w:r>
        <w:t>将约束性指标和各项任务分解到年度，纳入年度计划。实施规划中期评估</w:t>
      </w:r>
      <w:r>
        <w:rPr>
          <w:rFonts w:hint="eastAsia"/>
          <w:lang w:eastAsia="zh-CN"/>
        </w:rPr>
        <w:t>，</w:t>
      </w:r>
      <w:r>
        <w:t>检查落实情况，评价实施效果，分析实施中存在的问题，提出相应的对策建议。加强</w:t>
      </w:r>
      <w:r>
        <w:rPr>
          <w:rFonts w:hint="eastAsia"/>
          <w:lang w:val="en-US" w:eastAsia="zh-CN"/>
        </w:rPr>
        <w:t>规划</w:t>
      </w:r>
      <w:r>
        <w:t>宣传和展示，推进规划实施的信息公开，营造关心规划、自觉参与规划实施的良好氛围。提高规划实施的民主化和透明度，增进市场主体、民众、社会组织对规划方针政策的认知，促进企业积极参与规划的实施。</w:t>
      </w:r>
    </w:p>
    <w:sectPr>
      <w:footerReference r:id="rId12"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embedRegular r:id="rId1" w:fontKey="{F18CF5F3-61C4-4C6E-86EE-BD8F8FDD969D}"/>
  </w:font>
  <w:font w:name="宋体">
    <w:panose1 w:val="02010600030101010101"/>
    <w:charset w:val="7A"/>
    <w:family w:val="auto"/>
    <w:pitch w:val="default"/>
    <w:sig w:usb0="00000203" w:usb1="288F0000" w:usb2="00000006" w:usb3="00000000" w:csb0="00040001" w:csb1="00000000"/>
    <w:embedRegular r:id="rId2" w:fontKey="{4B34AB72-7D43-44DD-B85F-5176CAE3072F}"/>
  </w:font>
  <w:font w:name="Wingdings">
    <w:panose1 w:val="05000000000000000000"/>
    <w:charset w:val="02"/>
    <w:family w:val="auto"/>
    <w:pitch w:val="default"/>
    <w:sig w:usb0="00000000" w:usb1="00000000" w:usb2="00000000" w:usb3="00000000" w:csb0="80000000" w:csb1="00000000"/>
    <w:embedRegular r:id="rId3" w:fontKey="{259F2A97-76E4-4A6E-A191-13EB682E8F4F}"/>
  </w:font>
  <w:font w:name="Arial">
    <w:panose1 w:val="020B0604020202020204"/>
    <w:charset w:val="01"/>
    <w:family w:val="swiss"/>
    <w:pitch w:val="default"/>
    <w:sig w:usb0="E0002EFF" w:usb1="C000785B" w:usb2="00000009" w:usb3="00000000" w:csb0="400001FF" w:csb1="FFFF0000"/>
    <w:embedRegular r:id="rId4" w:fontKey="{89B8C39B-6A49-4EFD-887C-BA1BCA76DD5C}"/>
  </w:font>
  <w:font w:name="黑体">
    <w:panose1 w:val="02010609060101010101"/>
    <w:charset w:val="86"/>
    <w:family w:val="auto"/>
    <w:pitch w:val="default"/>
    <w:sig w:usb0="800002BF" w:usb1="38CF7CFA" w:usb2="00000016" w:usb3="00000000" w:csb0="00040001" w:csb1="00000000"/>
    <w:embedRegular r:id="rId5" w:fontKey="{DC74A199-9D96-48D2-A51F-9135B5D19211}"/>
  </w:font>
  <w:font w:name="Courier New">
    <w:panose1 w:val="02070309020205020404"/>
    <w:charset w:val="01"/>
    <w:family w:val="modern"/>
    <w:pitch w:val="default"/>
    <w:sig w:usb0="E0002EFF" w:usb1="C0007843" w:usb2="00000009" w:usb3="00000000" w:csb0="400001FF" w:csb1="FFFF0000"/>
    <w:embedRegular r:id="rId6" w:fontKey="{441E0563-EAD9-4DEF-BFA9-858B66AC1CEB}"/>
  </w:font>
  <w:font w:name="Symbol">
    <w:panose1 w:val="05050102010706020507"/>
    <w:charset w:val="02"/>
    <w:family w:val="roman"/>
    <w:pitch w:val="default"/>
    <w:sig w:usb0="00000000" w:usb1="00000000" w:usb2="00000000" w:usb3="00000000" w:csb0="80000000" w:csb1="00000000"/>
    <w:embedRegular r:id="rId7" w:fontKey="{8D946892-D064-43D1-9FF4-6034DEE16FBF}"/>
  </w:font>
  <w:font w:name="Calibri">
    <w:panose1 w:val="020F0502020204030204"/>
    <w:charset w:val="00"/>
    <w:family w:val="swiss"/>
    <w:pitch w:val="default"/>
    <w:sig w:usb0="E4002EFF" w:usb1="C000247B" w:usb2="00000009" w:usb3="00000000" w:csb0="200001FF" w:csb1="00000000"/>
    <w:embedRegular r:id="rId8" w:fontKey="{7DB3DE7F-02DE-4ED8-B5F9-F99A8091EA19}"/>
  </w:font>
  <w:font w:name="仿宋_GB2312">
    <w:altName w:val="仿宋"/>
    <w:panose1 w:val="00000000000000000000"/>
    <w:charset w:val="86"/>
    <w:family w:val="auto"/>
    <w:pitch w:val="default"/>
    <w:sig w:usb0="00000000" w:usb1="00000000" w:usb2="00000000" w:usb3="00000000" w:csb0="00040000" w:csb1="00000000"/>
    <w:embedRegular r:id="rId9" w:fontKey="{F86D4371-89E5-4FDE-A16B-BF96B0304506}"/>
  </w:font>
  <w:font w:name="仿宋">
    <w:panose1 w:val="02010609060101010101"/>
    <w:charset w:val="86"/>
    <w:family w:val="modern"/>
    <w:pitch w:val="default"/>
    <w:sig w:usb0="800002BF" w:usb1="38CF7CFA" w:usb2="00000016" w:usb3="00000000" w:csb0="00040001" w:csb1="00000000"/>
    <w:embedRegular r:id="rId10" w:fontKey="{0CBD9D82-3CE8-4834-B2FA-55FF466DF71E}"/>
  </w:font>
  <w:font w:name="楷体">
    <w:panose1 w:val="02010609060101010101"/>
    <w:charset w:val="86"/>
    <w:family w:val="modern"/>
    <w:pitch w:val="default"/>
    <w:sig w:usb0="800002BF" w:usb1="38CF7CFA" w:usb2="00000016" w:usb3="00000000" w:csb0="00040001" w:csb1="00000000"/>
    <w:embedRegular r:id="rId11" w:fontKey="{8A569CB2-1BA7-431C-9C73-D2E8FE2A2493}"/>
  </w:font>
  <w:font w:name="Calibri Light">
    <w:panose1 w:val="020F0302020204030204"/>
    <w:charset w:val="00"/>
    <w:family w:val="swiss"/>
    <w:pitch w:val="default"/>
    <w:sig w:usb0="E4002EFF" w:usb1="C000247B" w:usb2="00000009" w:usb3="00000000" w:csb0="200001FF" w:csb1="00000000"/>
    <w:embedRegular r:id="rId12" w:fontKey="{5B12F3A0-946C-40AD-AD5D-C1533DD493BB}"/>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embedRegular r:id="rId13" w:fontKey="{534F3F3A-4C28-4567-AC36-E6CDA7364ED0}"/>
  </w:font>
  <w:font w:name="方正仿宋_GB2312">
    <w:panose1 w:val="02000000000000000000"/>
    <w:charset w:val="86"/>
    <w:family w:val="auto"/>
    <w:pitch w:val="default"/>
    <w:sig w:usb0="A00002BF" w:usb1="184F6CFA" w:usb2="00000012" w:usb3="00000000" w:csb0="00040001" w:csb1="00000000"/>
    <w:embedRegular r:id="rId14" w:fontKey="{CA4F6F7D-9712-482A-A4AE-106091407459}"/>
  </w:font>
  <w:font w:name="微软雅黑">
    <w:panose1 w:val="020B0503020204020204"/>
    <w:charset w:val="86"/>
    <w:family w:val="swiss"/>
    <w:pitch w:val="default"/>
    <w:sig w:usb0="80000287" w:usb1="2ACF3C50" w:usb2="00000016" w:usb3="00000000" w:csb0="0004001F" w:csb1="00000000"/>
    <w:embedRegular r:id="rId15" w:fontKey="{C487610F-40F3-4A6A-9064-CD0BE175B512}"/>
  </w:font>
  <w:font w:name="??_GB2312">
    <w:altName w:val="Courier New"/>
    <w:panose1 w:val="00000000000000000000"/>
    <w:charset w:val="00"/>
    <w:family w:val="auto"/>
    <w:pitch w:val="default"/>
    <w:sig w:usb0="00000000" w:usb1="00000000" w:usb2="00000000" w:usb3="00000000" w:csb0="00000001" w:csb1="00000000"/>
  </w:font>
  <w:font w:name="方正楷体_GB2312">
    <w:panose1 w:val="02000000000000000000"/>
    <w:charset w:val="86"/>
    <w:family w:val="auto"/>
    <w:pitch w:val="default"/>
    <w:sig w:usb0="A00002BF" w:usb1="184F6CFA" w:usb2="00000012" w:usb3="00000000" w:csb0="00040001" w:csb1="00000000"/>
    <w:embedRegular r:id="rId16" w:fontKey="{8401BBCD-53D6-49A3-B690-1105E569C4CD}"/>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WPSEMBED1">
    <w:panose1 w:val="02000000000000000000"/>
    <w:charset w:val="86"/>
    <w:family w:val="auto"/>
    <w:pitch w:val="default"/>
    <w:sig w:usb0="A00002BF" w:usb1="184F6CFA" w:usb2="00000012" w:usb3="00000000" w:csb0="00040001"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5B39F">
    <w:pPr>
      <w:pStyle w:val="1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7F74C">
    <w:pPr>
      <w:pStyle w:val="1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94E13">
    <w:pPr>
      <w:pStyle w:val="12"/>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6C0AA">
    <w:pPr>
      <w:pStyle w:val="12"/>
      <w:ind w:firstLine="36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E1118">
    <w:pPr>
      <w:pStyle w:val="12"/>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B9C93">
                          <w:pPr>
                            <w:pStyle w:val="12"/>
                            <w:ind w:firstLine="360"/>
                            <w:rPr>
                              <w:rFonts w:hint="eastAsia"/>
                            </w:rPr>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4yo2MsBAACcAwAADgAAAGRycy9lMm9Eb2MueG1srVPNjtMwEL4j8Q6W&#10;79RpD6sqarraVbUICQHSwgO4jt1Y8p88bpO+ALwBJy7cea4+B2Mn6cJy2QOXZDwz+eb7Pk8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TaDEcYsXfvn+7fLj1+XnV7Ks&#10;VjfZoT5AjY2PAVvTcO+H3D3lAZNZ+KCizW+URLCO/p6v/sohEZE/Wq/W6wpLAmvzAXHY0+chQnor&#10;vSU5aGjECyy+8tN7SGPr3JKnOf+gjcE8r437K4GYOcMy95FjjtKwHybie9+eUU+Pd99Qh6tOiXnn&#10;0Nq8JnMQ52A/B8cQ9aFDasvCC8LdMSGJwi1PGGGnwXhpRd20YHkr/jyXrq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eMqNjLAQAAnAMAAA4AAAAAAAAAAQAgAAAAHgEAAGRycy9lMm9E&#10;b2MueG1sUEsFBgAAAAAGAAYAWQEAAFsFAAAAAA==&#10;">
              <v:fill on="f" focussize="0,0"/>
              <v:stroke on="f"/>
              <v:imagedata o:title=""/>
              <o:lock v:ext="edit" aspectratio="f"/>
              <v:textbox inset="0mm,0mm,0mm,0mm" style="mso-fit-shape-to-text:t;">
                <w:txbxContent>
                  <w:p w14:paraId="676B9C93">
                    <w:pPr>
                      <w:pStyle w:val="12"/>
                      <w:ind w:firstLine="360"/>
                      <w:rPr>
                        <w:rFonts w:hint="eastAsia"/>
                      </w:rPr>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B61E5">
    <w:pPr>
      <w:pStyle w:val="13"/>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CA6C8">
    <w:pPr>
      <w:pStyle w:val="1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F4DD1">
    <w:pPr>
      <w:pStyle w:val="13"/>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3AE445"/>
    <w:multiLevelType w:val="singleLevel"/>
    <w:tmpl w:val="713AE445"/>
    <w:lvl w:ilvl="0" w:tentative="0">
      <w:start w:val="2"/>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revisionView w:markup="0"/>
  <w:documentProtection w:enforcement="0"/>
  <w:defaultTabStop w:val="419"/>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9A8"/>
    <w:rsid w:val="0000115E"/>
    <w:rsid w:val="00005205"/>
    <w:rsid w:val="00010F57"/>
    <w:rsid w:val="00043D70"/>
    <w:rsid w:val="00047092"/>
    <w:rsid w:val="00047E60"/>
    <w:rsid w:val="000B28A6"/>
    <w:rsid w:val="000B36C2"/>
    <w:rsid w:val="000C3595"/>
    <w:rsid w:val="000D65EB"/>
    <w:rsid w:val="000F2E34"/>
    <w:rsid w:val="000F6EE4"/>
    <w:rsid w:val="00105C1C"/>
    <w:rsid w:val="00113F4F"/>
    <w:rsid w:val="00115A48"/>
    <w:rsid w:val="00115F64"/>
    <w:rsid w:val="00141420"/>
    <w:rsid w:val="00175E95"/>
    <w:rsid w:val="0018155B"/>
    <w:rsid w:val="00190A21"/>
    <w:rsid w:val="001A1782"/>
    <w:rsid w:val="001B15F8"/>
    <w:rsid w:val="001B3018"/>
    <w:rsid w:val="001B32E0"/>
    <w:rsid w:val="001B7449"/>
    <w:rsid w:val="001E7E67"/>
    <w:rsid w:val="00217E33"/>
    <w:rsid w:val="002211C4"/>
    <w:rsid w:val="002326DB"/>
    <w:rsid w:val="00233DD8"/>
    <w:rsid w:val="00245564"/>
    <w:rsid w:val="0026448C"/>
    <w:rsid w:val="00283730"/>
    <w:rsid w:val="00287C7C"/>
    <w:rsid w:val="002A6767"/>
    <w:rsid w:val="002B2ACC"/>
    <w:rsid w:val="002D4388"/>
    <w:rsid w:val="002E11C3"/>
    <w:rsid w:val="002F669D"/>
    <w:rsid w:val="00306BE6"/>
    <w:rsid w:val="00335DE6"/>
    <w:rsid w:val="0034314E"/>
    <w:rsid w:val="0037173A"/>
    <w:rsid w:val="003A60D8"/>
    <w:rsid w:val="003B3D03"/>
    <w:rsid w:val="003B507F"/>
    <w:rsid w:val="003D7599"/>
    <w:rsid w:val="00434E72"/>
    <w:rsid w:val="00453734"/>
    <w:rsid w:val="00482D82"/>
    <w:rsid w:val="00491562"/>
    <w:rsid w:val="00491C03"/>
    <w:rsid w:val="00495E3F"/>
    <w:rsid w:val="004A3663"/>
    <w:rsid w:val="004C774F"/>
    <w:rsid w:val="004E0F70"/>
    <w:rsid w:val="004E539F"/>
    <w:rsid w:val="00501302"/>
    <w:rsid w:val="00520A9B"/>
    <w:rsid w:val="00520C6F"/>
    <w:rsid w:val="00526E85"/>
    <w:rsid w:val="0054405C"/>
    <w:rsid w:val="00551CDF"/>
    <w:rsid w:val="005547F5"/>
    <w:rsid w:val="00583EB8"/>
    <w:rsid w:val="00586F1F"/>
    <w:rsid w:val="005A5F8A"/>
    <w:rsid w:val="005B08C5"/>
    <w:rsid w:val="005B5533"/>
    <w:rsid w:val="005C509E"/>
    <w:rsid w:val="005D235C"/>
    <w:rsid w:val="005D2778"/>
    <w:rsid w:val="006045E9"/>
    <w:rsid w:val="0062583F"/>
    <w:rsid w:val="006412D7"/>
    <w:rsid w:val="00651723"/>
    <w:rsid w:val="006559E1"/>
    <w:rsid w:val="006567B7"/>
    <w:rsid w:val="00673B0A"/>
    <w:rsid w:val="00683276"/>
    <w:rsid w:val="006B2E11"/>
    <w:rsid w:val="006B3DC4"/>
    <w:rsid w:val="007207F7"/>
    <w:rsid w:val="00737A91"/>
    <w:rsid w:val="007502E1"/>
    <w:rsid w:val="00750EE2"/>
    <w:rsid w:val="00792DC6"/>
    <w:rsid w:val="00796218"/>
    <w:rsid w:val="007B3DF9"/>
    <w:rsid w:val="007C4AE1"/>
    <w:rsid w:val="007F26A9"/>
    <w:rsid w:val="00821571"/>
    <w:rsid w:val="00830865"/>
    <w:rsid w:val="00831245"/>
    <w:rsid w:val="00870205"/>
    <w:rsid w:val="00870396"/>
    <w:rsid w:val="00871AFC"/>
    <w:rsid w:val="00891196"/>
    <w:rsid w:val="008924E6"/>
    <w:rsid w:val="008A40FB"/>
    <w:rsid w:val="008A48B0"/>
    <w:rsid w:val="008B7C3E"/>
    <w:rsid w:val="008D3893"/>
    <w:rsid w:val="008E2A0E"/>
    <w:rsid w:val="008E514F"/>
    <w:rsid w:val="008F0E63"/>
    <w:rsid w:val="008F2078"/>
    <w:rsid w:val="008F46DB"/>
    <w:rsid w:val="008F53DB"/>
    <w:rsid w:val="00906A67"/>
    <w:rsid w:val="00931240"/>
    <w:rsid w:val="009525A0"/>
    <w:rsid w:val="00956A60"/>
    <w:rsid w:val="0096141C"/>
    <w:rsid w:val="00981105"/>
    <w:rsid w:val="009900E3"/>
    <w:rsid w:val="00991F2C"/>
    <w:rsid w:val="009D4BE1"/>
    <w:rsid w:val="009D6390"/>
    <w:rsid w:val="009E0EFD"/>
    <w:rsid w:val="009E4B67"/>
    <w:rsid w:val="009E4C3A"/>
    <w:rsid w:val="00A73CEC"/>
    <w:rsid w:val="00A802C5"/>
    <w:rsid w:val="00A846A7"/>
    <w:rsid w:val="00A85B06"/>
    <w:rsid w:val="00AB064F"/>
    <w:rsid w:val="00AB2B8B"/>
    <w:rsid w:val="00AB68AE"/>
    <w:rsid w:val="00AC181F"/>
    <w:rsid w:val="00AC6E70"/>
    <w:rsid w:val="00B039A8"/>
    <w:rsid w:val="00B24E96"/>
    <w:rsid w:val="00B34FDB"/>
    <w:rsid w:val="00B4320A"/>
    <w:rsid w:val="00B439CE"/>
    <w:rsid w:val="00BB3D2F"/>
    <w:rsid w:val="00BB68A5"/>
    <w:rsid w:val="00BD2C2A"/>
    <w:rsid w:val="00BE7299"/>
    <w:rsid w:val="00C37F72"/>
    <w:rsid w:val="00C42B8A"/>
    <w:rsid w:val="00C4477B"/>
    <w:rsid w:val="00C74F89"/>
    <w:rsid w:val="00C91BC6"/>
    <w:rsid w:val="00C9289D"/>
    <w:rsid w:val="00CE7085"/>
    <w:rsid w:val="00D05C8A"/>
    <w:rsid w:val="00D060D8"/>
    <w:rsid w:val="00D33960"/>
    <w:rsid w:val="00D44729"/>
    <w:rsid w:val="00D53991"/>
    <w:rsid w:val="00D9012D"/>
    <w:rsid w:val="00D93950"/>
    <w:rsid w:val="00DD0659"/>
    <w:rsid w:val="00DD2644"/>
    <w:rsid w:val="00DE59F8"/>
    <w:rsid w:val="00E06D93"/>
    <w:rsid w:val="00E152CE"/>
    <w:rsid w:val="00E321C2"/>
    <w:rsid w:val="00E620C7"/>
    <w:rsid w:val="00E664BD"/>
    <w:rsid w:val="00E70D40"/>
    <w:rsid w:val="00E75823"/>
    <w:rsid w:val="00E82BCC"/>
    <w:rsid w:val="00E86397"/>
    <w:rsid w:val="00E95A9B"/>
    <w:rsid w:val="00EB30CF"/>
    <w:rsid w:val="00EC5718"/>
    <w:rsid w:val="00EF1E62"/>
    <w:rsid w:val="00EF2805"/>
    <w:rsid w:val="00F04858"/>
    <w:rsid w:val="00F0510B"/>
    <w:rsid w:val="00F05759"/>
    <w:rsid w:val="00F06C28"/>
    <w:rsid w:val="00F07C7B"/>
    <w:rsid w:val="00F2194E"/>
    <w:rsid w:val="00F42147"/>
    <w:rsid w:val="00F557A9"/>
    <w:rsid w:val="00F80ACB"/>
    <w:rsid w:val="00F836BC"/>
    <w:rsid w:val="00F86558"/>
    <w:rsid w:val="00F97B52"/>
    <w:rsid w:val="00FA0E9A"/>
    <w:rsid w:val="00FA5031"/>
    <w:rsid w:val="00FC42D1"/>
    <w:rsid w:val="00FD0E1C"/>
    <w:rsid w:val="00FD58BE"/>
    <w:rsid w:val="00FE0058"/>
    <w:rsid w:val="00FF70BA"/>
    <w:rsid w:val="01172159"/>
    <w:rsid w:val="014C250B"/>
    <w:rsid w:val="015E315A"/>
    <w:rsid w:val="018C7B99"/>
    <w:rsid w:val="01A11169"/>
    <w:rsid w:val="01B04A7D"/>
    <w:rsid w:val="020E6E6E"/>
    <w:rsid w:val="024960FC"/>
    <w:rsid w:val="02813929"/>
    <w:rsid w:val="0293294A"/>
    <w:rsid w:val="02E904ED"/>
    <w:rsid w:val="030C130F"/>
    <w:rsid w:val="03631D1E"/>
    <w:rsid w:val="03CA29C7"/>
    <w:rsid w:val="04574DE1"/>
    <w:rsid w:val="045F4DF2"/>
    <w:rsid w:val="047A28D3"/>
    <w:rsid w:val="04B96E12"/>
    <w:rsid w:val="05663F59"/>
    <w:rsid w:val="057318E5"/>
    <w:rsid w:val="05775284"/>
    <w:rsid w:val="05CA7D8F"/>
    <w:rsid w:val="064750AF"/>
    <w:rsid w:val="0664230B"/>
    <w:rsid w:val="077D0A4B"/>
    <w:rsid w:val="07952758"/>
    <w:rsid w:val="07BC60B3"/>
    <w:rsid w:val="07C61F0C"/>
    <w:rsid w:val="08285583"/>
    <w:rsid w:val="084A4B7F"/>
    <w:rsid w:val="08915791"/>
    <w:rsid w:val="08F47141"/>
    <w:rsid w:val="09253055"/>
    <w:rsid w:val="094A4B50"/>
    <w:rsid w:val="098E4FA0"/>
    <w:rsid w:val="0A000CC1"/>
    <w:rsid w:val="0A537D97"/>
    <w:rsid w:val="0AFA3062"/>
    <w:rsid w:val="0BB113F8"/>
    <w:rsid w:val="0BF173C7"/>
    <w:rsid w:val="0C0C1099"/>
    <w:rsid w:val="0C3E733E"/>
    <w:rsid w:val="0C89329D"/>
    <w:rsid w:val="0CA26747"/>
    <w:rsid w:val="0D0A6A2E"/>
    <w:rsid w:val="0D18205B"/>
    <w:rsid w:val="0DA925F8"/>
    <w:rsid w:val="0DAF4501"/>
    <w:rsid w:val="0DB96584"/>
    <w:rsid w:val="0DED3FE6"/>
    <w:rsid w:val="0DFA7935"/>
    <w:rsid w:val="0E166E8B"/>
    <w:rsid w:val="0E4A2A94"/>
    <w:rsid w:val="0EF94BFA"/>
    <w:rsid w:val="0F1D69B3"/>
    <w:rsid w:val="0F345B3D"/>
    <w:rsid w:val="0F5F49A6"/>
    <w:rsid w:val="0F826F10"/>
    <w:rsid w:val="0F8B0C96"/>
    <w:rsid w:val="10244ED2"/>
    <w:rsid w:val="114325E6"/>
    <w:rsid w:val="116158A3"/>
    <w:rsid w:val="11E9006E"/>
    <w:rsid w:val="11FA6DAC"/>
    <w:rsid w:val="128065B9"/>
    <w:rsid w:val="129C1D83"/>
    <w:rsid w:val="130E6788"/>
    <w:rsid w:val="13383CDB"/>
    <w:rsid w:val="133B446A"/>
    <w:rsid w:val="134D2517"/>
    <w:rsid w:val="13A31B66"/>
    <w:rsid w:val="14091774"/>
    <w:rsid w:val="141C70C5"/>
    <w:rsid w:val="14460896"/>
    <w:rsid w:val="14EB210C"/>
    <w:rsid w:val="14F30E6E"/>
    <w:rsid w:val="15337D4E"/>
    <w:rsid w:val="157E37E7"/>
    <w:rsid w:val="158D0FFB"/>
    <w:rsid w:val="15AE2D22"/>
    <w:rsid w:val="16000166"/>
    <w:rsid w:val="1618500D"/>
    <w:rsid w:val="16210081"/>
    <w:rsid w:val="165173A1"/>
    <w:rsid w:val="16D2613E"/>
    <w:rsid w:val="176B02F5"/>
    <w:rsid w:val="17A20BD4"/>
    <w:rsid w:val="17CE4962"/>
    <w:rsid w:val="17EB7315"/>
    <w:rsid w:val="18846FC8"/>
    <w:rsid w:val="18A8671C"/>
    <w:rsid w:val="19340F22"/>
    <w:rsid w:val="19794F57"/>
    <w:rsid w:val="197F26E3"/>
    <w:rsid w:val="1A080AD9"/>
    <w:rsid w:val="1A472092"/>
    <w:rsid w:val="1A8B7E55"/>
    <w:rsid w:val="1AED5412"/>
    <w:rsid w:val="1B3C5EBC"/>
    <w:rsid w:val="1B43728E"/>
    <w:rsid w:val="1B450D4A"/>
    <w:rsid w:val="1B4916A8"/>
    <w:rsid w:val="1BC86FDB"/>
    <w:rsid w:val="1BFF39FC"/>
    <w:rsid w:val="1C08030F"/>
    <w:rsid w:val="1C174926"/>
    <w:rsid w:val="1C4A27F6"/>
    <w:rsid w:val="1D107226"/>
    <w:rsid w:val="1D305138"/>
    <w:rsid w:val="1D6F5427"/>
    <w:rsid w:val="1DA2399D"/>
    <w:rsid w:val="1DF905E1"/>
    <w:rsid w:val="1E5A1442"/>
    <w:rsid w:val="1EAC4148"/>
    <w:rsid w:val="1EFF5C4D"/>
    <w:rsid w:val="1F422EEA"/>
    <w:rsid w:val="206A5E10"/>
    <w:rsid w:val="208F1FFE"/>
    <w:rsid w:val="20E91BFB"/>
    <w:rsid w:val="20EC0311"/>
    <w:rsid w:val="21050673"/>
    <w:rsid w:val="216A4A66"/>
    <w:rsid w:val="219F5BB6"/>
    <w:rsid w:val="21F61F57"/>
    <w:rsid w:val="224E1863"/>
    <w:rsid w:val="233679EF"/>
    <w:rsid w:val="237D0994"/>
    <w:rsid w:val="238B1303"/>
    <w:rsid w:val="23B048C6"/>
    <w:rsid w:val="23C37B15"/>
    <w:rsid w:val="24233884"/>
    <w:rsid w:val="243811B4"/>
    <w:rsid w:val="244B1725"/>
    <w:rsid w:val="245A034C"/>
    <w:rsid w:val="245E3964"/>
    <w:rsid w:val="24802739"/>
    <w:rsid w:val="24AD7CC2"/>
    <w:rsid w:val="24EC120C"/>
    <w:rsid w:val="255E01C6"/>
    <w:rsid w:val="259F60C6"/>
    <w:rsid w:val="25AF1BE4"/>
    <w:rsid w:val="261458C7"/>
    <w:rsid w:val="26D55440"/>
    <w:rsid w:val="26DE1A9B"/>
    <w:rsid w:val="26EF2570"/>
    <w:rsid w:val="270645C5"/>
    <w:rsid w:val="27C2035F"/>
    <w:rsid w:val="27CC4F49"/>
    <w:rsid w:val="281F384E"/>
    <w:rsid w:val="28422863"/>
    <w:rsid w:val="28745BEF"/>
    <w:rsid w:val="28AB1AFF"/>
    <w:rsid w:val="28D44357"/>
    <w:rsid w:val="28F85180"/>
    <w:rsid w:val="29090E93"/>
    <w:rsid w:val="2957245C"/>
    <w:rsid w:val="296118F6"/>
    <w:rsid w:val="299B1B74"/>
    <w:rsid w:val="29A1407A"/>
    <w:rsid w:val="29DA6E8C"/>
    <w:rsid w:val="2A1C2309"/>
    <w:rsid w:val="2A3024A6"/>
    <w:rsid w:val="2A4B424C"/>
    <w:rsid w:val="2A6730E1"/>
    <w:rsid w:val="2B0E0B5F"/>
    <w:rsid w:val="2B470F10"/>
    <w:rsid w:val="2B4A4093"/>
    <w:rsid w:val="2BBB1FDC"/>
    <w:rsid w:val="2BC04117"/>
    <w:rsid w:val="2C873115"/>
    <w:rsid w:val="2CC35E7E"/>
    <w:rsid w:val="2D214A9F"/>
    <w:rsid w:val="2D251623"/>
    <w:rsid w:val="2D2D340A"/>
    <w:rsid w:val="2D9F5DB7"/>
    <w:rsid w:val="2E423D71"/>
    <w:rsid w:val="2E51422E"/>
    <w:rsid w:val="2EA429FB"/>
    <w:rsid w:val="2EC74D79"/>
    <w:rsid w:val="2F506A51"/>
    <w:rsid w:val="2F542878"/>
    <w:rsid w:val="2FBC25A1"/>
    <w:rsid w:val="2FF16036"/>
    <w:rsid w:val="30047255"/>
    <w:rsid w:val="3039642A"/>
    <w:rsid w:val="30401638"/>
    <w:rsid w:val="309733E0"/>
    <w:rsid w:val="311D194D"/>
    <w:rsid w:val="31295E0A"/>
    <w:rsid w:val="312A0C84"/>
    <w:rsid w:val="31592105"/>
    <w:rsid w:val="31753BA1"/>
    <w:rsid w:val="318B6A59"/>
    <w:rsid w:val="31E6618A"/>
    <w:rsid w:val="322E50D0"/>
    <w:rsid w:val="331577FC"/>
    <w:rsid w:val="339E0BDF"/>
    <w:rsid w:val="33C82B00"/>
    <w:rsid w:val="33D1020F"/>
    <w:rsid w:val="33F7044F"/>
    <w:rsid w:val="340C5B48"/>
    <w:rsid w:val="34594C70"/>
    <w:rsid w:val="34D94A43"/>
    <w:rsid w:val="34F32462"/>
    <w:rsid w:val="34F65DF3"/>
    <w:rsid w:val="350E4899"/>
    <w:rsid w:val="35324DD8"/>
    <w:rsid w:val="354460C7"/>
    <w:rsid w:val="35637F9E"/>
    <w:rsid w:val="35B8262E"/>
    <w:rsid w:val="36130A96"/>
    <w:rsid w:val="365723A0"/>
    <w:rsid w:val="36A253CA"/>
    <w:rsid w:val="36E87048"/>
    <w:rsid w:val="372D1296"/>
    <w:rsid w:val="37A22631"/>
    <w:rsid w:val="37AB41EB"/>
    <w:rsid w:val="37D05D62"/>
    <w:rsid w:val="37DB5AD3"/>
    <w:rsid w:val="37F4091C"/>
    <w:rsid w:val="38A61D2C"/>
    <w:rsid w:val="392A2DA5"/>
    <w:rsid w:val="394338B4"/>
    <w:rsid w:val="39A44DF7"/>
    <w:rsid w:val="39AE46BE"/>
    <w:rsid w:val="3A244980"/>
    <w:rsid w:val="3A35787F"/>
    <w:rsid w:val="3A444AFC"/>
    <w:rsid w:val="3A5C222E"/>
    <w:rsid w:val="3A751FF8"/>
    <w:rsid w:val="3A7E65FA"/>
    <w:rsid w:val="3AEA4709"/>
    <w:rsid w:val="3AFA67BA"/>
    <w:rsid w:val="3B3E536A"/>
    <w:rsid w:val="3B6915DB"/>
    <w:rsid w:val="3B7E2BAF"/>
    <w:rsid w:val="3B875338"/>
    <w:rsid w:val="3BE0500F"/>
    <w:rsid w:val="3C034B74"/>
    <w:rsid w:val="3C103A96"/>
    <w:rsid w:val="3CE05BE3"/>
    <w:rsid w:val="3CE336CB"/>
    <w:rsid w:val="3D2E0FEA"/>
    <w:rsid w:val="3D8A3804"/>
    <w:rsid w:val="3D9D5CDA"/>
    <w:rsid w:val="3DCA03BA"/>
    <w:rsid w:val="3DD6235F"/>
    <w:rsid w:val="3E2204FF"/>
    <w:rsid w:val="3E373433"/>
    <w:rsid w:val="3E5E705F"/>
    <w:rsid w:val="3F2D5704"/>
    <w:rsid w:val="3F33033C"/>
    <w:rsid w:val="3F505F4F"/>
    <w:rsid w:val="3F8B424E"/>
    <w:rsid w:val="3FB57611"/>
    <w:rsid w:val="3FC7675D"/>
    <w:rsid w:val="3FD64A79"/>
    <w:rsid w:val="3FDC3778"/>
    <w:rsid w:val="414B25C0"/>
    <w:rsid w:val="415B0C46"/>
    <w:rsid w:val="41A21CB0"/>
    <w:rsid w:val="41B873F1"/>
    <w:rsid w:val="420079FE"/>
    <w:rsid w:val="425B58BC"/>
    <w:rsid w:val="427C799E"/>
    <w:rsid w:val="42AA6622"/>
    <w:rsid w:val="42C06CD6"/>
    <w:rsid w:val="43DF7AD2"/>
    <w:rsid w:val="44605AB9"/>
    <w:rsid w:val="44B429B0"/>
    <w:rsid w:val="450F5E31"/>
    <w:rsid w:val="4510235C"/>
    <w:rsid w:val="45357B6A"/>
    <w:rsid w:val="4590612D"/>
    <w:rsid w:val="461A7601"/>
    <w:rsid w:val="46841EBD"/>
    <w:rsid w:val="46D35FAF"/>
    <w:rsid w:val="471A6804"/>
    <w:rsid w:val="474C2369"/>
    <w:rsid w:val="477A72A6"/>
    <w:rsid w:val="479A4B2C"/>
    <w:rsid w:val="47AB4233"/>
    <w:rsid w:val="47C3064B"/>
    <w:rsid w:val="47DC3773"/>
    <w:rsid w:val="48405026"/>
    <w:rsid w:val="485A3656"/>
    <w:rsid w:val="489E51FD"/>
    <w:rsid w:val="4A730277"/>
    <w:rsid w:val="4B7A38EB"/>
    <w:rsid w:val="4BF50B46"/>
    <w:rsid w:val="4C162B64"/>
    <w:rsid w:val="4C237B60"/>
    <w:rsid w:val="4C3029ED"/>
    <w:rsid w:val="4C4A14AC"/>
    <w:rsid w:val="4C7A7005"/>
    <w:rsid w:val="4CC01CF8"/>
    <w:rsid w:val="4D320D51"/>
    <w:rsid w:val="4DA77CD4"/>
    <w:rsid w:val="4DA856B7"/>
    <w:rsid w:val="4DBF62E4"/>
    <w:rsid w:val="4E4056A2"/>
    <w:rsid w:val="4E673D26"/>
    <w:rsid w:val="4E997B68"/>
    <w:rsid w:val="4F3176D2"/>
    <w:rsid w:val="4F532425"/>
    <w:rsid w:val="4F550E1D"/>
    <w:rsid w:val="4F573F3A"/>
    <w:rsid w:val="4F6A4F5C"/>
    <w:rsid w:val="4FEC38C7"/>
    <w:rsid w:val="502D2C99"/>
    <w:rsid w:val="505711B4"/>
    <w:rsid w:val="509D67D0"/>
    <w:rsid w:val="509F4903"/>
    <w:rsid w:val="50C17863"/>
    <w:rsid w:val="50E76807"/>
    <w:rsid w:val="50EA29C2"/>
    <w:rsid w:val="51010B0B"/>
    <w:rsid w:val="512839A2"/>
    <w:rsid w:val="51340EEA"/>
    <w:rsid w:val="51DF265F"/>
    <w:rsid w:val="523555EC"/>
    <w:rsid w:val="525253C7"/>
    <w:rsid w:val="526273B5"/>
    <w:rsid w:val="52924725"/>
    <w:rsid w:val="52B809B9"/>
    <w:rsid w:val="5386015D"/>
    <w:rsid w:val="53B10062"/>
    <w:rsid w:val="5438608E"/>
    <w:rsid w:val="543F151A"/>
    <w:rsid w:val="549F21E3"/>
    <w:rsid w:val="54A307E9"/>
    <w:rsid w:val="55080D34"/>
    <w:rsid w:val="553C49CA"/>
    <w:rsid w:val="55622F8F"/>
    <w:rsid w:val="55793D5D"/>
    <w:rsid w:val="559C0E01"/>
    <w:rsid w:val="55E40809"/>
    <w:rsid w:val="55F66018"/>
    <w:rsid w:val="55FF09A7"/>
    <w:rsid w:val="569D5DFB"/>
    <w:rsid w:val="56C628CB"/>
    <w:rsid w:val="572E37F0"/>
    <w:rsid w:val="574D043E"/>
    <w:rsid w:val="574D1E50"/>
    <w:rsid w:val="578B1137"/>
    <w:rsid w:val="57914F3D"/>
    <w:rsid w:val="57C533DF"/>
    <w:rsid w:val="57EF0C2F"/>
    <w:rsid w:val="57F26D57"/>
    <w:rsid w:val="581D698E"/>
    <w:rsid w:val="59046094"/>
    <w:rsid w:val="590F422C"/>
    <w:rsid w:val="5931661B"/>
    <w:rsid w:val="59C1280E"/>
    <w:rsid w:val="59E35D98"/>
    <w:rsid w:val="5A0B2922"/>
    <w:rsid w:val="5A7622F9"/>
    <w:rsid w:val="5AA7634B"/>
    <w:rsid w:val="5AD22D98"/>
    <w:rsid w:val="5AFA7F12"/>
    <w:rsid w:val="5B3217B4"/>
    <w:rsid w:val="5BF75165"/>
    <w:rsid w:val="5C567A90"/>
    <w:rsid w:val="5C7D1FA2"/>
    <w:rsid w:val="5C904CB9"/>
    <w:rsid w:val="5CC826A5"/>
    <w:rsid w:val="5CCA72CA"/>
    <w:rsid w:val="5CDB1C2D"/>
    <w:rsid w:val="5CF50742"/>
    <w:rsid w:val="5D153410"/>
    <w:rsid w:val="5D2B27E7"/>
    <w:rsid w:val="5D3214B0"/>
    <w:rsid w:val="5E216462"/>
    <w:rsid w:val="5E3F3EDF"/>
    <w:rsid w:val="5E5F4B50"/>
    <w:rsid w:val="5E94086B"/>
    <w:rsid w:val="5EAF03E4"/>
    <w:rsid w:val="5ED715A9"/>
    <w:rsid w:val="5F000851"/>
    <w:rsid w:val="60043CF7"/>
    <w:rsid w:val="60450A51"/>
    <w:rsid w:val="60B94F1A"/>
    <w:rsid w:val="60E443F7"/>
    <w:rsid w:val="614510D8"/>
    <w:rsid w:val="61857110"/>
    <w:rsid w:val="61A813C7"/>
    <w:rsid w:val="61AB60F1"/>
    <w:rsid w:val="622D081C"/>
    <w:rsid w:val="62702FCB"/>
    <w:rsid w:val="627B71A0"/>
    <w:rsid w:val="62996751"/>
    <w:rsid w:val="62A36724"/>
    <w:rsid w:val="62B007BF"/>
    <w:rsid w:val="62B62088"/>
    <w:rsid w:val="62DA7939"/>
    <w:rsid w:val="62FA7330"/>
    <w:rsid w:val="639D0B78"/>
    <w:rsid w:val="63D77671"/>
    <w:rsid w:val="6424526F"/>
    <w:rsid w:val="64C3035F"/>
    <w:rsid w:val="64FC28FB"/>
    <w:rsid w:val="65245B7A"/>
    <w:rsid w:val="658C1FA6"/>
    <w:rsid w:val="65C16341"/>
    <w:rsid w:val="65EA57F1"/>
    <w:rsid w:val="66430FEE"/>
    <w:rsid w:val="664D7E66"/>
    <w:rsid w:val="664E379F"/>
    <w:rsid w:val="66ED66EB"/>
    <w:rsid w:val="670E46A1"/>
    <w:rsid w:val="67B87C6A"/>
    <w:rsid w:val="6800575F"/>
    <w:rsid w:val="68355788"/>
    <w:rsid w:val="683604AC"/>
    <w:rsid w:val="683C5113"/>
    <w:rsid w:val="6895013B"/>
    <w:rsid w:val="68AE634B"/>
    <w:rsid w:val="695B6B4D"/>
    <w:rsid w:val="696370F4"/>
    <w:rsid w:val="69DD72DF"/>
    <w:rsid w:val="6A19763E"/>
    <w:rsid w:val="6A4862BD"/>
    <w:rsid w:val="6A6E1526"/>
    <w:rsid w:val="6A9D51EF"/>
    <w:rsid w:val="6ABC1E90"/>
    <w:rsid w:val="6ACC2E43"/>
    <w:rsid w:val="6B472CBA"/>
    <w:rsid w:val="6BED336C"/>
    <w:rsid w:val="6C036DFF"/>
    <w:rsid w:val="6C077347"/>
    <w:rsid w:val="6C2A11DB"/>
    <w:rsid w:val="6C4E553D"/>
    <w:rsid w:val="6CC27E7A"/>
    <w:rsid w:val="6DE210EC"/>
    <w:rsid w:val="6E010559"/>
    <w:rsid w:val="6E795EE5"/>
    <w:rsid w:val="6E7A38B4"/>
    <w:rsid w:val="6EAB2E1E"/>
    <w:rsid w:val="6ECF4AB0"/>
    <w:rsid w:val="6F1528C7"/>
    <w:rsid w:val="6F7C083E"/>
    <w:rsid w:val="6FAC6213"/>
    <w:rsid w:val="6FFE7A6B"/>
    <w:rsid w:val="701C050D"/>
    <w:rsid w:val="710C07A9"/>
    <w:rsid w:val="71433F3F"/>
    <w:rsid w:val="714829B2"/>
    <w:rsid w:val="71510B51"/>
    <w:rsid w:val="71597204"/>
    <w:rsid w:val="71967069"/>
    <w:rsid w:val="71CE368B"/>
    <w:rsid w:val="71EB0920"/>
    <w:rsid w:val="71FB480F"/>
    <w:rsid w:val="72004F7C"/>
    <w:rsid w:val="73374BA6"/>
    <w:rsid w:val="73492CDA"/>
    <w:rsid w:val="73711CDD"/>
    <w:rsid w:val="73823043"/>
    <w:rsid w:val="75063F3E"/>
    <w:rsid w:val="751126D8"/>
    <w:rsid w:val="7518282A"/>
    <w:rsid w:val="75A254CE"/>
    <w:rsid w:val="760B6009"/>
    <w:rsid w:val="76596DDE"/>
    <w:rsid w:val="766F7297"/>
    <w:rsid w:val="76706EDC"/>
    <w:rsid w:val="76931A1A"/>
    <w:rsid w:val="76970420"/>
    <w:rsid w:val="769D232A"/>
    <w:rsid w:val="769E2261"/>
    <w:rsid w:val="76C577FD"/>
    <w:rsid w:val="76E41773"/>
    <w:rsid w:val="77636D28"/>
    <w:rsid w:val="77887108"/>
    <w:rsid w:val="77F90A8A"/>
    <w:rsid w:val="7802254E"/>
    <w:rsid w:val="781C021C"/>
    <w:rsid w:val="782901D9"/>
    <w:rsid w:val="78333E8D"/>
    <w:rsid w:val="78760DAF"/>
    <w:rsid w:val="78807F41"/>
    <w:rsid w:val="7884676A"/>
    <w:rsid w:val="78A41FD3"/>
    <w:rsid w:val="78BD773C"/>
    <w:rsid w:val="78E563E3"/>
    <w:rsid w:val="79DB267A"/>
    <w:rsid w:val="7A350DF3"/>
    <w:rsid w:val="7A661E70"/>
    <w:rsid w:val="7AE504F5"/>
    <w:rsid w:val="7B500A0B"/>
    <w:rsid w:val="7B923A26"/>
    <w:rsid w:val="7B9E45DB"/>
    <w:rsid w:val="7C713679"/>
    <w:rsid w:val="7C8861BD"/>
    <w:rsid w:val="7C9B6A7C"/>
    <w:rsid w:val="7D17138B"/>
    <w:rsid w:val="7D344725"/>
    <w:rsid w:val="7D3B2F9B"/>
    <w:rsid w:val="7DB25111"/>
    <w:rsid w:val="7DE02597"/>
    <w:rsid w:val="7F0C2BCE"/>
    <w:rsid w:val="7F1E78CB"/>
    <w:rsid w:val="7F9D70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keepNext/>
      <w:keepLines/>
      <w:ind w:firstLine="0" w:firstLineChars="0"/>
      <w:jc w:val="center"/>
      <w:outlineLvl w:val="0"/>
    </w:pPr>
    <w:rPr>
      <w:rFonts w:eastAsia="黑体"/>
      <w:kern w:val="44"/>
      <w:sz w:val="44"/>
    </w:rPr>
  </w:style>
  <w:style w:type="paragraph" w:styleId="3">
    <w:name w:val="heading 2"/>
    <w:basedOn w:val="1"/>
    <w:next w:val="1"/>
    <w:unhideWhenUsed/>
    <w:qFormat/>
    <w:uiPriority w:val="0"/>
    <w:pPr>
      <w:keepNext/>
      <w:keepLines/>
      <w:ind w:firstLine="0" w:firstLineChars="0"/>
      <w:jc w:val="center"/>
      <w:outlineLvl w:val="1"/>
    </w:pPr>
    <w:rPr>
      <w:rFonts w:ascii="Arial" w:hAnsi="Arial" w:eastAsia="楷体"/>
    </w:rPr>
  </w:style>
  <w:style w:type="paragraph" w:styleId="4">
    <w:name w:val="heading 3"/>
    <w:basedOn w:val="1"/>
    <w:next w:val="1"/>
    <w:unhideWhenUsed/>
    <w:qFormat/>
    <w:uiPriority w:val="0"/>
    <w:pPr>
      <w:keepNext/>
      <w:keepLines/>
      <w:spacing w:line="413" w:lineRule="auto"/>
      <w:outlineLvl w:val="2"/>
    </w:pPr>
    <w:rPr>
      <w:b/>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ind w:firstLine="645"/>
    </w:pPr>
    <w:rPr>
      <w:rFonts w:ascii="黑体" w:eastAsia="黑体"/>
      <w:b/>
      <w:bCs/>
    </w:rPr>
  </w:style>
  <w:style w:type="paragraph" w:styleId="9">
    <w:name w:val="toc 3"/>
    <w:basedOn w:val="1"/>
    <w:next w:val="1"/>
    <w:qFormat/>
    <w:uiPriority w:val="39"/>
    <w:pPr>
      <w:ind w:left="840" w:leftChars="400"/>
    </w:pPr>
  </w:style>
  <w:style w:type="paragraph" w:styleId="10">
    <w:name w:val="Plain Text"/>
    <w:basedOn w:val="1"/>
    <w:link w:val="32"/>
    <w:qFormat/>
    <w:uiPriority w:val="99"/>
    <w:pPr>
      <w:spacing w:line="360" w:lineRule="auto"/>
    </w:pPr>
    <w:rPr>
      <w:rFonts w:ascii="宋体" w:hAnsi="Courier New"/>
      <w:kern w:val="0"/>
      <w:szCs w:val="20"/>
    </w:rPr>
  </w:style>
  <w:style w:type="paragraph" w:styleId="11">
    <w:name w:val="Balloon Text"/>
    <w:basedOn w:val="1"/>
    <w:link w:val="33"/>
    <w:qFormat/>
    <w:uiPriority w:val="0"/>
    <w:rPr>
      <w:sz w:val="18"/>
      <w:szCs w:val="18"/>
    </w:rPr>
  </w:style>
  <w:style w:type="paragraph" w:styleId="12">
    <w:name w:val="footer"/>
    <w:basedOn w:val="1"/>
    <w:link w:val="31"/>
    <w:qFormat/>
    <w:uiPriority w:val="99"/>
    <w:pPr>
      <w:tabs>
        <w:tab w:val="center" w:pos="4153"/>
        <w:tab w:val="right" w:pos="8306"/>
      </w:tabs>
      <w:snapToGrid w:val="0"/>
      <w:jc w:val="left"/>
    </w:pPr>
    <w:rPr>
      <w:sz w:val="18"/>
      <w:szCs w:val="18"/>
    </w:rPr>
  </w:style>
  <w:style w:type="paragraph" w:styleId="13">
    <w:name w:val="header"/>
    <w:basedOn w:val="1"/>
    <w:next w:val="7"/>
    <w:link w:val="35"/>
    <w:qFormat/>
    <w:uiPriority w:val="99"/>
    <w:pPr>
      <w:pBdr>
        <w:bottom w:val="single" w:color="auto" w:sz="6" w:space="1"/>
      </w:pBdr>
      <w:tabs>
        <w:tab w:val="center" w:pos="4153"/>
        <w:tab w:val="right" w:pos="8306"/>
      </w:tabs>
      <w:snapToGrid w:val="0"/>
      <w:jc w:val="center"/>
    </w:pPr>
    <w:rPr>
      <w:kern w:val="0"/>
      <w:sz w:val="18"/>
      <w:szCs w:val="20"/>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rPr>
  </w:style>
  <w:style w:type="paragraph" w:styleId="16">
    <w:name w:val="toc 2"/>
    <w:basedOn w:val="1"/>
    <w:next w:val="1"/>
    <w:qFormat/>
    <w:uiPriority w:val="39"/>
    <w:pPr>
      <w:ind w:left="420" w:leftChars="200"/>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Title"/>
    <w:basedOn w:val="1"/>
    <w:qFormat/>
    <w:uiPriority w:val="0"/>
    <w:pPr>
      <w:spacing w:before="240" w:after="60"/>
      <w:jc w:val="center"/>
      <w:outlineLvl w:val="0"/>
    </w:pPr>
    <w:rPr>
      <w:rFonts w:ascii="Arial" w:hAnsi="Arial"/>
      <w:b/>
      <w:szCs w:val="22"/>
    </w:rPr>
  </w:style>
  <w:style w:type="paragraph" w:styleId="19">
    <w:name w:val="Body Text First Indent 2"/>
    <w:basedOn w:val="8"/>
    <w:next w:val="20"/>
    <w:qFormat/>
    <w:uiPriority w:val="0"/>
    <w:pPr>
      <w:ind w:firstLine="420"/>
    </w:pPr>
  </w:style>
  <w:style w:type="paragraph" w:customStyle="1" w:styleId="2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table" w:styleId="22">
    <w:name w:val="Table Grid"/>
    <w:basedOn w:val="2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Emphasis"/>
    <w:basedOn w:val="23"/>
    <w:qFormat/>
    <w:uiPriority w:val="0"/>
    <w:rPr>
      <w:i/>
    </w:rPr>
  </w:style>
  <w:style w:type="character" w:styleId="26">
    <w:name w:val="Hyperlink"/>
    <w:basedOn w:val="23"/>
    <w:unhideWhenUsed/>
    <w:qFormat/>
    <w:uiPriority w:val="99"/>
    <w:rPr>
      <w:color w:val="0563C1" w:themeColor="hyperlink"/>
      <w:u w:val="single"/>
      <w14:textFill>
        <w14:solidFill>
          <w14:schemeClr w14:val="hlink"/>
        </w14:solidFill>
      </w14:textFill>
    </w:rPr>
  </w:style>
  <w:style w:type="character" w:styleId="27">
    <w:name w:val="footnote reference"/>
    <w:basedOn w:val="23"/>
    <w:qFormat/>
    <w:uiPriority w:val="0"/>
    <w:rPr>
      <w:vertAlign w:val="superscript"/>
    </w:rPr>
  </w:style>
  <w:style w:type="paragraph" w:customStyle="1" w:styleId="28">
    <w:name w:val="正文首行缩进 21"/>
    <w:basedOn w:val="29"/>
    <w:qFormat/>
    <w:uiPriority w:val="0"/>
    <w:pPr>
      <w:ind w:firstLine="420"/>
    </w:pPr>
  </w:style>
  <w:style w:type="paragraph" w:customStyle="1" w:styleId="29">
    <w:name w:val="正文文本缩进1"/>
    <w:basedOn w:val="1"/>
    <w:next w:val="30"/>
    <w:qFormat/>
    <w:uiPriority w:val="0"/>
    <w:pPr>
      <w:ind w:left="420" w:leftChars="200"/>
    </w:pPr>
    <w:rPr>
      <w:rFonts w:ascii="Times New Roman" w:hAnsi="Times New Roman" w:eastAsia="宋体" w:cs="Times New Roman"/>
    </w:rPr>
  </w:style>
  <w:style w:type="paragraph" w:customStyle="1" w:styleId="30">
    <w:name w:val="正文缩进1"/>
    <w:basedOn w:val="1"/>
    <w:qFormat/>
    <w:uiPriority w:val="0"/>
    <w:pPr>
      <w:ind w:firstLine="420"/>
    </w:pPr>
    <w:rPr>
      <w:rFonts w:ascii="Calibri" w:hAnsi="Calibri" w:eastAsia="仿宋"/>
    </w:rPr>
  </w:style>
  <w:style w:type="character" w:customStyle="1" w:styleId="31">
    <w:name w:val="页脚 字符"/>
    <w:basedOn w:val="23"/>
    <w:link w:val="12"/>
    <w:qFormat/>
    <w:uiPriority w:val="99"/>
    <w:rPr>
      <w:rFonts w:ascii="仿宋_GB2312" w:hAnsi="仿宋_GB2312" w:eastAsia="仿宋_GB2312" w:cs="仿宋_GB2312"/>
      <w:kern w:val="2"/>
      <w:sz w:val="18"/>
      <w:szCs w:val="18"/>
    </w:rPr>
  </w:style>
  <w:style w:type="character" w:customStyle="1" w:styleId="32">
    <w:name w:val="纯文本 字符"/>
    <w:basedOn w:val="23"/>
    <w:link w:val="10"/>
    <w:qFormat/>
    <w:uiPriority w:val="99"/>
    <w:rPr>
      <w:rFonts w:ascii="宋体" w:hAnsi="Courier New" w:eastAsia="仿宋_GB2312" w:cs="仿宋_GB2312"/>
      <w:sz w:val="32"/>
    </w:rPr>
  </w:style>
  <w:style w:type="character" w:customStyle="1" w:styleId="33">
    <w:name w:val="批注框文本 字符"/>
    <w:basedOn w:val="23"/>
    <w:link w:val="11"/>
    <w:qFormat/>
    <w:uiPriority w:val="0"/>
    <w:rPr>
      <w:rFonts w:ascii="仿宋_GB2312" w:hAnsi="仿宋_GB2312" w:eastAsia="仿宋_GB2312" w:cs="仿宋_GB2312"/>
      <w:kern w:val="2"/>
      <w:sz w:val="18"/>
      <w:szCs w:val="18"/>
    </w:rPr>
  </w:style>
  <w:style w:type="paragraph" w:customStyle="1" w:styleId="34">
    <w:name w:val="TOC 标题1"/>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
      <w:bCs/>
      <w:color w:val="2E75B6" w:themeColor="accent1" w:themeShade="BF"/>
      <w:kern w:val="0"/>
      <w:sz w:val="28"/>
      <w:szCs w:val="28"/>
    </w:rPr>
  </w:style>
  <w:style w:type="character" w:customStyle="1" w:styleId="35">
    <w:name w:val="页眉 字符"/>
    <w:link w:val="13"/>
    <w:qFormat/>
    <w:locked/>
    <w:uiPriority w:val="99"/>
    <w:rPr>
      <w:rFonts w:ascii="仿宋_GB2312" w:hAnsi="仿宋_GB2312" w:eastAsia="仿宋_GB2312" w:cs="仿宋_GB2312"/>
      <w:sz w:val="18"/>
    </w:rPr>
  </w:style>
  <w:style w:type="paragraph" w:styleId="36">
    <w:name w:val="List Paragraph"/>
    <w:basedOn w:val="1"/>
    <w:unhideWhenUsed/>
    <w:qFormat/>
    <w:uiPriority w:val="99"/>
    <w:pPr>
      <w:ind w:firstLine="420"/>
    </w:pPr>
  </w:style>
  <w:style w:type="paragraph" w:customStyle="1" w:styleId="37">
    <w:name w:val="TOC 标题2"/>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
      <w:bCs/>
      <w:color w:val="2E75B6" w:themeColor="accent1" w:themeShade="BF"/>
      <w:kern w:val="0"/>
      <w:sz w:val="28"/>
      <w:szCs w:val="28"/>
    </w:rPr>
  </w:style>
  <w:style w:type="paragraph" w:customStyle="1" w:styleId="38">
    <w:name w:val="样式1"/>
    <w:basedOn w:val="1"/>
    <w:qFormat/>
    <w:uiPriority w:val="99"/>
    <w:pPr>
      <w:ind w:firstLine="640"/>
    </w:pPr>
    <w:rPr>
      <w:rFonts w:ascii="Times New Roman" w:hAnsi="Times New Roman" w:eastAsia="Times New Roman" w:cs="Times New Roman"/>
      <w:kern w:val="0"/>
      <w:szCs w:val="20"/>
    </w:rPr>
  </w:style>
  <w:style w:type="paragraph" w:customStyle="1" w:styleId="39">
    <w:name w:val="正文文本首行缩进1"/>
    <w:basedOn w:val="7"/>
    <w:qFormat/>
    <w:uiPriority w:val="0"/>
    <w:pPr>
      <w:ind w:firstLine="420" w:firstLineChars="100"/>
    </w:pPr>
    <w:rPr>
      <w:sz w:val="24"/>
    </w:rPr>
  </w:style>
  <w:style w:type="paragraph" w:customStyle="1" w:styleId="40">
    <w:name w:val="WPSOffice手动目录 1"/>
    <w:qFormat/>
    <w:uiPriority w:val="0"/>
    <w:rPr>
      <w:rFonts w:ascii="Calibri" w:hAnsi="Calibri" w:eastAsia="宋体" w:cs="Calibri"/>
      <w:lang w:val="en-US" w:eastAsia="zh-CN" w:bidi="ar-SA"/>
    </w:rPr>
  </w:style>
  <w:style w:type="paragraph" w:customStyle="1" w:styleId="41">
    <w:name w:val="WPSOffice手动目录 2"/>
    <w:qFormat/>
    <w:uiPriority w:val="0"/>
    <w:pPr>
      <w:ind w:left="200" w:leftChars="200"/>
    </w:pPr>
    <w:rPr>
      <w:rFonts w:ascii="Calibri" w:hAnsi="Calibri" w:eastAsia="宋体" w:cs="Calibri"/>
      <w:lang w:val="en-US" w:eastAsia="zh-CN" w:bidi="ar-SA"/>
    </w:rPr>
  </w:style>
  <w:style w:type="paragraph" w:customStyle="1" w:styleId="42">
    <w:name w:val="Char Char Char Char Char Char Char Char Char Char"/>
    <w:basedOn w:val="1"/>
    <w:qFormat/>
    <w:uiPriority w:val="0"/>
    <w:pPr>
      <w:ind w:firstLine="0" w:firstLineChars="0"/>
    </w:pPr>
    <w:rPr>
      <w:rFonts w:ascii="Calibri" w:hAnsi="Calibri" w:eastAsia="宋体" w:cs="Times New Roman"/>
      <w:sz w:val="21"/>
      <w:szCs w:val="24"/>
    </w:rPr>
  </w:style>
  <w:style w:type="paragraph" w:customStyle="1" w:styleId="43">
    <w:name w:val="延安"/>
    <w:basedOn w:val="1"/>
    <w:qFormat/>
    <w:uiPriority w:val="0"/>
    <w:pPr>
      <w:adjustRightInd w:val="0"/>
      <w:spacing w:line="560" w:lineRule="exact"/>
      <w:ind w:firstLine="560"/>
      <w:jc w:val="left"/>
      <w:textAlignment w:val="baseline"/>
    </w:pPr>
    <w:rPr>
      <w:rFonts w:ascii="Times New Roman" w:hAnsi="宋体"/>
      <w:color w:val="000000"/>
      <w:kern w:val="0"/>
      <w:sz w:val="28"/>
      <w:szCs w:val="28"/>
    </w:rPr>
  </w:style>
  <w:style w:type="paragraph" w:customStyle="1" w:styleId="44">
    <w:name w:val="表内文字"/>
    <w:basedOn w:val="45"/>
    <w:qFormat/>
    <w:uiPriority w:val="0"/>
    <w:rPr>
      <w:b w:val="0"/>
      <w:bCs/>
    </w:rPr>
  </w:style>
  <w:style w:type="paragraph" w:customStyle="1" w:styleId="45">
    <w:name w:val="图表标题"/>
    <w:basedOn w:val="1"/>
    <w:qFormat/>
    <w:uiPriority w:val="0"/>
    <w:pPr>
      <w:ind w:firstLine="0" w:firstLineChars="0"/>
      <w:jc w:val="center"/>
    </w:pPr>
    <w:rPr>
      <w:b/>
      <w:sz w:val="21"/>
    </w:rPr>
  </w:style>
  <w:style w:type="paragraph" w:customStyle="1" w:styleId="46">
    <w:name w:val="Revision"/>
    <w:hidden/>
    <w:unhideWhenUsed/>
    <w:qFormat/>
    <w:uiPriority w:val="99"/>
    <w:rPr>
      <w:rFonts w:ascii="仿宋_GB2312" w:hAnsi="仿宋_GB2312" w:eastAsia="仿宋_GB2312" w:cs="仿宋_GB2312"/>
      <w:kern w:val="2"/>
      <w:sz w:val="32"/>
      <w:szCs w:val="32"/>
      <w:lang w:val="en-US" w:eastAsia="zh-CN" w:bidi="ar-SA"/>
    </w:rPr>
  </w:style>
  <w:style w:type="paragraph" w:customStyle="1" w:styleId="47">
    <w:name w:val="_Style 24"/>
    <w:basedOn w:val="1"/>
    <w:qFormat/>
    <w:uiPriority w:val="0"/>
    <w:pPr>
      <w:tabs>
        <w:tab w:val="right" w:leader="middleDot" w:pos="360"/>
      </w:tabs>
      <w:ind w:firstLine="0" w:firstLineChars="0"/>
    </w:pPr>
    <w:rPr>
      <w:rFonts w:ascii="Times New Roman" w:hAnsi="Times New Roman" w:eastAsia="黑体" w:cs="Times New Roman"/>
      <w:sz w:val="28"/>
      <w:szCs w:val="24"/>
    </w:rPr>
  </w:style>
  <w:style w:type="character" w:customStyle="1" w:styleId="48">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5648BA-D706-4167-8511-DF2ED1F97851}">
  <ds:schemaRefs/>
</ds:datastoreItem>
</file>

<file path=docProps/app.xml><?xml version="1.0" encoding="utf-8"?>
<Properties xmlns="http://schemas.openxmlformats.org/officeDocument/2006/extended-properties" xmlns:vt="http://schemas.openxmlformats.org/officeDocument/2006/docPropsVTypes">
  <Template>Normal.dotm</Template>
  <Pages>63</Pages>
  <Words>512</Words>
  <Characters>541</Characters>
  <Lines>252</Lines>
  <Paragraphs>71</Paragraphs>
  <TotalTime>55</TotalTime>
  <ScaleCrop>false</ScaleCrop>
  <LinksUpToDate>false</LinksUpToDate>
  <CharactersWithSpaces>697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2020-10-08T15:33:00Z</dcterms:created>
  <dc:creator>gdy</dc:creator>
  <cp:lastModifiedBy>侯育红</cp:lastModifiedBy>
  <cp:lastPrinted>2026-07-17T07:37:00Z</cp:lastPrinted>
  <dcterms:modified xsi:type="dcterms:W3CDTF">2026-07-20T01:06:57Z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107F8AAEEF954F739C84DE83A0A5C061_13</vt:lpwstr>
  </property>
  <property fmtid="{D5CDD505-2E9C-101B-9397-08002B2CF9AE}" pid="4" name="KSOTemplateDocerSaveRecord">
    <vt:lpwstr>eyJoZGlkIjoiOGNhNzExMmJhMmU0NzIwNzY3MjJjNDMwOWE1MmM5ZjUiLCJ1c2VySWQiOiI3ODA4NDQ2NjMifQ==</vt:lpwstr>
  </property>
</Properties>
</file>