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C2C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6640195" cy="5199380"/>
            <wp:effectExtent l="0" t="0" r="8255" b="1270"/>
            <wp:docPr id="6" name="图片 13" descr="附图2 阳城县地表水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附图2 阳城县地表水系图"/>
                    <pic:cNvPicPr>
                      <a:picLocks noChangeAspect="1"/>
                    </pic:cNvPicPr>
                  </pic:nvPicPr>
                  <pic:blipFill>
                    <a:blip r:embed="rId4"/>
                    <a:srcRect l="7825" t="2708" r="9563" b="5838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0A4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</w:pPr>
      <w:bookmarkStart w:id="3" w:name="_GoBack"/>
      <w:bookmarkStart w:id="0" w:name="_Toc32140"/>
      <w:bookmarkStart w:id="1" w:name="_Toc10147"/>
      <w:bookmarkStart w:id="2" w:name="_Toc12430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附图2  地表水系图</w:t>
      </w:r>
      <w:bookmarkEnd w:id="0"/>
      <w:bookmarkEnd w:id="1"/>
      <w:bookmarkEnd w:id="2"/>
    </w:p>
    <w:bookmarkEnd w:id="3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25D055B0"/>
    <w:rsid w:val="28D95914"/>
    <w:rsid w:val="56F96B3F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0BB31778727542CD91BFB706151DC5D8_13</vt:lpwstr>
  </property>
</Properties>
</file>