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C62BA">
      <w:pPr>
        <w:spacing w:line="560" w:lineRule="exact"/>
        <w:jc w:val="left"/>
        <w:rPr>
          <w:rFonts w:hint="eastAsia" w:ascii="方正小标宋简体" w:hAnsi="方正小标宋简体" w:eastAsia="方正小标宋简体" w:cs="方正小标宋简体"/>
          <w:b w:val="0"/>
          <w:bCs w:val="0"/>
          <w:sz w:val="36"/>
          <w:szCs w:val="36"/>
          <w:lang w:eastAsia="zh-CN"/>
        </w:rPr>
      </w:pPr>
      <w:r>
        <w:rPr>
          <w:rFonts w:hint="eastAsia" w:ascii="方正小标宋简体" w:hAnsi="方正小标宋简体" w:eastAsia="方正小标宋简体" w:cs="方正小标宋简体"/>
          <w:b w:val="0"/>
          <w:bCs w:val="0"/>
          <w:sz w:val="36"/>
          <w:szCs w:val="36"/>
          <w:lang w:eastAsia="zh-CN"/>
        </w:rPr>
        <w:t>附件</w:t>
      </w:r>
    </w:p>
    <w:p w14:paraId="1FF0604D">
      <w:pPr>
        <w:spacing w:line="560" w:lineRule="exact"/>
        <w:jc w:val="left"/>
        <w:rPr>
          <w:rFonts w:hint="eastAsia"/>
          <w:b/>
          <w:bCs/>
          <w:sz w:val="36"/>
          <w:szCs w:val="36"/>
        </w:rPr>
      </w:pPr>
    </w:p>
    <w:p w14:paraId="7B1F4329">
      <w:pPr>
        <w:spacing w:line="560" w:lineRule="exact"/>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阳城县中心城区学前教育均衡布局提质</w:t>
      </w:r>
    </w:p>
    <w:p w14:paraId="54B19AF9">
      <w:pPr>
        <w:spacing w:line="560" w:lineRule="exact"/>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项目（</w:t>
      </w:r>
      <w:r>
        <w:rPr>
          <w:rFonts w:hint="eastAsia" w:ascii="方正小标宋简体" w:hAnsi="方正小标宋简体" w:eastAsia="方正小标宋简体" w:cs="方正小标宋简体"/>
          <w:b w:val="0"/>
          <w:bCs w:val="0"/>
          <w:sz w:val="44"/>
          <w:szCs w:val="44"/>
          <w:lang w:val="en-US" w:eastAsia="zh-CN"/>
        </w:rPr>
        <w:t>新建东城幼儿园</w:t>
      </w:r>
      <w:r>
        <w:rPr>
          <w:rFonts w:hint="eastAsia" w:ascii="方正小标宋简体" w:hAnsi="方正小标宋简体" w:eastAsia="方正小标宋简体" w:cs="方正小标宋简体"/>
          <w:b w:val="0"/>
          <w:bCs w:val="0"/>
          <w:sz w:val="44"/>
          <w:szCs w:val="44"/>
          <w:lang w:eastAsia="zh-CN"/>
        </w:rPr>
        <w:t>）房屋</w:t>
      </w:r>
    </w:p>
    <w:p w14:paraId="4EBBDE03">
      <w:pPr>
        <w:spacing w:line="560" w:lineRule="exact"/>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rPr>
        <w:t>征收补偿与安置方案</w:t>
      </w:r>
    </w:p>
    <w:p w14:paraId="35779131">
      <w:pPr>
        <w:spacing w:line="560" w:lineRule="exact"/>
        <w:ind w:firstLine="640" w:firstLineChars="200"/>
        <w:rPr>
          <w:rFonts w:hint="eastAsia" w:ascii="仿宋" w:hAnsi="仿宋" w:eastAsia="仿宋" w:cs="仿宋"/>
          <w:sz w:val="32"/>
          <w:szCs w:val="32"/>
        </w:rPr>
      </w:pPr>
    </w:p>
    <w:p w14:paraId="05182E45">
      <w:pPr>
        <w:spacing w:line="56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为</w:t>
      </w:r>
      <w:r>
        <w:rPr>
          <w:rFonts w:hint="eastAsia" w:ascii="仿宋" w:hAnsi="仿宋" w:eastAsia="仿宋" w:cs="仿宋"/>
          <w:sz w:val="32"/>
          <w:szCs w:val="32"/>
          <w:lang w:val="en-US" w:eastAsia="zh-CN"/>
        </w:rPr>
        <w:t>进一步优化县城范围内学前教育资源配置</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切实解决适龄儿童“入园难”问题</w:t>
      </w:r>
      <w:r>
        <w:rPr>
          <w:rFonts w:hint="eastAsia" w:ascii="仿宋" w:hAnsi="仿宋" w:eastAsia="仿宋" w:cs="仿宋"/>
          <w:sz w:val="32"/>
          <w:szCs w:val="32"/>
          <w:lang w:eastAsia="zh-CN"/>
        </w:rPr>
        <w:t>。现根据国务院《国有土地上房屋征收与补偿条例》等有关规定，结合实际，特制定阳城县中心城区学前教育均衡布局提质项目（</w:t>
      </w:r>
      <w:r>
        <w:rPr>
          <w:rFonts w:hint="eastAsia" w:ascii="仿宋" w:hAnsi="仿宋" w:eastAsia="仿宋" w:cs="仿宋"/>
          <w:sz w:val="32"/>
          <w:szCs w:val="32"/>
          <w:lang w:val="en-US" w:eastAsia="zh-CN"/>
        </w:rPr>
        <w:t>新建东城幼儿园</w:t>
      </w:r>
      <w:r>
        <w:rPr>
          <w:rFonts w:hint="eastAsia" w:ascii="仿宋" w:hAnsi="仿宋" w:eastAsia="仿宋" w:cs="仿宋"/>
          <w:sz w:val="32"/>
          <w:szCs w:val="32"/>
          <w:lang w:eastAsia="zh-CN"/>
        </w:rPr>
        <w:t>）房屋征收补偿与安置方案。</w:t>
      </w:r>
    </w:p>
    <w:p w14:paraId="00F664F3">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一、征收范围</w:t>
      </w:r>
    </w:p>
    <w:p w14:paraId="6290E50C">
      <w:pPr>
        <w:spacing w:line="56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阳城县中心城区学前教育均衡布局提质项目（</w:t>
      </w:r>
      <w:r>
        <w:rPr>
          <w:rFonts w:hint="eastAsia" w:ascii="仿宋" w:hAnsi="仿宋" w:eastAsia="仿宋" w:cs="仿宋"/>
          <w:sz w:val="32"/>
          <w:szCs w:val="32"/>
          <w:lang w:val="en-US" w:eastAsia="zh-CN"/>
        </w:rPr>
        <w:t>新建东城幼儿园</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选址位于凤城镇老窑头社区，用地面积约9309.07平方米，合计13.96亩，</w:t>
      </w:r>
      <w:r>
        <w:rPr>
          <w:rFonts w:hint="eastAsia" w:ascii="仿宋" w:hAnsi="仿宋" w:eastAsia="仿宋" w:cs="仿宋"/>
          <w:sz w:val="32"/>
          <w:szCs w:val="32"/>
        </w:rPr>
        <w:t>根据拆迁拆除实际</w:t>
      </w:r>
      <w:r>
        <w:rPr>
          <w:rFonts w:hint="eastAsia" w:ascii="仿宋" w:hAnsi="仿宋" w:eastAsia="仿宋" w:cs="仿宋"/>
          <w:sz w:val="32"/>
          <w:szCs w:val="32"/>
          <w:lang w:eastAsia="zh-CN"/>
        </w:rPr>
        <w:t>局部范围</w:t>
      </w:r>
      <w:r>
        <w:rPr>
          <w:rFonts w:hint="eastAsia" w:ascii="仿宋" w:hAnsi="仿宋" w:eastAsia="仿宋" w:cs="仿宋"/>
          <w:sz w:val="32"/>
          <w:szCs w:val="32"/>
        </w:rPr>
        <w:t>可适当外展。</w:t>
      </w:r>
      <w:r>
        <w:rPr>
          <w:rFonts w:hint="eastAsia" w:ascii="仿宋" w:hAnsi="仿宋" w:eastAsia="仿宋" w:cs="仿宋"/>
          <w:kern w:val="0"/>
          <w:sz w:val="32"/>
          <w:szCs w:val="32"/>
          <w:lang w:eastAsia="zh-CN"/>
        </w:rPr>
        <w:t>具体范围以</w:t>
      </w:r>
      <w:r>
        <w:rPr>
          <w:rFonts w:hint="eastAsia" w:ascii="仿宋" w:hAnsi="仿宋" w:eastAsia="仿宋" w:cs="仿宋"/>
          <w:sz w:val="32"/>
          <w:szCs w:val="32"/>
          <w:lang w:eastAsia="zh-CN"/>
        </w:rPr>
        <w:t>阳城县中心城区学前教育均衡布局提质项目（</w:t>
      </w:r>
      <w:r>
        <w:rPr>
          <w:rFonts w:hint="eastAsia" w:ascii="仿宋" w:hAnsi="仿宋" w:eastAsia="仿宋" w:cs="仿宋"/>
          <w:sz w:val="32"/>
          <w:szCs w:val="32"/>
          <w:lang w:val="en-US" w:eastAsia="zh-CN"/>
        </w:rPr>
        <w:t>新建东城幼儿园</w:t>
      </w:r>
      <w:r>
        <w:rPr>
          <w:rFonts w:hint="eastAsia" w:ascii="仿宋" w:hAnsi="仿宋" w:eastAsia="仿宋" w:cs="仿宋"/>
          <w:sz w:val="32"/>
          <w:szCs w:val="32"/>
          <w:lang w:eastAsia="zh-CN"/>
        </w:rPr>
        <w:t>）规划</w:t>
      </w:r>
      <w:r>
        <w:rPr>
          <w:rFonts w:hint="eastAsia" w:ascii="仿宋" w:hAnsi="仿宋" w:eastAsia="仿宋" w:cs="仿宋"/>
          <w:sz w:val="32"/>
          <w:szCs w:val="32"/>
        </w:rPr>
        <w:t>红线为准。</w:t>
      </w:r>
    </w:p>
    <w:p w14:paraId="3108284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（二）在房屋征收范围确定并发布公告之日起，被征收人不得在房屋征收范围内实施新建、扩建、改建房屋和改变房屋用途等不当增加补偿费用的行为</w:t>
      </w:r>
      <w:r>
        <w:rPr>
          <w:rFonts w:hint="eastAsia" w:ascii="仿宋" w:hAnsi="仿宋" w:eastAsia="仿宋" w:cs="仿宋"/>
          <w:sz w:val="32"/>
          <w:szCs w:val="32"/>
          <w:lang w:eastAsia="zh-CN"/>
        </w:rPr>
        <w:t>，</w:t>
      </w:r>
      <w:r>
        <w:rPr>
          <w:rFonts w:hint="eastAsia" w:ascii="仿宋" w:hAnsi="仿宋" w:eastAsia="仿宋" w:cs="仿宋"/>
          <w:sz w:val="32"/>
          <w:szCs w:val="32"/>
        </w:rPr>
        <w:t>违反规定实施的部分不予补偿。</w:t>
      </w:r>
    </w:p>
    <w:p w14:paraId="1CDC5650">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二、征收部门和实施单位</w:t>
      </w:r>
    </w:p>
    <w:p w14:paraId="2FF15AC9">
      <w:pPr>
        <w:spacing w:line="56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征收部门：</w:t>
      </w:r>
      <w:r>
        <w:rPr>
          <w:rFonts w:hint="eastAsia" w:ascii="仿宋" w:hAnsi="仿宋" w:eastAsia="仿宋" w:cs="仿宋"/>
          <w:color w:val="auto"/>
          <w:sz w:val="32"/>
          <w:szCs w:val="32"/>
          <w:lang w:eastAsia="zh-CN"/>
        </w:rPr>
        <w:t>阳城县住房和城乡建设管理局</w:t>
      </w:r>
    </w:p>
    <w:p w14:paraId="1AC89E89">
      <w:pPr>
        <w:spacing w:line="56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征收实施单位：</w:t>
      </w:r>
      <w:r>
        <w:rPr>
          <w:rFonts w:hint="eastAsia" w:ascii="仿宋" w:hAnsi="仿宋" w:eastAsia="仿宋" w:cs="仿宋"/>
          <w:color w:val="auto"/>
          <w:sz w:val="32"/>
          <w:szCs w:val="32"/>
          <w:lang w:eastAsia="zh-CN"/>
        </w:rPr>
        <w:t>凤城镇人民政府</w:t>
      </w:r>
    </w:p>
    <w:p w14:paraId="735D901C">
      <w:pPr>
        <w:spacing w:line="560" w:lineRule="exact"/>
        <w:ind w:firstLine="640" w:firstLineChars="200"/>
        <w:rPr>
          <w:rFonts w:ascii="仿宋" w:hAnsi="仿宋" w:eastAsia="仿宋" w:cs="仿宋"/>
          <w:sz w:val="32"/>
          <w:szCs w:val="32"/>
        </w:rPr>
      </w:pPr>
      <w:r>
        <w:rPr>
          <w:rFonts w:hint="eastAsia" w:ascii="仿宋" w:hAnsi="仿宋" w:eastAsia="仿宋" w:cs="仿宋"/>
          <w:color w:val="auto"/>
          <w:sz w:val="32"/>
          <w:szCs w:val="32"/>
        </w:rPr>
        <w:t>征收实施单位具体承担该项目红线范围内的建筑物及</w:t>
      </w:r>
      <w:r>
        <w:rPr>
          <w:rFonts w:hint="eastAsia" w:ascii="仿宋" w:hAnsi="仿宋" w:eastAsia="仿宋" w:cs="仿宋"/>
          <w:sz w:val="32"/>
          <w:szCs w:val="32"/>
        </w:rPr>
        <w:t>附属物等设施的征收、补偿、拆</w:t>
      </w:r>
      <w:r>
        <w:rPr>
          <w:rFonts w:hint="eastAsia" w:ascii="仿宋" w:hAnsi="仿宋" w:eastAsia="仿宋" w:cs="仿宋"/>
          <w:sz w:val="32"/>
          <w:szCs w:val="32"/>
          <w:lang w:eastAsia="zh-CN"/>
        </w:rPr>
        <w:t>除</w:t>
      </w:r>
      <w:r>
        <w:rPr>
          <w:rFonts w:hint="eastAsia" w:ascii="仿宋" w:hAnsi="仿宋" w:eastAsia="仿宋" w:cs="仿宋"/>
          <w:sz w:val="32"/>
          <w:szCs w:val="32"/>
        </w:rPr>
        <w:t>、安置等工作。</w:t>
      </w:r>
    </w:p>
    <w:p w14:paraId="46873F3A">
      <w:pPr>
        <w:spacing w:line="560" w:lineRule="exact"/>
        <w:ind w:firstLine="640" w:firstLineChars="200"/>
        <w:rPr>
          <w:rFonts w:ascii="仿宋" w:hAnsi="仿宋" w:eastAsia="仿宋" w:cs="仿宋"/>
          <w:sz w:val="32"/>
          <w:szCs w:val="32"/>
        </w:rPr>
      </w:pPr>
      <w:r>
        <w:rPr>
          <w:rFonts w:hint="eastAsia" w:ascii="仿宋" w:hAnsi="仿宋" w:eastAsia="仿宋" w:cs="仿宋"/>
          <w:color w:val="auto"/>
          <w:sz w:val="32"/>
          <w:szCs w:val="32"/>
          <w:lang w:val="en-US" w:eastAsia="zh-CN"/>
        </w:rPr>
        <w:t>征收部门</w:t>
      </w:r>
      <w:r>
        <w:rPr>
          <w:rFonts w:hint="eastAsia" w:ascii="仿宋" w:hAnsi="仿宋" w:eastAsia="仿宋" w:cs="仿宋"/>
          <w:color w:val="auto"/>
          <w:sz w:val="32"/>
          <w:szCs w:val="32"/>
        </w:rPr>
        <w:t>对</w:t>
      </w:r>
      <w:r>
        <w:rPr>
          <w:rFonts w:hint="eastAsia" w:ascii="仿宋" w:hAnsi="仿宋" w:eastAsia="仿宋" w:cs="仿宋"/>
          <w:sz w:val="32"/>
          <w:szCs w:val="32"/>
        </w:rPr>
        <w:t>房屋征收实施单位在委托范围内实施的房屋征收与补偿行为负责监督，并对其行为后果承担法律责任。</w:t>
      </w:r>
    </w:p>
    <w:p w14:paraId="75D3BEFB">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三、被征收房屋的认定</w:t>
      </w:r>
    </w:p>
    <w:p w14:paraId="439FD029">
      <w:pPr>
        <w:spacing w:line="560" w:lineRule="exact"/>
        <w:ind w:firstLine="640" w:firstLineChars="200"/>
        <w:rPr>
          <w:rFonts w:ascii="仿宋" w:hAnsi="仿宋" w:eastAsia="仿宋" w:cs="仿宋"/>
          <w:b/>
          <w:bCs/>
          <w:sz w:val="32"/>
          <w:szCs w:val="32"/>
        </w:rPr>
      </w:pPr>
      <w:r>
        <w:rPr>
          <w:rFonts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被征收房屋的权属认定，以《土地使用证》《房屋所有权证》《不动产权证</w:t>
      </w:r>
      <w:r>
        <w:rPr>
          <w:rFonts w:hint="eastAsia" w:ascii="仿宋" w:hAnsi="仿宋" w:eastAsia="仿宋" w:cs="仿宋"/>
          <w:sz w:val="32"/>
          <w:szCs w:val="32"/>
          <w:lang w:eastAsia="zh-CN"/>
        </w:rPr>
        <w:t>书</w:t>
      </w:r>
      <w:r>
        <w:rPr>
          <w:rFonts w:hint="eastAsia" w:ascii="仿宋" w:hAnsi="仿宋" w:eastAsia="仿宋" w:cs="仿宋"/>
          <w:sz w:val="32"/>
          <w:szCs w:val="32"/>
        </w:rPr>
        <w:t>》及法院生效法律文书、生效仲裁文书等有效法律文书为依据。对未经登记的房屋以有关部门认定的结果处理。对认定为违法建筑和超过批准期限的临时建筑，不予补偿。</w:t>
      </w:r>
    </w:p>
    <w:p w14:paraId="313BB9C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drawing>
          <wp:anchor distT="0" distB="0" distL="114300" distR="114300" simplePos="0" relativeHeight="251660288" behindDoc="0" locked="0" layoutInCell="1" allowOverlap="1">
            <wp:simplePos x="0" y="0"/>
            <wp:positionH relativeFrom="page">
              <wp:posOffset>352425</wp:posOffset>
            </wp:positionH>
            <wp:positionV relativeFrom="page">
              <wp:posOffset>3097530</wp:posOffset>
            </wp:positionV>
            <wp:extent cx="5080" cy="10160"/>
            <wp:effectExtent l="0" t="0" r="0" b="0"/>
            <wp:wrapSquare wrapText="bothSides"/>
            <wp:docPr id="1" name="Picture 2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232"/>
                    <pic:cNvPicPr>
                      <a:picLocks noChangeAspect="1"/>
                    </pic:cNvPicPr>
                  </pic:nvPicPr>
                  <pic:blipFill>
                    <a:blip r:embed="rId5"/>
                    <a:stretch>
                      <a:fillRect/>
                    </a:stretch>
                  </pic:blipFill>
                  <pic:spPr>
                    <a:xfrm>
                      <a:off x="0" y="0"/>
                      <a:ext cx="5080" cy="10160"/>
                    </a:xfrm>
                    <a:prstGeom prst="rect">
                      <a:avLst/>
                    </a:prstGeom>
                    <a:noFill/>
                    <a:ln w="12700">
                      <a:noFill/>
                    </a:ln>
                  </pic:spPr>
                </pic:pic>
              </a:graphicData>
            </a:graphic>
          </wp:anchor>
        </w:drawing>
      </w:r>
      <w:r>
        <w:rPr>
          <w:rFonts w:hint="eastAsia" w:ascii="仿宋" w:hAnsi="仿宋" w:eastAsia="仿宋" w:cs="仿宋"/>
          <w:sz w:val="32"/>
          <w:szCs w:val="32"/>
        </w:rPr>
        <w:drawing>
          <wp:anchor distT="0" distB="0" distL="114300" distR="114300" simplePos="0" relativeHeight="251661312" behindDoc="0" locked="0" layoutInCell="1" allowOverlap="1">
            <wp:simplePos x="0" y="0"/>
            <wp:positionH relativeFrom="page">
              <wp:posOffset>585470</wp:posOffset>
            </wp:positionH>
            <wp:positionV relativeFrom="page">
              <wp:posOffset>5678805</wp:posOffset>
            </wp:positionV>
            <wp:extent cx="5080" cy="34925"/>
            <wp:effectExtent l="0" t="0" r="13970" b="3175"/>
            <wp:wrapSquare wrapText="bothSides"/>
            <wp:docPr id="2" name="Picture 2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236"/>
                    <pic:cNvPicPr>
                      <a:picLocks noChangeAspect="1"/>
                    </pic:cNvPicPr>
                  </pic:nvPicPr>
                  <pic:blipFill>
                    <a:blip r:embed="rId6"/>
                    <a:stretch>
                      <a:fillRect/>
                    </a:stretch>
                  </pic:blipFill>
                  <pic:spPr>
                    <a:xfrm>
                      <a:off x="0" y="0"/>
                      <a:ext cx="5080" cy="34925"/>
                    </a:xfrm>
                    <a:prstGeom prst="rect">
                      <a:avLst/>
                    </a:prstGeom>
                    <a:noFill/>
                    <a:ln w="12700">
                      <a:noFill/>
                    </a:ln>
                  </pic:spPr>
                </pic:pic>
              </a:graphicData>
            </a:graphic>
          </wp:anchor>
        </w:drawing>
      </w:r>
      <w:r>
        <w:rPr>
          <w:rFonts w:hint="eastAsia" w:ascii="仿宋" w:hAnsi="仿宋" w:eastAsia="仿宋" w:cs="仿宋"/>
          <w:sz w:val="32"/>
          <w:szCs w:val="32"/>
        </w:rPr>
        <w:drawing>
          <wp:anchor distT="0" distB="0" distL="114300" distR="114300" simplePos="0" relativeHeight="251662336" behindDoc="0" locked="0" layoutInCell="1" allowOverlap="1">
            <wp:simplePos x="0" y="0"/>
            <wp:positionH relativeFrom="page">
              <wp:posOffset>610235</wp:posOffset>
            </wp:positionH>
            <wp:positionV relativeFrom="page">
              <wp:posOffset>5723255</wp:posOffset>
            </wp:positionV>
            <wp:extent cx="5080" cy="34925"/>
            <wp:effectExtent l="0" t="0" r="13970" b="3175"/>
            <wp:wrapSquare wrapText="bothSides"/>
            <wp:docPr id="3" name="Picture 2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237"/>
                    <pic:cNvPicPr>
                      <a:picLocks noChangeAspect="1"/>
                    </pic:cNvPicPr>
                  </pic:nvPicPr>
                  <pic:blipFill>
                    <a:blip r:embed="rId7"/>
                    <a:stretch>
                      <a:fillRect/>
                    </a:stretch>
                  </pic:blipFill>
                  <pic:spPr>
                    <a:xfrm>
                      <a:off x="0" y="0"/>
                      <a:ext cx="5080" cy="34925"/>
                    </a:xfrm>
                    <a:prstGeom prst="rect">
                      <a:avLst/>
                    </a:prstGeom>
                    <a:noFill/>
                    <a:ln w="12700">
                      <a:noFill/>
                    </a:ln>
                  </pic:spPr>
                </pic:pic>
              </a:graphicData>
            </a:graphic>
          </wp:anchor>
        </w:drawing>
      </w:r>
      <w:r>
        <w:rPr>
          <w:rFonts w:hint="eastAsia" w:ascii="仿宋" w:hAnsi="仿宋" w:eastAsia="仿宋" w:cs="仿宋"/>
          <w:sz w:val="32"/>
          <w:szCs w:val="32"/>
        </w:rPr>
        <w:drawing>
          <wp:anchor distT="0" distB="0" distL="114300" distR="114300" simplePos="0" relativeHeight="251663360" behindDoc="0" locked="0" layoutInCell="1" allowOverlap="1">
            <wp:simplePos x="0" y="0"/>
            <wp:positionH relativeFrom="page">
              <wp:posOffset>585470</wp:posOffset>
            </wp:positionH>
            <wp:positionV relativeFrom="page">
              <wp:posOffset>5812790</wp:posOffset>
            </wp:positionV>
            <wp:extent cx="5080" cy="14605"/>
            <wp:effectExtent l="0" t="0" r="0" b="0"/>
            <wp:wrapSquare wrapText="bothSides"/>
            <wp:docPr id="4" name="Picture 2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238"/>
                    <pic:cNvPicPr>
                      <a:picLocks noChangeAspect="1"/>
                    </pic:cNvPicPr>
                  </pic:nvPicPr>
                  <pic:blipFill>
                    <a:blip r:embed="rId8"/>
                    <a:stretch>
                      <a:fillRect/>
                    </a:stretch>
                  </pic:blipFill>
                  <pic:spPr>
                    <a:xfrm>
                      <a:off x="0" y="0"/>
                      <a:ext cx="5080" cy="14605"/>
                    </a:xfrm>
                    <a:prstGeom prst="rect">
                      <a:avLst/>
                    </a:prstGeom>
                    <a:noFill/>
                    <a:ln w="12700">
                      <a:noFill/>
                    </a:ln>
                  </pic:spPr>
                </pic:pic>
              </a:graphicData>
            </a:graphic>
          </wp:anchor>
        </w:drawing>
      </w:r>
      <w:r>
        <w:rPr>
          <w:rFonts w:hint="eastAsia" w:ascii="仿宋" w:hAnsi="仿宋" w:eastAsia="仿宋" w:cs="仿宋"/>
          <w:sz w:val="32"/>
          <w:szCs w:val="32"/>
        </w:rPr>
        <w:drawing>
          <wp:anchor distT="0" distB="0" distL="114300" distR="114300" simplePos="0" relativeHeight="251664384" behindDoc="0" locked="0" layoutInCell="1" allowOverlap="1">
            <wp:simplePos x="0" y="0"/>
            <wp:positionH relativeFrom="page">
              <wp:posOffset>610235</wp:posOffset>
            </wp:positionH>
            <wp:positionV relativeFrom="page">
              <wp:posOffset>6473190</wp:posOffset>
            </wp:positionV>
            <wp:extent cx="5080" cy="29845"/>
            <wp:effectExtent l="0" t="0" r="13970" b="8255"/>
            <wp:wrapSquare wrapText="bothSides"/>
            <wp:docPr id="5" name="Picture 2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244"/>
                    <pic:cNvPicPr>
                      <a:picLocks noChangeAspect="1"/>
                    </pic:cNvPicPr>
                  </pic:nvPicPr>
                  <pic:blipFill>
                    <a:blip r:embed="rId9"/>
                    <a:stretch>
                      <a:fillRect/>
                    </a:stretch>
                  </pic:blipFill>
                  <pic:spPr>
                    <a:xfrm>
                      <a:off x="0" y="0"/>
                      <a:ext cx="5080" cy="29845"/>
                    </a:xfrm>
                    <a:prstGeom prst="rect">
                      <a:avLst/>
                    </a:prstGeom>
                    <a:noFill/>
                    <a:ln w="12700">
                      <a:noFill/>
                    </a:ln>
                  </pic:spPr>
                </pic:pic>
              </a:graphicData>
            </a:graphic>
          </wp:anchor>
        </w:drawing>
      </w:r>
      <w:r>
        <w:rPr>
          <w:rFonts w:hint="eastAsia" w:ascii="仿宋" w:hAnsi="仿宋" w:eastAsia="仿宋" w:cs="仿宋"/>
          <w:sz w:val="32"/>
          <w:szCs w:val="32"/>
        </w:rPr>
        <w:drawing>
          <wp:anchor distT="0" distB="0" distL="114300" distR="114300" simplePos="0" relativeHeight="251665408" behindDoc="0" locked="0" layoutInCell="1" allowOverlap="1">
            <wp:simplePos x="0" y="0"/>
            <wp:positionH relativeFrom="page">
              <wp:posOffset>570865</wp:posOffset>
            </wp:positionH>
            <wp:positionV relativeFrom="page">
              <wp:posOffset>6631940</wp:posOffset>
            </wp:positionV>
            <wp:extent cx="5080" cy="40005"/>
            <wp:effectExtent l="0" t="0" r="13970" b="17145"/>
            <wp:wrapSquare wrapText="bothSides"/>
            <wp:docPr id="6" name="Picture 2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246"/>
                    <pic:cNvPicPr>
                      <a:picLocks noChangeAspect="1"/>
                    </pic:cNvPicPr>
                  </pic:nvPicPr>
                  <pic:blipFill>
                    <a:blip r:embed="rId10"/>
                    <a:stretch>
                      <a:fillRect/>
                    </a:stretch>
                  </pic:blipFill>
                  <pic:spPr>
                    <a:xfrm>
                      <a:off x="0" y="0"/>
                      <a:ext cx="5080" cy="40005"/>
                    </a:xfrm>
                    <a:prstGeom prst="rect">
                      <a:avLst/>
                    </a:prstGeom>
                    <a:noFill/>
                    <a:ln w="12700">
                      <a:noFill/>
                    </a:ln>
                  </pic:spPr>
                </pic:pic>
              </a:graphicData>
            </a:graphic>
          </wp:anchor>
        </w:drawing>
      </w:r>
      <w:r>
        <w:rPr>
          <w:rFonts w:hint="eastAsia" w:ascii="仿宋" w:hAnsi="仿宋" w:eastAsia="仿宋" w:cs="仿宋"/>
          <w:sz w:val="32"/>
          <w:szCs w:val="32"/>
        </w:rPr>
        <w:drawing>
          <wp:anchor distT="0" distB="0" distL="114300" distR="114300" simplePos="0" relativeHeight="251666432" behindDoc="0" locked="0" layoutInCell="1" allowOverlap="1">
            <wp:simplePos x="0" y="0"/>
            <wp:positionH relativeFrom="page">
              <wp:posOffset>595630</wp:posOffset>
            </wp:positionH>
            <wp:positionV relativeFrom="page">
              <wp:posOffset>6686550</wp:posOffset>
            </wp:positionV>
            <wp:extent cx="5080" cy="5080"/>
            <wp:effectExtent l="0" t="0" r="0" b="0"/>
            <wp:wrapSquare wrapText="bothSides"/>
            <wp:docPr id="7" name="Picture 2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247"/>
                    <pic:cNvPicPr>
                      <a:picLocks noChangeAspect="1"/>
                    </pic:cNvPicPr>
                  </pic:nvPicPr>
                  <pic:blipFill>
                    <a:blip r:embed="rId11"/>
                    <a:stretch>
                      <a:fillRect/>
                    </a:stretch>
                  </pic:blipFill>
                  <pic:spPr>
                    <a:xfrm>
                      <a:off x="0" y="0"/>
                      <a:ext cx="5080" cy="5080"/>
                    </a:xfrm>
                    <a:prstGeom prst="rect">
                      <a:avLst/>
                    </a:prstGeom>
                    <a:noFill/>
                    <a:ln w="12700">
                      <a:noFill/>
                    </a:ln>
                  </pic:spPr>
                </pic:pic>
              </a:graphicData>
            </a:graphic>
          </wp:anchor>
        </w:drawing>
      </w:r>
      <w:r>
        <w:rPr>
          <w:rFonts w:hint="eastAsia" w:ascii="仿宋" w:hAnsi="仿宋" w:eastAsia="仿宋" w:cs="仿宋"/>
          <w:sz w:val="32"/>
          <w:szCs w:val="32"/>
        </w:rPr>
        <w:drawing>
          <wp:anchor distT="0" distB="0" distL="114300" distR="114300" simplePos="0" relativeHeight="251667456" behindDoc="0" locked="0" layoutInCell="1" allowOverlap="1">
            <wp:simplePos x="0" y="0"/>
            <wp:positionH relativeFrom="page">
              <wp:posOffset>610235</wp:posOffset>
            </wp:positionH>
            <wp:positionV relativeFrom="page">
              <wp:posOffset>6880225</wp:posOffset>
            </wp:positionV>
            <wp:extent cx="5080" cy="14605"/>
            <wp:effectExtent l="0" t="0" r="0" b="0"/>
            <wp:wrapSquare wrapText="bothSides"/>
            <wp:docPr id="8" name="Picture 2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248"/>
                    <pic:cNvPicPr>
                      <a:picLocks noChangeAspect="1"/>
                    </pic:cNvPicPr>
                  </pic:nvPicPr>
                  <pic:blipFill>
                    <a:blip r:embed="rId12"/>
                    <a:stretch>
                      <a:fillRect/>
                    </a:stretch>
                  </pic:blipFill>
                  <pic:spPr>
                    <a:xfrm>
                      <a:off x="0" y="0"/>
                      <a:ext cx="5080" cy="14605"/>
                    </a:xfrm>
                    <a:prstGeom prst="rect">
                      <a:avLst/>
                    </a:prstGeom>
                    <a:noFill/>
                    <a:ln w="12700">
                      <a:noFill/>
                    </a:ln>
                  </pic:spPr>
                </pic:pic>
              </a:graphicData>
            </a:graphic>
          </wp:anchor>
        </w:drawing>
      </w:r>
      <w:r>
        <w:rPr>
          <w:rFonts w:hint="eastAsia" w:ascii="仿宋" w:hAnsi="仿宋" w:eastAsia="仿宋" w:cs="仿宋"/>
          <w:sz w:val="32"/>
          <w:szCs w:val="32"/>
        </w:rPr>
        <w:drawing>
          <wp:anchor distT="0" distB="0" distL="114300" distR="114300" simplePos="0" relativeHeight="251668480" behindDoc="0" locked="0" layoutInCell="1" allowOverlap="1">
            <wp:simplePos x="0" y="0"/>
            <wp:positionH relativeFrom="page">
              <wp:posOffset>590550</wp:posOffset>
            </wp:positionH>
            <wp:positionV relativeFrom="page">
              <wp:posOffset>6889750</wp:posOffset>
            </wp:positionV>
            <wp:extent cx="10160" cy="10160"/>
            <wp:effectExtent l="0" t="0" r="0" b="0"/>
            <wp:wrapSquare wrapText="bothSides"/>
            <wp:docPr id="9" name="Picture 2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249"/>
                    <pic:cNvPicPr>
                      <a:picLocks noChangeAspect="1"/>
                    </pic:cNvPicPr>
                  </pic:nvPicPr>
                  <pic:blipFill>
                    <a:blip r:embed="rId13"/>
                    <a:stretch>
                      <a:fillRect/>
                    </a:stretch>
                  </pic:blipFill>
                  <pic:spPr>
                    <a:xfrm>
                      <a:off x="0" y="0"/>
                      <a:ext cx="10160" cy="10160"/>
                    </a:xfrm>
                    <a:prstGeom prst="rect">
                      <a:avLst/>
                    </a:prstGeom>
                    <a:noFill/>
                    <a:ln w="12700">
                      <a:noFill/>
                    </a:ln>
                  </pic:spPr>
                </pic:pic>
              </a:graphicData>
            </a:graphic>
          </wp:anchor>
        </w:drawing>
      </w:r>
      <w:r>
        <w:rPr>
          <w:rFonts w:hint="eastAsia" w:ascii="仿宋" w:hAnsi="仿宋" w:eastAsia="仿宋" w:cs="仿宋"/>
          <w:sz w:val="32"/>
          <w:szCs w:val="32"/>
        </w:rPr>
        <w:drawing>
          <wp:anchor distT="0" distB="0" distL="114300" distR="114300" simplePos="0" relativeHeight="251669504" behindDoc="0" locked="0" layoutInCell="1" allowOverlap="1">
            <wp:simplePos x="0" y="0"/>
            <wp:positionH relativeFrom="page">
              <wp:posOffset>570865</wp:posOffset>
            </wp:positionH>
            <wp:positionV relativeFrom="page">
              <wp:posOffset>6924675</wp:posOffset>
            </wp:positionV>
            <wp:extent cx="5080" cy="14605"/>
            <wp:effectExtent l="0" t="0" r="0" b="0"/>
            <wp:wrapSquare wrapText="bothSides"/>
            <wp:docPr id="10" name="Picture 2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250"/>
                    <pic:cNvPicPr>
                      <a:picLocks noChangeAspect="1"/>
                    </pic:cNvPicPr>
                  </pic:nvPicPr>
                  <pic:blipFill>
                    <a:blip r:embed="rId14"/>
                    <a:stretch>
                      <a:fillRect/>
                    </a:stretch>
                  </pic:blipFill>
                  <pic:spPr>
                    <a:xfrm>
                      <a:off x="0" y="0"/>
                      <a:ext cx="5080" cy="14605"/>
                    </a:xfrm>
                    <a:prstGeom prst="rect">
                      <a:avLst/>
                    </a:prstGeom>
                    <a:noFill/>
                    <a:ln w="12700">
                      <a:noFill/>
                    </a:ln>
                  </pic:spPr>
                </pic:pic>
              </a:graphicData>
            </a:graphic>
          </wp:anchor>
        </w:drawing>
      </w:r>
      <w:r>
        <w:rPr>
          <w:rFonts w:hint="eastAsia" w:ascii="仿宋" w:hAnsi="仿宋" w:eastAsia="仿宋" w:cs="仿宋"/>
          <w:sz w:val="32"/>
          <w:szCs w:val="32"/>
        </w:rPr>
        <w:drawing>
          <wp:anchor distT="0" distB="0" distL="114300" distR="114300" simplePos="0" relativeHeight="251670528" behindDoc="0" locked="0" layoutInCell="1" allowOverlap="1">
            <wp:simplePos x="0" y="0"/>
            <wp:positionH relativeFrom="page">
              <wp:posOffset>610235</wp:posOffset>
            </wp:positionH>
            <wp:positionV relativeFrom="page">
              <wp:posOffset>6939280</wp:posOffset>
            </wp:positionV>
            <wp:extent cx="5080" cy="10160"/>
            <wp:effectExtent l="0" t="0" r="0" b="0"/>
            <wp:wrapSquare wrapText="bothSides"/>
            <wp:docPr id="11" name="Picture 2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251"/>
                    <pic:cNvPicPr>
                      <a:picLocks noChangeAspect="1"/>
                    </pic:cNvPicPr>
                  </pic:nvPicPr>
                  <pic:blipFill>
                    <a:blip r:embed="rId15"/>
                    <a:stretch>
                      <a:fillRect/>
                    </a:stretch>
                  </pic:blipFill>
                  <pic:spPr>
                    <a:xfrm>
                      <a:off x="0" y="0"/>
                      <a:ext cx="5080" cy="10160"/>
                    </a:xfrm>
                    <a:prstGeom prst="rect">
                      <a:avLst/>
                    </a:prstGeom>
                    <a:noFill/>
                    <a:ln w="12700">
                      <a:noFill/>
                    </a:ln>
                  </pic:spPr>
                </pic:pic>
              </a:graphicData>
            </a:graphic>
          </wp:anchor>
        </w:drawing>
      </w:r>
      <w:r>
        <w:rPr>
          <w:rFonts w:hint="eastAsia" w:ascii="仿宋" w:hAnsi="仿宋" w:eastAsia="仿宋" w:cs="仿宋"/>
          <w:sz w:val="32"/>
          <w:szCs w:val="32"/>
        </w:rPr>
        <w:drawing>
          <wp:anchor distT="0" distB="0" distL="114300" distR="114300" simplePos="0" relativeHeight="251671552" behindDoc="0" locked="0" layoutInCell="1" allowOverlap="1">
            <wp:simplePos x="0" y="0"/>
            <wp:positionH relativeFrom="page">
              <wp:posOffset>565785</wp:posOffset>
            </wp:positionH>
            <wp:positionV relativeFrom="page">
              <wp:posOffset>6949440</wp:posOffset>
            </wp:positionV>
            <wp:extent cx="5080" cy="19685"/>
            <wp:effectExtent l="0" t="0" r="13970" b="8890"/>
            <wp:wrapSquare wrapText="bothSides"/>
            <wp:docPr id="12" name="Picture 2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252"/>
                    <pic:cNvPicPr>
                      <a:picLocks noChangeAspect="1"/>
                    </pic:cNvPicPr>
                  </pic:nvPicPr>
                  <pic:blipFill>
                    <a:blip r:embed="rId16"/>
                    <a:stretch>
                      <a:fillRect/>
                    </a:stretch>
                  </pic:blipFill>
                  <pic:spPr>
                    <a:xfrm>
                      <a:off x="0" y="0"/>
                      <a:ext cx="5080" cy="19685"/>
                    </a:xfrm>
                    <a:prstGeom prst="rect">
                      <a:avLst/>
                    </a:prstGeom>
                    <a:noFill/>
                    <a:ln w="12700">
                      <a:noFill/>
                    </a:ln>
                  </pic:spPr>
                </pic:pic>
              </a:graphicData>
            </a:graphic>
          </wp:anchor>
        </w:drawing>
      </w:r>
      <w:r>
        <w:rPr>
          <w:rFonts w:hint="eastAsia" w:ascii="仿宋" w:hAnsi="仿宋" w:eastAsia="仿宋" w:cs="仿宋"/>
          <w:sz w:val="32"/>
          <w:szCs w:val="32"/>
        </w:rPr>
        <w:drawing>
          <wp:anchor distT="0" distB="0" distL="114300" distR="114300" simplePos="0" relativeHeight="251672576" behindDoc="0" locked="0" layoutInCell="1" allowOverlap="1">
            <wp:simplePos x="0" y="0"/>
            <wp:positionH relativeFrom="page">
              <wp:posOffset>610235</wp:posOffset>
            </wp:positionH>
            <wp:positionV relativeFrom="page">
              <wp:posOffset>6964680</wp:posOffset>
            </wp:positionV>
            <wp:extent cx="5080" cy="5080"/>
            <wp:effectExtent l="0" t="0" r="0" b="0"/>
            <wp:wrapSquare wrapText="bothSides"/>
            <wp:docPr id="13" name="Picture 2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253"/>
                    <pic:cNvPicPr>
                      <a:picLocks noChangeAspect="1"/>
                    </pic:cNvPicPr>
                  </pic:nvPicPr>
                  <pic:blipFill>
                    <a:blip r:embed="rId17"/>
                    <a:stretch>
                      <a:fillRect/>
                    </a:stretch>
                  </pic:blipFill>
                  <pic:spPr>
                    <a:xfrm>
                      <a:off x="0" y="0"/>
                      <a:ext cx="5080" cy="5080"/>
                    </a:xfrm>
                    <a:prstGeom prst="rect">
                      <a:avLst/>
                    </a:prstGeom>
                    <a:noFill/>
                    <a:ln w="12700">
                      <a:noFill/>
                    </a:ln>
                  </pic:spPr>
                </pic:pic>
              </a:graphicData>
            </a:graphic>
          </wp:anchor>
        </w:drawing>
      </w:r>
      <w:r>
        <w:rPr>
          <w:rFonts w:hint="eastAsia" w:ascii="仿宋" w:hAnsi="仿宋" w:eastAsia="仿宋" w:cs="仿宋"/>
          <w:sz w:val="32"/>
          <w:szCs w:val="32"/>
        </w:rPr>
        <w:drawing>
          <wp:anchor distT="0" distB="0" distL="114300" distR="114300" simplePos="0" relativeHeight="251673600" behindDoc="0" locked="0" layoutInCell="1" allowOverlap="1">
            <wp:simplePos x="0" y="0"/>
            <wp:positionH relativeFrom="page">
              <wp:posOffset>620395</wp:posOffset>
            </wp:positionH>
            <wp:positionV relativeFrom="page">
              <wp:posOffset>6964680</wp:posOffset>
            </wp:positionV>
            <wp:extent cx="5080" cy="5080"/>
            <wp:effectExtent l="0" t="0" r="0" b="0"/>
            <wp:wrapSquare wrapText="bothSides"/>
            <wp:docPr id="14" name="Picture 2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254"/>
                    <pic:cNvPicPr>
                      <a:picLocks noChangeAspect="1"/>
                    </pic:cNvPicPr>
                  </pic:nvPicPr>
                  <pic:blipFill>
                    <a:blip r:embed="rId18"/>
                    <a:stretch>
                      <a:fillRect/>
                    </a:stretch>
                  </pic:blipFill>
                  <pic:spPr>
                    <a:xfrm>
                      <a:off x="0" y="0"/>
                      <a:ext cx="5080" cy="5080"/>
                    </a:xfrm>
                    <a:prstGeom prst="rect">
                      <a:avLst/>
                    </a:prstGeom>
                    <a:noFill/>
                    <a:ln w="12700">
                      <a:noFill/>
                    </a:ln>
                  </pic:spPr>
                </pic:pic>
              </a:graphicData>
            </a:graphic>
          </wp:anchor>
        </w:drawing>
      </w:r>
      <w:r>
        <w:rPr>
          <w:rFonts w:hint="eastAsia" w:ascii="仿宋" w:hAnsi="仿宋" w:eastAsia="仿宋" w:cs="仿宋"/>
          <w:sz w:val="32"/>
          <w:szCs w:val="32"/>
        </w:rPr>
        <w:drawing>
          <wp:anchor distT="0" distB="0" distL="114300" distR="114300" simplePos="0" relativeHeight="251674624" behindDoc="0" locked="0" layoutInCell="1" allowOverlap="1">
            <wp:simplePos x="0" y="0"/>
            <wp:positionH relativeFrom="page">
              <wp:posOffset>595630</wp:posOffset>
            </wp:positionH>
            <wp:positionV relativeFrom="page">
              <wp:posOffset>6988810</wp:posOffset>
            </wp:positionV>
            <wp:extent cx="10160" cy="10160"/>
            <wp:effectExtent l="0" t="0" r="0" b="0"/>
            <wp:wrapSquare wrapText="bothSides"/>
            <wp:docPr id="15" name="Picture 2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255"/>
                    <pic:cNvPicPr>
                      <a:picLocks noChangeAspect="1"/>
                    </pic:cNvPicPr>
                  </pic:nvPicPr>
                  <pic:blipFill>
                    <a:blip r:embed="rId19"/>
                    <a:stretch>
                      <a:fillRect/>
                    </a:stretch>
                  </pic:blipFill>
                  <pic:spPr>
                    <a:xfrm>
                      <a:off x="0" y="0"/>
                      <a:ext cx="10160" cy="10160"/>
                    </a:xfrm>
                    <a:prstGeom prst="rect">
                      <a:avLst/>
                    </a:prstGeom>
                    <a:noFill/>
                    <a:ln w="12700">
                      <a:noFill/>
                    </a:ln>
                  </pic:spPr>
                </pic:pic>
              </a:graphicData>
            </a:graphic>
          </wp:anchor>
        </w:drawing>
      </w:r>
      <w:r>
        <w:rPr>
          <w:rFonts w:hint="eastAsia" w:ascii="仿宋" w:hAnsi="仿宋" w:eastAsia="仿宋" w:cs="仿宋"/>
          <w:sz w:val="32"/>
          <w:szCs w:val="32"/>
        </w:rPr>
        <w:drawing>
          <wp:anchor distT="0" distB="0" distL="114300" distR="114300" simplePos="0" relativeHeight="251675648" behindDoc="0" locked="0" layoutInCell="1" allowOverlap="1">
            <wp:simplePos x="0" y="0"/>
            <wp:positionH relativeFrom="page">
              <wp:posOffset>605155</wp:posOffset>
            </wp:positionH>
            <wp:positionV relativeFrom="page">
              <wp:posOffset>7028815</wp:posOffset>
            </wp:positionV>
            <wp:extent cx="10160" cy="49530"/>
            <wp:effectExtent l="0" t="0" r="8890" b="7620"/>
            <wp:wrapSquare wrapText="bothSides"/>
            <wp:docPr id="16" name="Picture 2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256"/>
                    <pic:cNvPicPr>
                      <a:picLocks noChangeAspect="1"/>
                    </pic:cNvPicPr>
                  </pic:nvPicPr>
                  <pic:blipFill>
                    <a:blip r:embed="rId20"/>
                    <a:stretch>
                      <a:fillRect/>
                    </a:stretch>
                  </pic:blipFill>
                  <pic:spPr>
                    <a:xfrm>
                      <a:off x="0" y="0"/>
                      <a:ext cx="10160" cy="49530"/>
                    </a:xfrm>
                    <a:prstGeom prst="rect">
                      <a:avLst/>
                    </a:prstGeom>
                    <a:noFill/>
                    <a:ln w="12700">
                      <a:noFill/>
                    </a:ln>
                  </pic:spPr>
                </pic:pic>
              </a:graphicData>
            </a:graphic>
          </wp:anchor>
        </w:drawing>
      </w:r>
      <w:r>
        <w:rPr>
          <w:rFonts w:hint="eastAsia" w:ascii="仿宋" w:hAnsi="仿宋" w:eastAsia="仿宋" w:cs="仿宋"/>
          <w:sz w:val="32"/>
          <w:szCs w:val="32"/>
        </w:rPr>
        <w:drawing>
          <wp:anchor distT="0" distB="0" distL="114300" distR="114300" simplePos="0" relativeHeight="251676672" behindDoc="0" locked="0" layoutInCell="1" allowOverlap="1">
            <wp:simplePos x="0" y="0"/>
            <wp:positionH relativeFrom="page">
              <wp:posOffset>605155</wp:posOffset>
            </wp:positionH>
            <wp:positionV relativeFrom="page">
              <wp:posOffset>7321550</wp:posOffset>
            </wp:positionV>
            <wp:extent cx="10160" cy="24765"/>
            <wp:effectExtent l="0" t="0" r="8890" b="3810"/>
            <wp:wrapSquare wrapText="bothSides"/>
            <wp:docPr id="17" name="Picture 2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257"/>
                    <pic:cNvPicPr>
                      <a:picLocks noChangeAspect="1"/>
                    </pic:cNvPicPr>
                  </pic:nvPicPr>
                  <pic:blipFill>
                    <a:blip r:embed="rId21"/>
                    <a:stretch>
                      <a:fillRect/>
                    </a:stretch>
                  </pic:blipFill>
                  <pic:spPr>
                    <a:xfrm>
                      <a:off x="0" y="0"/>
                      <a:ext cx="10160" cy="24765"/>
                    </a:xfrm>
                    <a:prstGeom prst="rect">
                      <a:avLst/>
                    </a:prstGeom>
                    <a:noFill/>
                    <a:ln w="12700">
                      <a:noFill/>
                    </a:ln>
                  </pic:spPr>
                </pic:pic>
              </a:graphicData>
            </a:graphic>
          </wp:anchor>
        </w:drawing>
      </w:r>
      <w:r>
        <w:rPr>
          <w:rFonts w:hint="eastAsia" w:ascii="仿宋" w:hAnsi="仿宋" w:eastAsia="仿宋" w:cs="仿宋"/>
          <w:sz w:val="32"/>
          <w:szCs w:val="32"/>
        </w:rPr>
        <w:drawing>
          <wp:anchor distT="0" distB="0" distL="114300" distR="114300" simplePos="0" relativeHeight="251677696" behindDoc="0" locked="0" layoutInCell="1" allowOverlap="1">
            <wp:simplePos x="0" y="0"/>
            <wp:positionH relativeFrom="page">
              <wp:posOffset>570865</wp:posOffset>
            </wp:positionH>
            <wp:positionV relativeFrom="page">
              <wp:posOffset>7361555</wp:posOffset>
            </wp:positionV>
            <wp:extent cx="5080" cy="5080"/>
            <wp:effectExtent l="0" t="0" r="0" b="0"/>
            <wp:wrapSquare wrapText="bothSides"/>
            <wp:docPr id="18" name="Picture 2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258"/>
                    <pic:cNvPicPr>
                      <a:picLocks noChangeAspect="1"/>
                    </pic:cNvPicPr>
                  </pic:nvPicPr>
                  <pic:blipFill>
                    <a:blip r:embed="rId22"/>
                    <a:stretch>
                      <a:fillRect/>
                    </a:stretch>
                  </pic:blipFill>
                  <pic:spPr>
                    <a:xfrm>
                      <a:off x="0" y="0"/>
                      <a:ext cx="5080" cy="5080"/>
                    </a:xfrm>
                    <a:prstGeom prst="rect">
                      <a:avLst/>
                    </a:prstGeom>
                    <a:noFill/>
                    <a:ln w="12700">
                      <a:noFill/>
                    </a:ln>
                  </pic:spPr>
                </pic:pic>
              </a:graphicData>
            </a:graphic>
          </wp:anchor>
        </w:drawing>
      </w:r>
      <w:r>
        <w:rPr>
          <w:rFonts w:hint="eastAsia" w:ascii="仿宋" w:hAnsi="仿宋" w:eastAsia="仿宋" w:cs="仿宋"/>
          <w:sz w:val="32"/>
          <w:szCs w:val="32"/>
        </w:rPr>
        <w:drawing>
          <wp:anchor distT="0" distB="0" distL="114300" distR="114300" simplePos="0" relativeHeight="251678720" behindDoc="0" locked="0" layoutInCell="1" allowOverlap="1">
            <wp:simplePos x="0" y="0"/>
            <wp:positionH relativeFrom="page">
              <wp:posOffset>605155</wp:posOffset>
            </wp:positionH>
            <wp:positionV relativeFrom="page">
              <wp:posOffset>7396480</wp:posOffset>
            </wp:positionV>
            <wp:extent cx="10160" cy="14605"/>
            <wp:effectExtent l="0" t="0" r="0" b="0"/>
            <wp:wrapSquare wrapText="bothSides"/>
            <wp:docPr id="19" name="Picture 2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259"/>
                    <pic:cNvPicPr>
                      <a:picLocks noChangeAspect="1"/>
                    </pic:cNvPicPr>
                  </pic:nvPicPr>
                  <pic:blipFill>
                    <a:blip r:embed="rId23"/>
                    <a:stretch>
                      <a:fillRect/>
                    </a:stretch>
                  </pic:blipFill>
                  <pic:spPr>
                    <a:xfrm>
                      <a:off x="0" y="0"/>
                      <a:ext cx="10160" cy="14605"/>
                    </a:xfrm>
                    <a:prstGeom prst="rect">
                      <a:avLst/>
                    </a:prstGeom>
                    <a:noFill/>
                    <a:ln w="12700">
                      <a:noFill/>
                    </a:ln>
                  </pic:spPr>
                </pic:pic>
              </a:graphicData>
            </a:graphic>
          </wp:anchor>
        </w:drawing>
      </w:r>
      <w:r>
        <w:rPr>
          <w:rFonts w:hint="eastAsia" w:ascii="仿宋" w:hAnsi="仿宋" w:eastAsia="仿宋" w:cs="仿宋"/>
          <w:sz w:val="32"/>
          <w:szCs w:val="32"/>
        </w:rPr>
        <w:drawing>
          <wp:anchor distT="0" distB="0" distL="114300" distR="114300" simplePos="0" relativeHeight="251679744" behindDoc="0" locked="0" layoutInCell="1" allowOverlap="1">
            <wp:simplePos x="0" y="0"/>
            <wp:positionH relativeFrom="page">
              <wp:posOffset>595630</wp:posOffset>
            </wp:positionH>
            <wp:positionV relativeFrom="page">
              <wp:posOffset>7719060</wp:posOffset>
            </wp:positionV>
            <wp:extent cx="10160" cy="10160"/>
            <wp:effectExtent l="0" t="0" r="0" b="0"/>
            <wp:wrapSquare wrapText="bothSides"/>
            <wp:docPr id="20" name="Picture 2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261"/>
                    <pic:cNvPicPr>
                      <a:picLocks noChangeAspect="1"/>
                    </pic:cNvPicPr>
                  </pic:nvPicPr>
                  <pic:blipFill>
                    <a:blip r:embed="rId24"/>
                    <a:stretch>
                      <a:fillRect/>
                    </a:stretch>
                  </pic:blipFill>
                  <pic:spPr>
                    <a:xfrm>
                      <a:off x="0" y="0"/>
                      <a:ext cx="10160" cy="10160"/>
                    </a:xfrm>
                    <a:prstGeom prst="rect">
                      <a:avLst/>
                    </a:prstGeom>
                    <a:noFill/>
                    <a:ln w="12700">
                      <a:noFill/>
                    </a:ln>
                  </pic:spPr>
                </pic:pic>
              </a:graphicData>
            </a:graphic>
          </wp:anchor>
        </w:drawing>
      </w:r>
      <w:r>
        <w:rPr>
          <w:rFonts w:hint="eastAsia" w:ascii="仿宋" w:hAnsi="仿宋" w:eastAsia="仿宋" w:cs="仿宋"/>
          <w:sz w:val="32"/>
          <w:szCs w:val="32"/>
        </w:rPr>
        <w:drawing>
          <wp:anchor distT="0" distB="0" distL="114300" distR="114300" simplePos="0" relativeHeight="251680768" behindDoc="0" locked="0" layoutInCell="1" allowOverlap="1">
            <wp:simplePos x="0" y="0"/>
            <wp:positionH relativeFrom="page">
              <wp:posOffset>570865</wp:posOffset>
            </wp:positionH>
            <wp:positionV relativeFrom="page">
              <wp:posOffset>7813040</wp:posOffset>
            </wp:positionV>
            <wp:extent cx="5080" cy="10160"/>
            <wp:effectExtent l="0" t="0" r="0" b="0"/>
            <wp:wrapSquare wrapText="bothSides"/>
            <wp:docPr id="21" name="Picture 2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262"/>
                    <pic:cNvPicPr>
                      <a:picLocks noChangeAspect="1"/>
                    </pic:cNvPicPr>
                  </pic:nvPicPr>
                  <pic:blipFill>
                    <a:blip r:embed="rId25"/>
                    <a:stretch>
                      <a:fillRect/>
                    </a:stretch>
                  </pic:blipFill>
                  <pic:spPr>
                    <a:xfrm>
                      <a:off x="0" y="0"/>
                      <a:ext cx="5080" cy="10160"/>
                    </a:xfrm>
                    <a:prstGeom prst="rect">
                      <a:avLst/>
                    </a:prstGeom>
                    <a:noFill/>
                    <a:ln w="12700">
                      <a:noFill/>
                    </a:ln>
                  </pic:spPr>
                </pic:pic>
              </a:graphicData>
            </a:graphic>
          </wp:anchor>
        </w:drawing>
      </w:r>
      <w:r>
        <w:rPr>
          <w:rFonts w:hint="eastAsia" w:ascii="仿宋" w:hAnsi="仿宋" w:eastAsia="仿宋" w:cs="仿宋"/>
          <w:sz w:val="32"/>
          <w:szCs w:val="32"/>
        </w:rPr>
        <w:drawing>
          <wp:anchor distT="0" distB="0" distL="114300" distR="114300" simplePos="0" relativeHeight="251681792" behindDoc="0" locked="0" layoutInCell="1" allowOverlap="1">
            <wp:simplePos x="0" y="0"/>
            <wp:positionH relativeFrom="page">
              <wp:posOffset>610235</wp:posOffset>
            </wp:positionH>
            <wp:positionV relativeFrom="page">
              <wp:posOffset>7858125</wp:posOffset>
            </wp:positionV>
            <wp:extent cx="5080" cy="5080"/>
            <wp:effectExtent l="0" t="0" r="0" b="0"/>
            <wp:wrapSquare wrapText="bothSides"/>
            <wp:docPr id="22" name="Picture 2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63"/>
                    <pic:cNvPicPr>
                      <a:picLocks noChangeAspect="1"/>
                    </pic:cNvPicPr>
                  </pic:nvPicPr>
                  <pic:blipFill>
                    <a:blip r:embed="rId26"/>
                    <a:stretch>
                      <a:fillRect/>
                    </a:stretch>
                  </pic:blipFill>
                  <pic:spPr>
                    <a:xfrm>
                      <a:off x="0" y="0"/>
                      <a:ext cx="5080" cy="5080"/>
                    </a:xfrm>
                    <a:prstGeom prst="rect">
                      <a:avLst/>
                    </a:prstGeom>
                    <a:noFill/>
                    <a:ln w="12700">
                      <a:noFill/>
                    </a:ln>
                  </pic:spPr>
                </pic:pic>
              </a:graphicData>
            </a:graphic>
          </wp:anchor>
        </w:drawing>
      </w:r>
      <w:r>
        <w:rPr>
          <w:rFonts w:hint="eastAsia" w:ascii="仿宋" w:hAnsi="仿宋" w:eastAsia="仿宋" w:cs="仿宋"/>
          <w:sz w:val="32"/>
          <w:szCs w:val="32"/>
        </w:rPr>
        <w:drawing>
          <wp:anchor distT="0" distB="0" distL="114300" distR="114300" simplePos="0" relativeHeight="251682816" behindDoc="0" locked="0" layoutInCell="1" allowOverlap="1">
            <wp:simplePos x="0" y="0"/>
            <wp:positionH relativeFrom="page">
              <wp:posOffset>565785</wp:posOffset>
            </wp:positionH>
            <wp:positionV relativeFrom="page">
              <wp:posOffset>8110855</wp:posOffset>
            </wp:positionV>
            <wp:extent cx="10160" cy="29845"/>
            <wp:effectExtent l="0" t="0" r="8890" b="8255"/>
            <wp:wrapSquare wrapText="bothSides"/>
            <wp:docPr id="23" name="Picture 2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64"/>
                    <pic:cNvPicPr>
                      <a:picLocks noChangeAspect="1"/>
                    </pic:cNvPicPr>
                  </pic:nvPicPr>
                  <pic:blipFill>
                    <a:blip r:embed="rId27"/>
                    <a:stretch>
                      <a:fillRect/>
                    </a:stretch>
                  </pic:blipFill>
                  <pic:spPr>
                    <a:xfrm>
                      <a:off x="0" y="0"/>
                      <a:ext cx="10160" cy="29845"/>
                    </a:xfrm>
                    <a:prstGeom prst="rect">
                      <a:avLst/>
                    </a:prstGeom>
                    <a:noFill/>
                    <a:ln w="12700">
                      <a:noFill/>
                    </a:ln>
                  </pic:spPr>
                </pic:pic>
              </a:graphicData>
            </a:graphic>
          </wp:anchor>
        </w:drawing>
      </w:r>
      <w:r>
        <w:rPr>
          <w:rFonts w:hint="eastAsia" w:ascii="仿宋" w:hAnsi="仿宋" w:eastAsia="仿宋" w:cs="仿宋"/>
          <w:sz w:val="32"/>
          <w:szCs w:val="32"/>
        </w:rPr>
        <w:drawing>
          <wp:anchor distT="0" distB="0" distL="114300" distR="114300" simplePos="0" relativeHeight="251683840" behindDoc="0" locked="0" layoutInCell="1" allowOverlap="1">
            <wp:simplePos x="0" y="0"/>
            <wp:positionH relativeFrom="page">
              <wp:posOffset>570865</wp:posOffset>
            </wp:positionH>
            <wp:positionV relativeFrom="page">
              <wp:posOffset>8150860</wp:posOffset>
            </wp:positionV>
            <wp:extent cx="5080" cy="5080"/>
            <wp:effectExtent l="0" t="0" r="0" b="0"/>
            <wp:wrapSquare wrapText="bothSides"/>
            <wp:docPr id="24" name="Picture 2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265"/>
                    <pic:cNvPicPr>
                      <a:picLocks noChangeAspect="1"/>
                    </pic:cNvPicPr>
                  </pic:nvPicPr>
                  <pic:blipFill>
                    <a:blip r:embed="rId28"/>
                    <a:stretch>
                      <a:fillRect/>
                    </a:stretch>
                  </pic:blipFill>
                  <pic:spPr>
                    <a:xfrm>
                      <a:off x="0" y="0"/>
                      <a:ext cx="5080" cy="5080"/>
                    </a:xfrm>
                    <a:prstGeom prst="rect">
                      <a:avLst/>
                    </a:prstGeom>
                    <a:noFill/>
                    <a:ln w="12700">
                      <a:noFill/>
                    </a:ln>
                  </pic:spPr>
                </pic:pic>
              </a:graphicData>
            </a:graphic>
          </wp:anchor>
        </w:drawing>
      </w:r>
      <w:r>
        <w:rPr>
          <w:rFonts w:hint="eastAsia" w:ascii="仿宋" w:hAnsi="仿宋" w:eastAsia="仿宋" w:cs="仿宋"/>
          <w:sz w:val="32"/>
          <w:szCs w:val="32"/>
        </w:rPr>
        <w:drawing>
          <wp:anchor distT="0" distB="0" distL="114300" distR="114300" simplePos="0" relativeHeight="251684864" behindDoc="0" locked="0" layoutInCell="1" allowOverlap="1">
            <wp:simplePos x="0" y="0"/>
            <wp:positionH relativeFrom="page">
              <wp:posOffset>565785</wp:posOffset>
            </wp:positionH>
            <wp:positionV relativeFrom="page">
              <wp:posOffset>8175625</wp:posOffset>
            </wp:positionV>
            <wp:extent cx="10160" cy="10160"/>
            <wp:effectExtent l="0" t="0" r="0" b="0"/>
            <wp:wrapSquare wrapText="bothSides"/>
            <wp:docPr id="25" name="Picture 2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266"/>
                    <pic:cNvPicPr>
                      <a:picLocks noChangeAspect="1"/>
                    </pic:cNvPicPr>
                  </pic:nvPicPr>
                  <pic:blipFill>
                    <a:blip r:embed="rId29"/>
                    <a:stretch>
                      <a:fillRect/>
                    </a:stretch>
                  </pic:blipFill>
                  <pic:spPr>
                    <a:xfrm>
                      <a:off x="0" y="0"/>
                      <a:ext cx="10160" cy="10160"/>
                    </a:xfrm>
                    <a:prstGeom prst="rect">
                      <a:avLst/>
                    </a:prstGeom>
                    <a:noFill/>
                    <a:ln w="12700">
                      <a:noFill/>
                    </a:ln>
                  </pic:spPr>
                </pic:pic>
              </a:graphicData>
            </a:graphic>
          </wp:anchor>
        </w:drawing>
      </w:r>
      <w:r>
        <w:rPr>
          <w:rFonts w:hint="eastAsia" w:ascii="仿宋" w:hAnsi="仿宋" w:eastAsia="仿宋" w:cs="仿宋"/>
          <w:sz w:val="32"/>
          <w:szCs w:val="32"/>
        </w:rPr>
        <w:drawing>
          <wp:anchor distT="0" distB="0" distL="114300" distR="114300" simplePos="0" relativeHeight="251685888" behindDoc="0" locked="0" layoutInCell="1" allowOverlap="1">
            <wp:simplePos x="0" y="0"/>
            <wp:positionH relativeFrom="page">
              <wp:posOffset>570865</wp:posOffset>
            </wp:positionH>
            <wp:positionV relativeFrom="page">
              <wp:posOffset>8215630</wp:posOffset>
            </wp:positionV>
            <wp:extent cx="5080" cy="14605"/>
            <wp:effectExtent l="0" t="0" r="0" b="0"/>
            <wp:wrapSquare wrapText="bothSides"/>
            <wp:docPr id="26" name="Picture 2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267"/>
                    <pic:cNvPicPr>
                      <a:picLocks noChangeAspect="1"/>
                    </pic:cNvPicPr>
                  </pic:nvPicPr>
                  <pic:blipFill>
                    <a:blip r:embed="rId30"/>
                    <a:stretch>
                      <a:fillRect/>
                    </a:stretch>
                  </pic:blipFill>
                  <pic:spPr>
                    <a:xfrm>
                      <a:off x="0" y="0"/>
                      <a:ext cx="5080" cy="14605"/>
                    </a:xfrm>
                    <a:prstGeom prst="rect">
                      <a:avLst/>
                    </a:prstGeom>
                    <a:noFill/>
                    <a:ln w="12700">
                      <a:noFill/>
                    </a:ln>
                  </pic:spPr>
                </pic:pic>
              </a:graphicData>
            </a:graphic>
          </wp:anchor>
        </w:drawing>
      </w:r>
      <w:r>
        <w:rPr>
          <w:rFonts w:hint="eastAsia" w:ascii="仿宋" w:hAnsi="仿宋" w:eastAsia="仿宋" w:cs="仿宋"/>
          <w:sz w:val="32"/>
          <w:szCs w:val="32"/>
        </w:rPr>
        <w:drawing>
          <wp:anchor distT="0" distB="0" distL="114300" distR="114300" simplePos="0" relativeHeight="251686912" behindDoc="0" locked="0" layoutInCell="1" allowOverlap="1">
            <wp:simplePos x="0" y="0"/>
            <wp:positionH relativeFrom="page">
              <wp:posOffset>565785</wp:posOffset>
            </wp:positionH>
            <wp:positionV relativeFrom="page">
              <wp:posOffset>8249285</wp:posOffset>
            </wp:positionV>
            <wp:extent cx="10160" cy="14605"/>
            <wp:effectExtent l="0" t="0" r="0" b="0"/>
            <wp:wrapSquare wrapText="bothSides"/>
            <wp:docPr id="27" name="Picture 2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269"/>
                    <pic:cNvPicPr>
                      <a:picLocks noChangeAspect="1"/>
                    </pic:cNvPicPr>
                  </pic:nvPicPr>
                  <pic:blipFill>
                    <a:blip r:embed="rId31"/>
                    <a:stretch>
                      <a:fillRect/>
                    </a:stretch>
                  </pic:blipFill>
                  <pic:spPr>
                    <a:xfrm>
                      <a:off x="0" y="0"/>
                      <a:ext cx="10160" cy="14605"/>
                    </a:xfrm>
                    <a:prstGeom prst="rect">
                      <a:avLst/>
                    </a:prstGeom>
                    <a:noFill/>
                    <a:ln w="12700">
                      <a:noFill/>
                    </a:ln>
                  </pic:spPr>
                </pic:pic>
              </a:graphicData>
            </a:graphic>
          </wp:anchor>
        </w:drawing>
      </w:r>
      <w:r>
        <w:rPr>
          <w:rFonts w:hint="eastAsia" w:ascii="仿宋" w:hAnsi="仿宋" w:eastAsia="仿宋" w:cs="仿宋"/>
          <w:sz w:val="32"/>
          <w:szCs w:val="32"/>
        </w:rPr>
        <w:drawing>
          <wp:anchor distT="0" distB="0" distL="114300" distR="114300" simplePos="0" relativeHeight="251687936" behindDoc="0" locked="0" layoutInCell="1" allowOverlap="1">
            <wp:simplePos x="0" y="0"/>
            <wp:positionH relativeFrom="page">
              <wp:posOffset>565785</wp:posOffset>
            </wp:positionH>
            <wp:positionV relativeFrom="page">
              <wp:posOffset>8289925</wp:posOffset>
            </wp:positionV>
            <wp:extent cx="10160" cy="19685"/>
            <wp:effectExtent l="0" t="0" r="8890" b="8890"/>
            <wp:wrapSquare wrapText="bothSides"/>
            <wp:docPr id="28" name="Picture 2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270"/>
                    <pic:cNvPicPr>
                      <a:picLocks noChangeAspect="1"/>
                    </pic:cNvPicPr>
                  </pic:nvPicPr>
                  <pic:blipFill>
                    <a:blip r:embed="rId32"/>
                    <a:stretch>
                      <a:fillRect/>
                    </a:stretch>
                  </pic:blipFill>
                  <pic:spPr>
                    <a:xfrm>
                      <a:off x="0" y="0"/>
                      <a:ext cx="10160" cy="19685"/>
                    </a:xfrm>
                    <a:prstGeom prst="rect">
                      <a:avLst/>
                    </a:prstGeom>
                    <a:noFill/>
                    <a:ln w="12700">
                      <a:noFill/>
                    </a:ln>
                  </pic:spPr>
                </pic:pic>
              </a:graphicData>
            </a:graphic>
          </wp:anchor>
        </w:drawing>
      </w:r>
      <w:r>
        <w:rPr>
          <w:rFonts w:hint="eastAsia" w:ascii="仿宋" w:hAnsi="仿宋" w:eastAsia="仿宋" w:cs="仿宋"/>
          <w:sz w:val="32"/>
          <w:szCs w:val="32"/>
        </w:rPr>
        <w:drawing>
          <wp:anchor distT="0" distB="0" distL="114300" distR="114300" simplePos="0" relativeHeight="251688960" behindDoc="0" locked="0" layoutInCell="1" allowOverlap="1">
            <wp:simplePos x="0" y="0"/>
            <wp:positionH relativeFrom="page">
              <wp:posOffset>560705</wp:posOffset>
            </wp:positionH>
            <wp:positionV relativeFrom="page">
              <wp:posOffset>8890635</wp:posOffset>
            </wp:positionV>
            <wp:extent cx="14605" cy="5080"/>
            <wp:effectExtent l="0" t="0" r="0" b="0"/>
            <wp:wrapSquare wrapText="bothSides"/>
            <wp:docPr id="29" name="Picture 2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278"/>
                    <pic:cNvPicPr>
                      <a:picLocks noChangeAspect="1"/>
                    </pic:cNvPicPr>
                  </pic:nvPicPr>
                  <pic:blipFill>
                    <a:blip r:embed="rId33"/>
                    <a:stretch>
                      <a:fillRect/>
                    </a:stretch>
                  </pic:blipFill>
                  <pic:spPr>
                    <a:xfrm>
                      <a:off x="0" y="0"/>
                      <a:ext cx="14605" cy="5080"/>
                    </a:xfrm>
                    <a:prstGeom prst="rect">
                      <a:avLst/>
                    </a:prstGeom>
                    <a:noFill/>
                    <a:ln w="12700">
                      <a:noFill/>
                    </a:ln>
                  </pic:spPr>
                </pic:pic>
              </a:graphicData>
            </a:graphic>
          </wp:anchor>
        </w:drawing>
      </w:r>
      <w:r>
        <w:rPr>
          <w:rFonts w:hint="eastAsia" w:ascii="仿宋" w:hAnsi="仿宋" w:eastAsia="仿宋" w:cs="仿宋"/>
          <w:sz w:val="32"/>
          <w:szCs w:val="32"/>
        </w:rPr>
        <w:drawing>
          <wp:anchor distT="0" distB="0" distL="114300" distR="114300" simplePos="0" relativeHeight="251689984" behindDoc="0" locked="0" layoutInCell="1" allowOverlap="1">
            <wp:simplePos x="0" y="0"/>
            <wp:positionH relativeFrom="page">
              <wp:posOffset>516255</wp:posOffset>
            </wp:positionH>
            <wp:positionV relativeFrom="page">
              <wp:posOffset>8895715</wp:posOffset>
            </wp:positionV>
            <wp:extent cx="5080" cy="10160"/>
            <wp:effectExtent l="0" t="0" r="0" b="0"/>
            <wp:wrapSquare wrapText="bothSides"/>
            <wp:docPr id="30" name="Picture 2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279"/>
                    <pic:cNvPicPr>
                      <a:picLocks noChangeAspect="1"/>
                    </pic:cNvPicPr>
                  </pic:nvPicPr>
                  <pic:blipFill>
                    <a:blip r:embed="rId34"/>
                    <a:stretch>
                      <a:fillRect/>
                    </a:stretch>
                  </pic:blipFill>
                  <pic:spPr>
                    <a:xfrm>
                      <a:off x="0" y="0"/>
                      <a:ext cx="5080" cy="10160"/>
                    </a:xfrm>
                    <a:prstGeom prst="rect">
                      <a:avLst/>
                    </a:prstGeom>
                    <a:noFill/>
                    <a:ln w="12700">
                      <a:noFill/>
                    </a:ln>
                  </pic:spPr>
                </pic:pic>
              </a:graphicData>
            </a:graphic>
          </wp:anchor>
        </w:drawing>
      </w:r>
      <w:r>
        <w:rPr>
          <w:rFonts w:hint="eastAsia" w:ascii="仿宋" w:hAnsi="仿宋" w:eastAsia="仿宋" w:cs="仿宋"/>
          <w:sz w:val="32"/>
          <w:szCs w:val="32"/>
        </w:rPr>
        <w:drawing>
          <wp:anchor distT="0" distB="0" distL="114300" distR="114300" simplePos="0" relativeHeight="251691008" behindDoc="0" locked="0" layoutInCell="1" allowOverlap="1">
            <wp:simplePos x="0" y="0"/>
            <wp:positionH relativeFrom="page">
              <wp:posOffset>511175</wp:posOffset>
            </wp:positionH>
            <wp:positionV relativeFrom="page">
              <wp:posOffset>8910320</wp:posOffset>
            </wp:positionV>
            <wp:extent cx="5080" cy="5080"/>
            <wp:effectExtent l="0" t="0" r="0" b="0"/>
            <wp:wrapSquare wrapText="bothSides"/>
            <wp:docPr id="31" name="Picture 2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2280"/>
                    <pic:cNvPicPr>
                      <a:picLocks noChangeAspect="1"/>
                    </pic:cNvPicPr>
                  </pic:nvPicPr>
                  <pic:blipFill>
                    <a:blip r:embed="rId35"/>
                    <a:stretch>
                      <a:fillRect/>
                    </a:stretch>
                  </pic:blipFill>
                  <pic:spPr>
                    <a:xfrm>
                      <a:off x="0" y="0"/>
                      <a:ext cx="5080" cy="5080"/>
                    </a:xfrm>
                    <a:prstGeom prst="rect">
                      <a:avLst/>
                    </a:prstGeom>
                    <a:noFill/>
                    <a:ln w="12700">
                      <a:noFill/>
                    </a:ln>
                  </pic:spPr>
                </pic:pic>
              </a:graphicData>
            </a:graphic>
          </wp:anchor>
        </w:drawing>
      </w:r>
      <w:r>
        <w:rPr>
          <w:rFonts w:hint="eastAsia" w:ascii="仿宋" w:hAnsi="仿宋" w:eastAsia="仿宋" w:cs="仿宋"/>
          <w:sz w:val="32"/>
          <w:szCs w:val="32"/>
        </w:rPr>
        <w:drawing>
          <wp:anchor distT="0" distB="0" distL="114300" distR="114300" simplePos="0" relativeHeight="251692032" behindDoc="0" locked="0" layoutInCell="1" allowOverlap="1">
            <wp:simplePos x="0" y="0"/>
            <wp:positionH relativeFrom="page">
              <wp:posOffset>511175</wp:posOffset>
            </wp:positionH>
            <wp:positionV relativeFrom="page">
              <wp:posOffset>8935085</wp:posOffset>
            </wp:positionV>
            <wp:extent cx="5080" cy="5080"/>
            <wp:effectExtent l="0" t="0" r="0" b="0"/>
            <wp:wrapSquare wrapText="bothSides"/>
            <wp:docPr id="32" name="Picture 2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2281"/>
                    <pic:cNvPicPr>
                      <a:picLocks noChangeAspect="1"/>
                    </pic:cNvPicPr>
                  </pic:nvPicPr>
                  <pic:blipFill>
                    <a:blip r:embed="rId36"/>
                    <a:stretch>
                      <a:fillRect/>
                    </a:stretch>
                  </pic:blipFill>
                  <pic:spPr>
                    <a:xfrm>
                      <a:off x="0" y="0"/>
                      <a:ext cx="5080" cy="5080"/>
                    </a:xfrm>
                    <a:prstGeom prst="rect">
                      <a:avLst/>
                    </a:prstGeom>
                    <a:noFill/>
                    <a:ln w="12700">
                      <a:noFill/>
                    </a:ln>
                  </pic:spPr>
                </pic:pic>
              </a:graphicData>
            </a:graphic>
          </wp:anchor>
        </w:drawing>
      </w:r>
      <w:r>
        <w:rPr>
          <w:rFonts w:hint="eastAsia" w:ascii="仿宋" w:hAnsi="仿宋" w:eastAsia="仿宋" w:cs="仿宋"/>
          <w:sz w:val="32"/>
          <w:szCs w:val="32"/>
        </w:rPr>
        <w:drawing>
          <wp:anchor distT="0" distB="0" distL="114300" distR="114300" simplePos="0" relativeHeight="251693056" behindDoc="0" locked="0" layoutInCell="1" allowOverlap="1">
            <wp:simplePos x="0" y="0"/>
            <wp:positionH relativeFrom="page">
              <wp:posOffset>530860</wp:posOffset>
            </wp:positionH>
            <wp:positionV relativeFrom="page">
              <wp:posOffset>9024620</wp:posOffset>
            </wp:positionV>
            <wp:extent cx="5080" cy="5080"/>
            <wp:effectExtent l="0" t="0" r="0" b="0"/>
            <wp:wrapSquare wrapText="bothSides"/>
            <wp:docPr id="33" name="Picture 2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2282"/>
                    <pic:cNvPicPr>
                      <a:picLocks noChangeAspect="1"/>
                    </pic:cNvPicPr>
                  </pic:nvPicPr>
                  <pic:blipFill>
                    <a:blip r:embed="rId37"/>
                    <a:stretch>
                      <a:fillRect/>
                    </a:stretch>
                  </pic:blipFill>
                  <pic:spPr>
                    <a:xfrm>
                      <a:off x="0" y="0"/>
                      <a:ext cx="5080" cy="5080"/>
                    </a:xfrm>
                    <a:prstGeom prst="rect">
                      <a:avLst/>
                    </a:prstGeom>
                    <a:noFill/>
                    <a:ln w="12700">
                      <a:noFill/>
                    </a:ln>
                  </pic:spPr>
                </pic:pic>
              </a:graphicData>
            </a:graphic>
          </wp:anchor>
        </w:drawing>
      </w:r>
      <w:r>
        <w:rPr>
          <w:rFonts w:hint="eastAsia" w:ascii="仿宋" w:hAnsi="仿宋" w:eastAsia="仿宋" w:cs="仿宋"/>
          <w:sz w:val="32"/>
          <w:szCs w:val="32"/>
          <w:lang w:val="en-US" w:eastAsia="zh-CN"/>
        </w:rPr>
        <w:t>2.</w:t>
      </w:r>
      <w:r>
        <w:rPr>
          <w:rFonts w:hint="eastAsia" w:ascii="仿宋" w:hAnsi="仿宋" w:eastAsia="仿宋" w:cs="仿宋"/>
          <w:sz w:val="32"/>
          <w:szCs w:val="32"/>
        </w:rPr>
        <w:t>被征收房屋建筑面积，依据《房屋所有权证》等有效法律文书记载</w:t>
      </w:r>
      <w:r>
        <w:rPr>
          <w:rFonts w:hint="eastAsia" w:ascii="仿宋" w:hAnsi="仿宋" w:eastAsia="仿宋" w:cs="仿宋"/>
          <w:sz w:val="32"/>
          <w:szCs w:val="32"/>
          <w:lang w:eastAsia="zh-CN"/>
        </w:rPr>
        <w:t>，</w:t>
      </w:r>
      <w:r>
        <w:rPr>
          <w:rFonts w:hint="eastAsia" w:ascii="仿宋" w:hAnsi="仿宋" w:eastAsia="仿宋" w:cs="仿宋"/>
          <w:sz w:val="32"/>
          <w:szCs w:val="32"/>
        </w:rPr>
        <w:t>结合国家相关测量规范进行认定。</w:t>
      </w:r>
    </w:p>
    <w:p w14:paraId="3DA54B0D">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四、评估机构的选择</w:t>
      </w:r>
    </w:p>
    <w:p w14:paraId="5F227BB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房地产价格评估机构由被征收人在规定时间内协商选定；在规定时间内协商不成的，由房屋征收实施单位通过组织被征收人按照少数服从多数的原则投票决定，或者采用摇号、抽号等随机方式确定，具体方式采取少数服从多数的原则确定。房屋评估应参照住建部《国有土地上房屋征收评估办法》的规定执行。</w:t>
      </w:r>
    </w:p>
    <w:p w14:paraId="06190C5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房地产价格评估机构同时具有房屋等级鉴定和货币补偿中房屋、附属物和临时建筑物价值认定职能。</w:t>
      </w:r>
    </w:p>
    <w:p w14:paraId="52792309">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、补偿安置方式</w:t>
      </w:r>
    </w:p>
    <w:p w14:paraId="59D9478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补偿安置方式分为货币补偿、产权调换两种。</w:t>
      </w:r>
    </w:p>
    <w:p w14:paraId="60EB19DB">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一）本方案所称的货币补偿是指被征收人放弃被征收房屋产权，由房屋征收实施单位根据房地产价格评估机构按照房屋征收决定公告之日被征收房屋类似房地产的市场价格，评估的被征收人房屋、附属物和临时建筑等的价值，对被征收人实行一次性货币补偿。</w:t>
      </w:r>
    </w:p>
    <w:p w14:paraId="094E0D2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（二）本方案所称的产权调换，是指房屋征收实施单位</w:t>
      </w:r>
      <w:r>
        <w:rPr>
          <w:rFonts w:hint="eastAsia" w:ascii="仿宋" w:hAnsi="仿宋" w:eastAsia="仿宋" w:cs="仿宋"/>
          <w:sz w:val="32"/>
          <w:szCs w:val="32"/>
          <w:shd w:val="clear" w:color="auto" w:fill="auto"/>
          <w:lang w:val="en-US" w:eastAsia="zh-CN"/>
        </w:rPr>
        <w:t>用县政府给提供的回迁安置房</w:t>
      </w:r>
      <w:r>
        <w:rPr>
          <w:rFonts w:hint="eastAsia" w:ascii="仿宋" w:hAnsi="仿宋" w:eastAsia="仿宋" w:cs="仿宋"/>
          <w:sz w:val="32"/>
          <w:szCs w:val="32"/>
          <w:lang w:eastAsia="zh-CN"/>
        </w:rPr>
        <w:t>，</w:t>
      </w:r>
      <w:r>
        <w:rPr>
          <w:rFonts w:hint="eastAsia" w:ascii="仿宋" w:hAnsi="仿宋" w:eastAsia="仿宋" w:cs="仿宋"/>
          <w:sz w:val="32"/>
          <w:szCs w:val="32"/>
        </w:rPr>
        <w:t>与被征收人被征房屋的合法建筑面积，结合房屋鉴定等级进行调换。附属物和不符合建筑面积计算标准的阁楼、地下室、临时建筑不进行产权调换。不进行产权调换的按房地产价格评估机构认定的价值，对被征收人实行货币补偿。</w:t>
      </w:r>
    </w:p>
    <w:p w14:paraId="7AD9126E">
      <w:pPr>
        <w:spacing w:line="560" w:lineRule="exact"/>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房屋建筑面积的认定及等级划分</w:t>
      </w:r>
    </w:p>
    <w:p w14:paraId="48BB591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住宅房屋面积兑换标准为：</w:t>
      </w:r>
      <w:r>
        <w:rPr>
          <w:rFonts w:ascii="仿宋" w:hAnsi="仿宋" w:eastAsia="仿宋" w:cs="仿宋"/>
          <w:sz w:val="32"/>
          <w:szCs w:val="32"/>
        </w:rPr>
        <w:t>1:1.12</w:t>
      </w:r>
      <w:r>
        <w:rPr>
          <w:rFonts w:hint="eastAsia" w:ascii="仿宋" w:hAnsi="仿宋" w:eastAsia="仿宋" w:cs="仿宋"/>
          <w:sz w:val="32"/>
          <w:szCs w:val="32"/>
        </w:rPr>
        <w:t>、</w:t>
      </w:r>
      <w:r>
        <w:rPr>
          <w:rFonts w:ascii="仿宋" w:hAnsi="仿宋" w:eastAsia="仿宋" w:cs="仿宋"/>
          <w:sz w:val="32"/>
          <w:szCs w:val="32"/>
        </w:rPr>
        <w:t>1:1.11</w:t>
      </w:r>
      <w:r>
        <w:rPr>
          <w:rFonts w:hint="eastAsia" w:ascii="仿宋" w:hAnsi="仿宋" w:eastAsia="仿宋" w:cs="仿宋"/>
          <w:sz w:val="32"/>
          <w:szCs w:val="32"/>
        </w:rPr>
        <w:t>、</w:t>
      </w:r>
      <w:r>
        <w:rPr>
          <w:rFonts w:ascii="仿宋" w:hAnsi="仿宋" w:eastAsia="仿宋" w:cs="仿宋"/>
          <w:sz w:val="32"/>
          <w:szCs w:val="32"/>
        </w:rPr>
        <w:t>1:1.09</w:t>
      </w:r>
      <w:r>
        <w:rPr>
          <w:rFonts w:hint="eastAsia" w:ascii="仿宋" w:hAnsi="仿宋" w:eastAsia="仿宋" w:cs="仿宋"/>
          <w:sz w:val="32"/>
          <w:szCs w:val="32"/>
        </w:rPr>
        <w:t>、</w:t>
      </w:r>
      <w:r>
        <w:rPr>
          <w:rFonts w:ascii="仿宋" w:hAnsi="仿宋" w:eastAsia="仿宋" w:cs="仿宋"/>
          <w:sz w:val="32"/>
          <w:szCs w:val="32"/>
        </w:rPr>
        <w:t>1:1.06</w:t>
      </w:r>
      <w:r>
        <w:rPr>
          <w:rFonts w:hint="eastAsia" w:ascii="仿宋" w:hAnsi="仿宋" w:eastAsia="仿宋" w:cs="仿宋"/>
          <w:sz w:val="32"/>
          <w:szCs w:val="32"/>
        </w:rPr>
        <w:t>、</w:t>
      </w:r>
      <w:r>
        <w:rPr>
          <w:rFonts w:ascii="仿宋" w:hAnsi="仿宋" w:eastAsia="仿宋" w:cs="仿宋"/>
          <w:sz w:val="32"/>
          <w:szCs w:val="32"/>
        </w:rPr>
        <w:t>1:1.04</w:t>
      </w:r>
      <w:r>
        <w:rPr>
          <w:rFonts w:hint="eastAsia" w:ascii="仿宋" w:hAnsi="仿宋" w:eastAsia="仿宋" w:cs="仿宋"/>
          <w:sz w:val="32"/>
          <w:szCs w:val="32"/>
        </w:rPr>
        <w:t>、</w:t>
      </w:r>
      <w:r>
        <w:rPr>
          <w:rFonts w:ascii="仿宋" w:hAnsi="仿宋" w:eastAsia="仿宋" w:cs="仿宋"/>
          <w:sz w:val="32"/>
          <w:szCs w:val="32"/>
        </w:rPr>
        <w:t>1:1</w:t>
      </w:r>
      <w:r>
        <w:rPr>
          <w:rFonts w:hint="eastAsia" w:ascii="仿宋" w:hAnsi="仿宋" w:eastAsia="仿宋" w:cs="仿宋"/>
          <w:sz w:val="32"/>
          <w:szCs w:val="32"/>
        </w:rPr>
        <w:t>共6个等级（等级划分见附件</w:t>
      </w:r>
      <w:r>
        <w:rPr>
          <w:rFonts w:hint="eastAsia" w:ascii="仿宋" w:hAnsi="仿宋" w:eastAsia="仿宋" w:cs="仿宋"/>
          <w:sz w:val="32"/>
          <w:szCs w:val="32"/>
          <w:lang w:val="en-US" w:eastAsia="zh-CN"/>
        </w:rPr>
        <w:t>1</w:t>
      </w:r>
      <w:r>
        <w:rPr>
          <w:rFonts w:ascii="仿宋" w:hAnsi="仿宋" w:eastAsia="仿宋" w:cs="仿宋"/>
          <w:sz w:val="32"/>
          <w:szCs w:val="32"/>
        </w:rPr>
        <w:t>)</w:t>
      </w:r>
      <w:r>
        <w:rPr>
          <w:rFonts w:hint="eastAsia" w:ascii="仿宋" w:hAnsi="仿宋" w:eastAsia="仿宋" w:cs="仿宋"/>
          <w:sz w:val="32"/>
          <w:szCs w:val="32"/>
        </w:rPr>
        <w:t>。</w:t>
      </w:r>
    </w:p>
    <w:p w14:paraId="282AA67E">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被征收房屋面积的认定</w:t>
      </w:r>
    </w:p>
    <w:p w14:paraId="6892A63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由房屋征收实施单位、房地产价格评估机构、被征收人共同对被征收房屋进行实地查勘，拍摄反映被征收房屋内外部状况的照片等影像资料，做好实地查勘记录，并在实地查勘记录上签字确认房屋建筑等级。</w:t>
      </w:r>
    </w:p>
    <w:p w14:paraId="77AB2AB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被征收人应当协助房地产价格评估机构对被征收房屋进行实地查勘，提供或协助搜集被征收房屋评估所必须的情况和资料。</w:t>
      </w:r>
    </w:p>
    <w:p w14:paraId="5AA359D6">
      <w:pPr>
        <w:spacing w:line="560" w:lineRule="exact"/>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依照房地产价格评估机构做出的最终鉴定结果，由房屋征收实施单位给予被征收人进行货币补偿或产权调换。</w:t>
      </w:r>
    </w:p>
    <w:p w14:paraId="322F6CC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附属物依照附属设施拆迁补偿等级标准价目进行补偿（见附件</w:t>
      </w:r>
      <w:r>
        <w:rPr>
          <w:rFonts w:ascii="仿宋" w:hAnsi="仿宋" w:eastAsia="仿宋" w:cs="仿宋"/>
          <w:sz w:val="32"/>
          <w:szCs w:val="32"/>
        </w:rPr>
        <w:t>2</w:t>
      </w:r>
      <w:r>
        <w:rPr>
          <w:rFonts w:hint="eastAsia" w:ascii="仿宋" w:hAnsi="仿宋" w:eastAsia="仿宋" w:cs="仿宋"/>
          <w:sz w:val="32"/>
          <w:szCs w:val="32"/>
        </w:rPr>
        <w:t>）。</w:t>
      </w:r>
    </w:p>
    <w:p w14:paraId="315CA938">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燃气</w:t>
      </w:r>
      <w:r>
        <w:rPr>
          <w:rFonts w:hint="eastAsia" w:ascii="仿宋" w:hAnsi="仿宋" w:eastAsia="仿宋" w:cs="仿宋"/>
          <w:sz w:val="32"/>
          <w:szCs w:val="32"/>
          <w:lang w:eastAsia="zh-CN"/>
        </w:rPr>
        <w:t>、供暖</w:t>
      </w:r>
      <w:r>
        <w:rPr>
          <w:rFonts w:hint="eastAsia" w:ascii="仿宋" w:hAnsi="仿宋" w:eastAsia="仿宋" w:cs="仿宋"/>
          <w:sz w:val="32"/>
          <w:szCs w:val="32"/>
        </w:rPr>
        <w:t>等的补偿由房屋征收实施单位核实数量，房地产价格评估机构</w:t>
      </w:r>
      <w:r>
        <w:rPr>
          <w:rFonts w:hint="eastAsia" w:ascii="仿宋" w:hAnsi="仿宋" w:eastAsia="仿宋" w:cs="仿宋"/>
          <w:sz w:val="32"/>
          <w:szCs w:val="32"/>
          <w:lang w:eastAsia="zh-CN"/>
        </w:rPr>
        <w:t>予以评估补偿</w:t>
      </w:r>
      <w:r>
        <w:rPr>
          <w:rFonts w:hint="eastAsia" w:ascii="仿宋" w:hAnsi="仿宋" w:eastAsia="仿宋" w:cs="仿宋"/>
          <w:sz w:val="32"/>
          <w:szCs w:val="32"/>
        </w:rPr>
        <w:t>。</w:t>
      </w:r>
    </w:p>
    <w:p w14:paraId="6ECC55A5">
      <w:pPr>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非住宅房屋补偿采用货币补偿方式，国有、集体性质的房屋由房地产评估机构根据被征收房屋合法建筑面积重置价结合成新率进行补偿。</w:t>
      </w:r>
    </w:p>
    <w:p w14:paraId="4ACC905E">
      <w:pPr>
        <w:spacing w:line="560" w:lineRule="exact"/>
        <w:ind w:firstLine="640" w:firstLineChars="200"/>
        <w:rPr>
          <w:rFonts w:ascii="仿宋" w:hAnsi="仿宋" w:eastAsia="仿宋" w:cs="仿宋"/>
          <w:b/>
          <w:bCs/>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、实行货币补偿的协议签订和补偿</w:t>
      </w:r>
    </w:p>
    <w:p w14:paraId="0EED03B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由房地产价格评估机构对被征收人的建筑物、附属物、阁楼、地下室和临时建筑面积和数量核实后，进入评估程序，评估结果得出后，经房屋征收实施单位和被征收人核实无误，签字认可，签订征收补偿协议，腾空房屋（具备拆除条件），办理房屋交接手续，一次性付清所有补偿款项。</w:t>
      </w:r>
    </w:p>
    <w:p w14:paraId="0F8A239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（二）搬迁补助费的标准为：被征收房屋合法建筑面积在</w:t>
      </w:r>
      <w:r>
        <w:rPr>
          <w:rFonts w:ascii="仿宋" w:hAnsi="仿宋" w:eastAsia="仿宋" w:cs="仿宋"/>
          <w:sz w:val="32"/>
          <w:szCs w:val="32"/>
        </w:rPr>
        <w:t>30</w:t>
      </w:r>
      <w:r>
        <w:rPr>
          <w:rFonts w:hint="eastAsia" w:ascii="仿宋" w:hAnsi="仿宋" w:eastAsia="仿宋" w:cs="仿宋"/>
          <w:sz w:val="32"/>
          <w:szCs w:val="32"/>
        </w:rPr>
        <w:t>平方米以下（含</w:t>
      </w:r>
      <w:r>
        <w:rPr>
          <w:rFonts w:ascii="仿宋" w:hAnsi="仿宋" w:eastAsia="仿宋" w:cs="仿宋"/>
          <w:sz w:val="32"/>
          <w:szCs w:val="32"/>
        </w:rPr>
        <w:t>30</w:t>
      </w:r>
      <w:r>
        <w:rPr>
          <w:rFonts w:hint="eastAsia" w:ascii="仿宋" w:hAnsi="仿宋" w:eastAsia="仿宋" w:cs="仿宋"/>
          <w:sz w:val="32"/>
          <w:szCs w:val="32"/>
        </w:rPr>
        <w:t>平方米）的，一次性支付搬迁补助费</w:t>
      </w:r>
      <w:r>
        <w:rPr>
          <w:rFonts w:ascii="仿宋" w:hAnsi="仿宋" w:eastAsia="仿宋" w:cs="仿宋"/>
          <w:sz w:val="32"/>
          <w:szCs w:val="32"/>
        </w:rPr>
        <w:t>500</w:t>
      </w:r>
      <w:r>
        <w:rPr>
          <w:rFonts w:hint="eastAsia" w:ascii="仿宋" w:hAnsi="仿宋" w:eastAsia="仿宋" w:cs="仿宋"/>
          <w:sz w:val="32"/>
          <w:szCs w:val="32"/>
        </w:rPr>
        <w:t>元；超过</w:t>
      </w:r>
      <w:r>
        <w:rPr>
          <w:rFonts w:ascii="仿宋" w:hAnsi="仿宋" w:eastAsia="仿宋" w:cs="仿宋"/>
          <w:sz w:val="32"/>
          <w:szCs w:val="32"/>
        </w:rPr>
        <w:t>30</w:t>
      </w:r>
      <w:r>
        <w:rPr>
          <w:rFonts w:hint="eastAsia" w:ascii="仿宋" w:hAnsi="仿宋" w:eastAsia="仿宋" w:cs="仿宋"/>
          <w:sz w:val="32"/>
          <w:szCs w:val="32"/>
        </w:rPr>
        <w:t>平方米的，超过部分每平方米支付搬迁补助费</w:t>
      </w:r>
      <w:r>
        <w:rPr>
          <w:rFonts w:ascii="仿宋" w:hAnsi="仿宋" w:eastAsia="仿宋" w:cs="仿宋"/>
          <w:sz w:val="32"/>
          <w:szCs w:val="32"/>
        </w:rPr>
        <w:t>11</w:t>
      </w:r>
      <w:r>
        <w:rPr>
          <w:rFonts w:hint="eastAsia" w:ascii="仿宋" w:hAnsi="仿宋" w:eastAsia="仿宋" w:cs="仿宋"/>
          <w:sz w:val="32"/>
          <w:szCs w:val="32"/>
        </w:rPr>
        <w:t>元。</w:t>
      </w:r>
    </w:p>
    <w:p w14:paraId="4673AB2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（三）临时安置补助费标准为：被征收房屋合法建筑面积在</w:t>
      </w:r>
      <w:r>
        <w:rPr>
          <w:rFonts w:ascii="仿宋" w:hAnsi="仿宋" w:eastAsia="仿宋" w:cs="仿宋"/>
          <w:sz w:val="32"/>
          <w:szCs w:val="32"/>
        </w:rPr>
        <w:t>30</w:t>
      </w:r>
      <w:r>
        <w:rPr>
          <w:rFonts w:hint="eastAsia" w:ascii="仿宋" w:hAnsi="仿宋" w:eastAsia="仿宋" w:cs="仿宋"/>
          <w:sz w:val="32"/>
          <w:szCs w:val="32"/>
        </w:rPr>
        <w:t>平方米以下（含</w:t>
      </w:r>
      <w:r>
        <w:rPr>
          <w:rFonts w:ascii="仿宋" w:hAnsi="仿宋" w:eastAsia="仿宋" w:cs="仿宋"/>
          <w:sz w:val="32"/>
          <w:szCs w:val="32"/>
        </w:rPr>
        <w:t>30</w:t>
      </w:r>
      <w:r>
        <w:rPr>
          <w:rFonts w:hint="eastAsia" w:ascii="仿宋" w:hAnsi="仿宋" w:eastAsia="仿宋" w:cs="仿宋"/>
          <w:sz w:val="32"/>
          <w:szCs w:val="32"/>
        </w:rPr>
        <w:t>平方米）的，月支付临时安置补助费</w:t>
      </w:r>
      <w:r>
        <w:rPr>
          <w:rFonts w:ascii="仿宋" w:hAnsi="仿宋" w:eastAsia="仿宋" w:cs="仿宋"/>
          <w:sz w:val="32"/>
          <w:szCs w:val="32"/>
        </w:rPr>
        <w:t>210</w:t>
      </w:r>
      <w:r>
        <w:rPr>
          <w:rFonts w:hint="eastAsia" w:ascii="仿宋" w:hAnsi="仿宋" w:eastAsia="仿宋" w:cs="仿宋"/>
          <w:sz w:val="32"/>
          <w:szCs w:val="32"/>
        </w:rPr>
        <w:t>元；超过</w:t>
      </w:r>
      <w:r>
        <w:rPr>
          <w:rFonts w:ascii="仿宋" w:hAnsi="仿宋" w:eastAsia="仿宋" w:cs="仿宋"/>
          <w:sz w:val="32"/>
          <w:szCs w:val="32"/>
        </w:rPr>
        <w:t>30</w:t>
      </w:r>
      <w:r>
        <w:rPr>
          <w:rFonts w:hint="eastAsia" w:ascii="仿宋" w:hAnsi="仿宋" w:eastAsia="仿宋" w:cs="仿宋"/>
          <w:sz w:val="32"/>
          <w:szCs w:val="32"/>
        </w:rPr>
        <w:t>平方米的，超过部分每平方米月支付临时安置补助费</w:t>
      </w:r>
      <w:r>
        <w:rPr>
          <w:rFonts w:ascii="仿宋" w:hAnsi="仿宋" w:eastAsia="仿宋" w:cs="仿宋"/>
          <w:sz w:val="32"/>
          <w:szCs w:val="32"/>
        </w:rPr>
        <w:t>6</w:t>
      </w:r>
      <w:r>
        <w:rPr>
          <w:rFonts w:hint="eastAsia" w:ascii="仿宋" w:hAnsi="仿宋" w:eastAsia="仿宋" w:cs="仿宋"/>
          <w:sz w:val="32"/>
          <w:szCs w:val="32"/>
        </w:rPr>
        <w:t>元。由房屋征收实施单位一次性支付</w:t>
      </w:r>
      <w:r>
        <w:rPr>
          <w:rFonts w:ascii="仿宋" w:hAnsi="仿宋" w:eastAsia="仿宋" w:cs="仿宋"/>
          <w:sz w:val="32"/>
          <w:szCs w:val="32"/>
        </w:rPr>
        <w:t>6</w:t>
      </w:r>
      <w:r>
        <w:rPr>
          <w:rFonts w:hint="eastAsia" w:ascii="仿宋" w:hAnsi="仿宋" w:eastAsia="仿宋" w:cs="仿宋"/>
          <w:sz w:val="32"/>
          <w:szCs w:val="32"/>
        </w:rPr>
        <w:t>个月。</w:t>
      </w:r>
    </w:p>
    <w:p w14:paraId="76E31B52">
      <w:pPr>
        <w:spacing w:line="560" w:lineRule="exact"/>
        <w:ind w:firstLine="640" w:firstLineChars="200"/>
        <w:rPr>
          <w:b/>
          <w:bCs/>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、实行产权调换的协议签订和补偿</w:t>
      </w:r>
    </w:p>
    <w:p w14:paraId="5264436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在房屋征收面积确定后，由房地产价格评估机构对附属物、阁楼、地下室、临时建筑等予以评估，评估结果得出后，经房屋征收实施单位和被征收人核实无误、签订协议、腾空房屋（具备拆除条件）、办理房屋交接手续、补偿结算、领取安置选房序号、选择回迁安置房。</w:t>
      </w:r>
    </w:p>
    <w:p w14:paraId="394D671A">
      <w:pPr>
        <w:spacing w:line="560" w:lineRule="exact"/>
        <w:ind w:firstLine="640" w:firstLineChars="200"/>
        <w:rPr>
          <w:rFonts w:ascii="仿宋" w:hAnsi="仿宋" w:eastAsia="仿宋" w:cs="仿宋"/>
          <w:sz w:val="32"/>
        </w:rPr>
      </w:pPr>
      <w:r>
        <w:rPr>
          <w:rFonts w:hint="eastAsia" w:ascii="仿宋" w:hAnsi="仿宋" w:eastAsia="仿宋" w:cs="仿宋"/>
          <w:sz w:val="32"/>
          <w:szCs w:val="32"/>
        </w:rPr>
        <w:t>（二）临时安置过渡期最长不超过</w:t>
      </w:r>
      <w:r>
        <w:rPr>
          <w:rFonts w:ascii="仿宋" w:hAnsi="仿宋" w:eastAsia="仿宋" w:cs="仿宋"/>
          <w:sz w:val="32"/>
          <w:szCs w:val="32"/>
        </w:rPr>
        <w:t>36</w:t>
      </w:r>
      <w:r>
        <w:rPr>
          <w:rFonts w:hint="eastAsia" w:ascii="仿宋" w:hAnsi="仿宋" w:eastAsia="仿宋" w:cs="仿宋"/>
          <w:sz w:val="32"/>
          <w:szCs w:val="32"/>
        </w:rPr>
        <w:t>个月。房屋征收实施单位应支付被征收人自搬迁之月起至用于产权调换的回迁安置房交付之月止的临时安置补助费，房屋征收实施单位没有在协议规定过渡期内安置被征收人的，超过</w:t>
      </w:r>
      <w:r>
        <w:rPr>
          <w:rFonts w:ascii="仿宋" w:hAnsi="仿宋" w:eastAsia="仿宋" w:cs="仿宋"/>
          <w:sz w:val="32"/>
          <w:szCs w:val="32"/>
        </w:rPr>
        <w:t>36</w:t>
      </w:r>
      <w:r>
        <w:rPr>
          <w:rFonts w:hint="eastAsia" w:ascii="仿宋" w:hAnsi="仿宋" w:eastAsia="仿宋" w:cs="仿宋"/>
          <w:sz w:val="32"/>
          <w:szCs w:val="32"/>
        </w:rPr>
        <w:t>个月之后的按</w:t>
      </w:r>
      <w:r>
        <w:rPr>
          <w:rFonts w:ascii="仿宋" w:hAnsi="仿宋" w:eastAsia="仿宋" w:cs="仿宋"/>
          <w:sz w:val="32"/>
          <w:szCs w:val="32"/>
        </w:rPr>
        <w:t>3</w:t>
      </w:r>
      <w:r>
        <w:rPr>
          <w:rFonts w:hint="eastAsia" w:ascii="仿宋" w:hAnsi="仿宋" w:eastAsia="仿宋" w:cs="仿宋"/>
          <w:sz w:val="32"/>
          <w:szCs w:val="32"/>
        </w:rPr>
        <w:t>倍支付临时安置补助费。安置期不足36个月的，以实际安置过渡期结算。如因不可抗力造成房屋回迁延期，由双方协商解决。</w:t>
      </w:r>
    </w:p>
    <w:p w14:paraId="0F51C5F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（三）临时安置补助费标准为：被征收房屋合法建筑面积在</w:t>
      </w:r>
      <w:r>
        <w:rPr>
          <w:rFonts w:ascii="仿宋" w:hAnsi="仿宋" w:eastAsia="仿宋" w:cs="仿宋"/>
          <w:sz w:val="32"/>
          <w:szCs w:val="32"/>
        </w:rPr>
        <w:t>30</w:t>
      </w:r>
      <w:r>
        <w:rPr>
          <w:rFonts w:hint="eastAsia" w:ascii="仿宋" w:hAnsi="仿宋" w:eastAsia="仿宋" w:cs="仿宋"/>
          <w:sz w:val="32"/>
          <w:szCs w:val="32"/>
        </w:rPr>
        <w:t>平方米以下（含</w:t>
      </w:r>
      <w:r>
        <w:rPr>
          <w:rFonts w:ascii="仿宋" w:hAnsi="仿宋" w:eastAsia="仿宋" w:cs="仿宋"/>
          <w:sz w:val="32"/>
          <w:szCs w:val="32"/>
        </w:rPr>
        <w:t>30</w:t>
      </w:r>
      <w:r>
        <w:rPr>
          <w:rFonts w:hint="eastAsia" w:ascii="仿宋" w:hAnsi="仿宋" w:eastAsia="仿宋" w:cs="仿宋"/>
          <w:sz w:val="32"/>
          <w:szCs w:val="32"/>
        </w:rPr>
        <w:t>平方米）的，月支付临时安置补助费</w:t>
      </w:r>
      <w:r>
        <w:rPr>
          <w:rFonts w:ascii="仿宋" w:hAnsi="仿宋" w:eastAsia="仿宋" w:cs="仿宋"/>
          <w:sz w:val="32"/>
          <w:szCs w:val="32"/>
        </w:rPr>
        <w:t>210</w:t>
      </w:r>
      <w:r>
        <w:rPr>
          <w:rFonts w:hint="eastAsia" w:ascii="仿宋" w:hAnsi="仿宋" w:eastAsia="仿宋" w:cs="仿宋"/>
          <w:sz w:val="32"/>
          <w:szCs w:val="32"/>
        </w:rPr>
        <w:t>元；超过</w:t>
      </w:r>
      <w:r>
        <w:rPr>
          <w:rFonts w:ascii="仿宋" w:hAnsi="仿宋" w:eastAsia="仿宋" w:cs="仿宋"/>
          <w:sz w:val="32"/>
          <w:szCs w:val="32"/>
        </w:rPr>
        <w:t>30</w:t>
      </w:r>
      <w:r>
        <w:rPr>
          <w:rFonts w:hint="eastAsia" w:ascii="仿宋" w:hAnsi="仿宋" w:eastAsia="仿宋" w:cs="仿宋"/>
          <w:sz w:val="32"/>
          <w:szCs w:val="32"/>
        </w:rPr>
        <w:t>平方米的，超出部分每平方米月支付临时安置补助费</w:t>
      </w:r>
      <w:r>
        <w:rPr>
          <w:rFonts w:ascii="仿宋" w:hAnsi="仿宋" w:eastAsia="仿宋" w:cs="仿宋"/>
          <w:sz w:val="32"/>
          <w:szCs w:val="32"/>
        </w:rPr>
        <w:t>6</w:t>
      </w:r>
      <w:r>
        <w:rPr>
          <w:rFonts w:hint="eastAsia" w:ascii="仿宋" w:hAnsi="仿宋" w:eastAsia="仿宋" w:cs="仿宋"/>
          <w:sz w:val="32"/>
          <w:szCs w:val="32"/>
        </w:rPr>
        <w:t>元。</w:t>
      </w:r>
    </w:p>
    <w:p w14:paraId="61899AD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（四）搬迁补助费的标准为：被征收房屋合法建筑面积在</w:t>
      </w:r>
      <w:r>
        <w:rPr>
          <w:rFonts w:ascii="仿宋" w:hAnsi="仿宋" w:eastAsia="仿宋" w:cs="仿宋"/>
          <w:sz w:val="32"/>
          <w:szCs w:val="32"/>
        </w:rPr>
        <w:t>30</w:t>
      </w:r>
      <w:r>
        <w:rPr>
          <w:rFonts w:hint="eastAsia" w:ascii="仿宋" w:hAnsi="仿宋" w:eastAsia="仿宋" w:cs="仿宋"/>
          <w:sz w:val="32"/>
          <w:szCs w:val="32"/>
        </w:rPr>
        <w:t>平方米以下（含</w:t>
      </w:r>
      <w:r>
        <w:rPr>
          <w:rFonts w:ascii="仿宋" w:hAnsi="仿宋" w:eastAsia="仿宋" w:cs="仿宋"/>
          <w:sz w:val="32"/>
          <w:szCs w:val="32"/>
        </w:rPr>
        <w:t>30</w:t>
      </w:r>
      <w:r>
        <w:rPr>
          <w:rFonts w:hint="eastAsia" w:ascii="仿宋" w:hAnsi="仿宋" w:eastAsia="仿宋" w:cs="仿宋"/>
          <w:sz w:val="32"/>
          <w:szCs w:val="32"/>
        </w:rPr>
        <w:t>平方米）的，一次性支付搬迁补助费</w:t>
      </w:r>
      <w:r>
        <w:rPr>
          <w:rFonts w:ascii="仿宋" w:hAnsi="仿宋" w:eastAsia="仿宋" w:cs="仿宋"/>
          <w:sz w:val="32"/>
          <w:szCs w:val="32"/>
        </w:rPr>
        <w:t>500</w:t>
      </w:r>
      <w:r>
        <w:rPr>
          <w:rFonts w:hint="eastAsia" w:ascii="仿宋" w:hAnsi="仿宋" w:eastAsia="仿宋" w:cs="仿宋"/>
          <w:sz w:val="32"/>
          <w:szCs w:val="32"/>
        </w:rPr>
        <w:t>元；超过</w:t>
      </w:r>
      <w:r>
        <w:rPr>
          <w:rFonts w:ascii="仿宋" w:hAnsi="仿宋" w:eastAsia="仿宋" w:cs="仿宋"/>
          <w:sz w:val="32"/>
          <w:szCs w:val="32"/>
        </w:rPr>
        <w:t>30</w:t>
      </w:r>
      <w:r>
        <w:rPr>
          <w:rFonts w:hint="eastAsia" w:ascii="仿宋" w:hAnsi="仿宋" w:eastAsia="仿宋" w:cs="仿宋"/>
          <w:sz w:val="32"/>
          <w:szCs w:val="32"/>
        </w:rPr>
        <w:t>平方米的，超出部分每平方米支付搬迁补助费</w:t>
      </w:r>
      <w:r>
        <w:rPr>
          <w:rFonts w:ascii="仿宋" w:hAnsi="仿宋" w:eastAsia="仿宋" w:cs="仿宋"/>
          <w:sz w:val="32"/>
          <w:szCs w:val="32"/>
        </w:rPr>
        <w:t>11</w:t>
      </w:r>
      <w:r>
        <w:rPr>
          <w:rFonts w:hint="eastAsia" w:ascii="仿宋" w:hAnsi="仿宋" w:eastAsia="仿宋" w:cs="仿宋"/>
          <w:sz w:val="32"/>
          <w:szCs w:val="32"/>
        </w:rPr>
        <w:t>元。由房屋征收实施单位支付二次搬迁费。</w:t>
      </w:r>
    </w:p>
    <w:p w14:paraId="0D95C3F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（五）实行产权调换的，依据被征收房屋可调换的面积就近靠档选择回迁安置房屋面积。</w:t>
      </w:r>
    </w:p>
    <w:p w14:paraId="0609CC24">
      <w:pPr>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产权调换选房后剩余回迁面积50平方米以上（含50平方米）且不足回迁房最小面积的，可再次选择产权调换，也可选择货币补偿。选择产权调换的，按最小回迁房户型面积选房，不足部分按确定的货币补偿价补足余款后予以产权调换；选择货币补偿的，按确定的产权调换结算价予以货币补偿。</w:t>
      </w:r>
    </w:p>
    <w:p w14:paraId="1B085155">
      <w:pPr>
        <w:spacing w:line="560" w:lineRule="exact"/>
        <w:ind w:firstLine="640" w:firstLineChars="200"/>
        <w:rPr>
          <w:rFonts w:hint="default" w:ascii="仿宋" w:hAnsi="仿宋" w:eastAsia="仿宋" w:cs="仿宋"/>
          <w:sz w:val="32"/>
          <w:lang w:val="en-US" w:eastAsia="zh-CN"/>
        </w:rPr>
      </w:pPr>
      <w:r>
        <w:rPr>
          <w:rFonts w:hint="eastAsia" w:ascii="仿宋" w:hAnsi="仿宋" w:eastAsia="仿宋" w:cs="仿宋"/>
          <w:sz w:val="32"/>
          <w:lang w:val="en-US" w:eastAsia="zh-CN"/>
        </w:rPr>
        <w:t>选房后剩余回迁面积不足50平方米的，按确定的产权调换结算价予以货币补偿，不可以进行产权调换。</w:t>
      </w:r>
    </w:p>
    <w:p w14:paraId="34F95E6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六</w:t>
      </w:r>
      <w:r>
        <w:rPr>
          <w:rFonts w:hint="eastAsia" w:ascii="仿宋" w:hAnsi="仿宋" w:eastAsia="仿宋" w:cs="仿宋"/>
          <w:sz w:val="32"/>
          <w:szCs w:val="32"/>
        </w:rPr>
        <w:t>）对于需要补缴房款的被征收人，必须依照《回迁安置房合同》按期缴足房款。如未按合同规定的时间付款，逾期在</w:t>
      </w:r>
      <w:r>
        <w:rPr>
          <w:rFonts w:ascii="仿宋" w:hAnsi="仿宋" w:eastAsia="仿宋" w:cs="仿宋"/>
          <w:sz w:val="32"/>
          <w:szCs w:val="32"/>
        </w:rPr>
        <w:t>30</w:t>
      </w:r>
      <w:r>
        <w:rPr>
          <w:rFonts w:hint="eastAsia" w:ascii="仿宋" w:hAnsi="仿宋" w:eastAsia="仿宋" w:cs="仿宋"/>
          <w:sz w:val="32"/>
          <w:szCs w:val="32"/>
        </w:rPr>
        <w:t>日之内，自本合同规定的应付款期限之第二天起到实际全额支付应付款之日止，被征收人按日向房屋征收实施单位支付逾期应付款万分之三的违约金，合同继续履行；逾期在</w:t>
      </w:r>
      <w:r>
        <w:rPr>
          <w:rFonts w:ascii="仿宋" w:hAnsi="仿宋" w:eastAsia="仿宋" w:cs="仿宋"/>
          <w:sz w:val="32"/>
          <w:szCs w:val="32"/>
        </w:rPr>
        <w:t>30</w:t>
      </w:r>
      <w:r>
        <w:rPr>
          <w:rFonts w:hint="eastAsia" w:ascii="仿宋" w:hAnsi="仿宋" w:eastAsia="仿宋" w:cs="仿宋"/>
          <w:sz w:val="32"/>
          <w:szCs w:val="32"/>
        </w:rPr>
        <w:t>日后，被征收人按日向房屋征收实施单位支付逾期应付款万分之五的违约金，合同继续履行</w:t>
      </w:r>
      <w:r>
        <w:rPr>
          <w:rFonts w:hint="eastAsia" w:ascii="仿宋" w:hAnsi="仿宋" w:eastAsia="仿宋" w:cs="仿宋"/>
          <w:sz w:val="32"/>
          <w:szCs w:val="32"/>
          <w:lang w:eastAsia="zh-CN"/>
        </w:rPr>
        <w:t>，</w:t>
      </w:r>
      <w:r>
        <w:rPr>
          <w:rFonts w:hint="eastAsia" w:ascii="仿宋" w:hAnsi="仿宋" w:eastAsia="仿宋" w:cs="仿宋"/>
          <w:sz w:val="32"/>
          <w:szCs w:val="32"/>
        </w:rPr>
        <w:t>直至违约金达到置换房屋价值，合同自行终止。</w:t>
      </w:r>
    </w:p>
    <w:p w14:paraId="2C691AA0">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七</w:t>
      </w:r>
      <w:r>
        <w:rPr>
          <w:rFonts w:hint="eastAsia" w:ascii="仿宋" w:hAnsi="仿宋" w:eastAsia="仿宋" w:cs="仿宋"/>
          <w:sz w:val="32"/>
          <w:szCs w:val="32"/>
        </w:rPr>
        <w:t>）回迁安置时间以房屋征收实施单位通知的时间为准。被征收人不得以任何理由拒绝回迁。回迁时被征收人应当根据所选的房屋面积补足房款及其他应缴款项，方予办理相关回迁手续。</w:t>
      </w:r>
    </w:p>
    <w:p w14:paraId="00F3E1AD">
      <w:pPr>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八、住宅房屋的经营补偿</w:t>
      </w:r>
    </w:p>
    <w:p w14:paraId="27E41CE5">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房屋征收前被征收人已依法取得营业执照和税务登记证的住宅房屋，招用人员工资补偿按照在人力资源和社会保障部门备案的劳动用工合同的在册(在岗)人员名单，经人社部门核实后，按劳动合同法有关规定给予一次性补偿，未签订劳动用工合同、未到人力资源和社会保障部门备案的不给予补偿。</w:t>
      </w:r>
    </w:p>
    <w:p w14:paraId="76DA3D4C">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经营性补偿经税务部门审核，按上一年度月平均税后利润的60%计算，未纳税的不给予补偿。</w:t>
      </w:r>
    </w:p>
    <w:p w14:paraId="1CE99894">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造成全部停产停业的,补偿期限为6个月,造成部分停产停业的，补偿期限为3个月。</w:t>
      </w:r>
    </w:p>
    <w:p w14:paraId="6E37B0E7">
      <w:pPr>
        <w:spacing w:line="560" w:lineRule="exact"/>
        <w:ind w:firstLine="640" w:firstLineChars="200"/>
        <w:rPr>
          <w:b/>
          <w:bCs/>
          <w:sz w:val="32"/>
          <w:szCs w:val="32"/>
        </w:rPr>
      </w:pPr>
      <w:r>
        <w:rPr>
          <w:rFonts w:hint="eastAsia" w:ascii="黑体" w:hAnsi="黑体" w:eastAsia="黑体" w:cs="黑体"/>
          <w:sz w:val="32"/>
          <w:szCs w:val="32"/>
          <w:lang w:val="en-US" w:eastAsia="zh-CN"/>
        </w:rPr>
        <w:t>九</w:t>
      </w:r>
      <w:r>
        <w:rPr>
          <w:rFonts w:hint="eastAsia" w:ascii="黑体" w:hAnsi="黑体" w:eastAsia="黑体" w:cs="黑体"/>
          <w:sz w:val="32"/>
          <w:szCs w:val="32"/>
        </w:rPr>
        <w:t>、非住宅房屋的补偿安置及搬迁补助费标准</w:t>
      </w:r>
    </w:p>
    <w:p w14:paraId="0819D80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非住宅房屋补偿采用货币补偿方式，国有、集体性质的房屋由房地产评估机构</w:t>
      </w:r>
      <w:r>
        <w:rPr>
          <w:rFonts w:hint="eastAsia" w:ascii="仿宋" w:hAnsi="仿宋" w:eastAsia="仿宋" w:cs="仿宋"/>
          <w:sz w:val="32"/>
          <w:szCs w:val="32"/>
          <w:lang w:eastAsia="zh-CN"/>
        </w:rPr>
        <w:t>按照重置成本法</w:t>
      </w:r>
      <w:r>
        <w:rPr>
          <w:rFonts w:hint="eastAsia" w:ascii="仿宋" w:hAnsi="仿宋" w:eastAsia="仿宋" w:cs="仿宋"/>
          <w:sz w:val="32"/>
          <w:szCs w:val="32"/>
        </w:rPr>
        <w:t>进行评估确定。</w:t>
      </w:r>
    </w:p>
    <w:p w14:paraId="4D702AFA">
      <w:pPr>
        <w:spacing w:line="560" w:lineRule="exact"/>
        <w:ind w:firstLine="640" w:firstLineChars="200"/>
        <w:rPr>
          <w:rFonts w:ascii="仿宋" w:hAnsi="仿宋" w:eastAsia="仿宋" w:cs="仿宋"/>
          <w:b/>
          <w:bCs/>
          <w:sz w:val="32"/>
          <w:szCs w:val="32"/>
        </w:rPr>
      </w:pPr>
      <w:r>
        <w:rPr>
          <w:rFonts w:hint="eastAsia" w:ascii="仿宋" w:hAnsi="仿宋" w:eastAsia="仿宋" w:cs="仿宋"/>
          <w:sz w:val="32"/>
          <w:szCs w:val="32"/>
        </w:rPr>
        <w:t>非住宅房屋的搬迁补助费标准为：商业营业用房每平方米支付</w:t>
      </w:r>
      <w:r>
        <w:rPr>
          <w:rFonts w:ascii="仿宋" w:hAnsi="仿宋" w:eastAsia="仿宋" w:cs="仿宋"/>
          <w:sz w:val="32"/>
          <w:szCs w:val="32"/>
        </w:rPr>
        <w:t>22.5</w:t>
      </w:r>
      <w:r>
        <w:rPr>
          <w:rFonts w:hint="eastAsia" w:ascii="仿宋" w:hAnsi="仿宋" w:eastAsia="仿宋" w:cs="仿宋"/>
          <w:sz w:val="32"/>
          <w:szCs w:val="32"/>
        </w:rPr>
        <w:t>元，生产用房每平方米支付</w:t>
      </w:r>
      <w:r>
        <w:rPr>
          <w:rFonts w:ascii="仿宋" w:hAnsi="仿宋" w:eastAsia="仿宋" w:cs="仿宋"/>
          <w:sz w:val="32"/>
          <w:szCs w:val="32"/>
        </w:rPr>
        <w:t>32.5</w:t>
      </w:r>
      <w:r>
        <w:rPr>
          <w:rFonts w:hint="eastAsia" w:ascii="仿宋" w:hAnsi="仿宋" w:eastAsia="仿宋" w:cs="仿宋"/>
          <w:sz w:val="32"/>
          <w:szCs w:val="32"/>
        </w:rPr>
        <w:t>元，办公用房每平方米支付</w:t>
      </w:r>
      <w:r>
        <w:rPr>
          <w:rFonts w:ascii="仿宋" w:hAnsi="仿宋" w:eastAsia="仿宋" w:cs="仿宋"/>
          <w:sz w:val="32"/>
          <w:szCs w:val="32"/>
        </w:rPr>
        <w:t>15.5</w:t>
      </w:r>
      <w:r>
        <w:rPr>
          <w:rFonts w:hint="eastAsia" w:ascii="仿宋" w:hAnsi="仿宋" w:eastAsia="仿宋" w:cs="仿宋"/>
          <w:sz w:val="32"/>
          <w:szCs w:val="32"/>
        </w:rPr>
        <w:t>元，仓储用房每平方米支付</w:t>
      </w:r>
      <w:r>
        <w:rPr>
          <w:rFonts w:ascii="仿宋" w:hAnsi="仿宋" w:eastAsia="仿宋" w:cs="仿宋"/>
          <w:sz w:val="32"/>
          <w:szCs w:val="32"/>
        </w:rPr>
        <w:t>22.5</w:t>
      </w:r>
      <w:r>
        <w:rPr>
          <w:rFonts w:hint="eastAsia" w:ascii="仿宋" w:hAnsi="仿宋" w:eastAsia="仿宋" w:cs="仿宋"/>
          <w:sz w:val="32"/>
          <w:szCs w:val="32"/>
        </w:rPr>
        <w:t>元，特殊设备的搬迁费由房地产评估机构评估确定。</w:t>
      </w:r>
    </w:p>
    <w:p w14:paraId="646CA4C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因征收房屋造成非住宅房屋停产停业的，招用人员工资补偿按照人力资源和社会保障部门备案的劳动用工合同在册（在岗）人员，经人社部门核实后，按劳动合同法有关规定给予一次性经济补偿。</w:t>
      </w:r>
    </w:p>
    <w:p w14:paraId="77DDAF9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经营性补偿经税务部门审核，按上一年度平均税后利润的</w:t>
      </w:r>
      <w:r>
        <w:rPr>
          <w:rFonts w:ascii="仿宋" w:hAnsi="仿宋" w:eastAsia="仿宋" w:cs="仿宋"/>
          <w:sz w:val="32"/>
          <w:szCs w:val="32"/>
        </w:rPr>
        <w:t>60</w:t>
      </w:r>
      <w:r>
        <w:rPr>
          <w:rFonts w:hint="eastAsia" w:ascii="仿宋" w:hAnsi="仿宋" w:eastAsia="仿宋" w:cs="仿宋"/>
          <w:sz w:val="32"/>
          <w:szCs w:val="32"/>
        </w:rPr>
        <w:t>％计算。</w:t>
      </w:r>
    </w:p>
    <w:p w14:paraId="2390808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造成全部停产停业的，补偿期限为</w:t>
      </w:r>
      <w:r>
        <w:rPr>
          <w:rFonts w:ascii="仿宋" w:hAnsi="仿宋" w:eastAsia="仿宋" w:cs="仿宋"/>
          <w:sz w:val="32"/>
          <w:szCs w:val="32"/>
        </w:rPr>
        <w:t>6</w:t>
      </w:r>
      <w:r>
        <w:rPr>
          <w:rFonts w:hint="eastAsia" w:ascii="仿宋" w:hAnsi="仿宋" w:eastAsia="仿宋" w:cs="仿宋"/>
          <w:sz w:val="32"/>
          <w:szCs w:val="32"/>
        </w:rPr>
        <w:t>个月，造成部分停产停业的，补偿期限为</w:t>
      </w:r>
      <w:r>
        <w:rPr>
          <w:rFonts w:ascii="仿宋" w:hAnsi="仿宋" w:eastAsia="仿宋" w:cs="仿宋"/>
          <w:sz w:val="32"/>
          <w:szCs w:val="32"/>
        </w:rPr>
        <w:t>3</w:t>
      </w:r>
      <w:r>
        <w:rPr>
          <w:rFonts w:hint="eastAsia" w:ascii="仿宋" w:hAnsi="仿宋" w:eastAsia="仿宋" w:cs="仿宋"/>
          <w:sz w:val="32"/>
          <w:szCs w:val="32"/>
        </w:rPr>
        <w:t>个月。</w:t>
      </w:r>
    </w:p>
    <w:p w14:paraId="2683B90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征收决定公告发布之日前已停产停业的，不给予补偿。</w:t>
      </w:r>
    </w:p>
    <w:p w14:paraId="3E315F38">
      <w:pPr>
        <w:spacing w:line="560" w:lineRule="exact"/>
        <w:ind w:firstLine="640" w:firstLineChars="200"/>
        <w:rPr>
          <w:b/>
          <w:bCs/>
          <w:sz w:val="32"/>
          <w:szCs w:val="32"/>
        </w:rPr>
      </w:pPr>
      <w:r>
        <w:rPr>
          <w:rFonts w:hint="eastAsia" w:ascii="黑体" w:hAnsi="黑体" w:eastAsia="黑体" w:cs="黑体"/>
          <w:sz w:val="32"/>
          <w:szCs w:val="32"/>
          <w:lang w:val="en-US" w:eastAsia="zh-CN"/>
        </w:rPr>
        <w:t>十</w:t>
      </w:r>
      <w:r>
        <w:rPr>
          <w:rFonts w:hint="eastAsia" w:ascii="黑体" w:hAnsi="黑体" w:eastAsia="黑体" w:cs="黑体"/>
          <w:sz w:val="32"/>
          <w:szCs w:val="32"/>
        </w:rPr>
        <w:t>、奖励办法</w:t>
      </w:r>
    </w:p>
    <w:p w14:paraId="2C1A358B">
      <w:pPr>
        <w:spacing w:line="560" w:lineRule="exact"/>
        <w:ind w:firstLine="640" w:firstLineChars="200"/>
        <w:rPr>
          <w:rFonts w:ascii="仿宋" w:hAnsi="仿宋" w:eastAsia="仿宋" w:cs="仿宋"/>
          <w:b/>
          <w:bCs/>
          <w:sz w:val="32"/>
          <w:szCs w:val="32"/>
        </w:rPr>
      </w:pPr>
      <w:r>
        <w:rPr>
          <w:rFonts w:hint="eastAsia" w:ascii="仿宋" w:hAnsi="仿宋" w:eastAsia="仿宋" w:cs="仿宋"/>
          <w:sz w:val="32"/>
          <w:szCs w:val="32"/>
        </w:rPr>
        <w:t>签订协议后，</w:t>
      </w:r>
      <w:r>
        <w:rPr>
          <w:rFonts w:ascii="仿宋" w:hAnsi="仿宋" w:eastAsia="仿宋" w:cs="仿宋"/>
          <w:sz w:val="32"/>
          <w:szCs w:val="32"/>
        </w:rPr>
        <w:t>10</w:t>
      </w:r>
      <w:r>
        <w:rPr>
          <w:rFonts w:hint="eastAsia" w:ascii="仿宋" w:hAnsi="仿宋" w:eastAsia="仿宋" w:cs="仿宋"/>
          <w:sz w:val="32"/>
          <w:szCs w:val="32"/>
        </w:rPr>
        <w:t>天内完成搬迁移交房屋的，按合法建筑面积</w:t>
      </w:r>
      <w:r>
        <w:rPr>
          <w:rFonts w:ascii="仿宋" w:hAnsi="仿宋" w:eastAsia="仿宋" w:cs="仿宋"/>
          <w:sz w:val="32"/>
          <w:szCs w:val="32"/>
        </w:rPr>
        <w:t>150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㎡给予奖励，第</w:t>
      </w:r>
      <w:r>
        <w:rPr>
          <w:rFonts w:ascii="仿宋" w:hAnsi="仿宋" w:eastAsia="仿宋" w:cs="仿宋"/>
          <w:sz w:val="32"/>
          <w:szCs w:val="32"/>
        </w:rPr>
        <w:t>11</w:t>
      </w:r>
      <w:r>
        <w:rPr>
          <w:rFonts w:hint="eastAsia" w:ascii="仿宋" w:hAnsi="仿宋" w:eastAsia="仿宋" w:cs="仿宋"/>
          <w:sz w:val="32"/>
          <w:szCs w:val="32"/>
        </w:rPr>
        <w:t>天至第</w:t>
      </w:r>
      <w:r>
        <w:rPr>
          <w:rFonts w:ascii="仿宋" w:hAnsi="仿宋" w:eastAsia="仿宋" w:cs="仿宋"/>
          <w:sz w:val="32"/>
          <w:szCs w:val="32"/>
        </w:rPr>
        <w:t>16</w:t>
      </w:r>
      <w:r>
        <w:rPr>
          <w:rFonts w:hint="eastAsia" w:ascii="仿宋" w:hAnsi="仿宋" w:eastAsia="仿宋" w:cs="仿宋"/>
          <w:sz w:val="32"/>
          <w:szCs w:val="32"/>
        </w:rPr>
        <w:t>天完成搬迁移交房屋的，按合法建筑面积</w:t>
      </w:r>
      <w:r>
        <w:rPr>
          <w:rFonts w:ascii="仿宋" w:hAnsi="仿宋" w:eastAsia="仿宋" w:cs="仿宋"/>
          <w:sz w:val="32"/>
          <w:szCs w:val="32"/>
        </w:rPr>
        <w:t>100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㎡给予奖励，之后开始搬迁移交房屋的不予奖励。</w:t>
      </w:r>
    </w:p>
    <w:p w14:paraId="100B63F6">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val="en-US" w:eastAsia="zh-CN"/>
        </w:rPr>
        <w:t>一</w:t>
      </w:r>
      <w:r>
        <w:rPr>
          <w:rFonts w:hint="eastAsia" w:ascii="黑体" w:hAnsi="黑体" w:eastAsia="黑体" w:cs="黑体"/>
          <w:sz w:val="32"/>
          <w:szCs w:val="32"/>
        </w:rPr>
        <w:t>、产权调换的相关事项</w:t>
      </w:r>
    </w:p>
    <w:p w14:paraId="375A91C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（一）房屋征收实施单位为被征收人统一办理《不动产权证书》，属于应回迁安置面积部分的办理费用由房屋征收实施单位负担，超出应回迁安置面积部分的，办理费用由被征收人负担。</w:t>
      </w:r>
    </w:p>
    <w:p w14:paraId="55B44BE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（二）房屋维修基金按照住宅维修资金管理规定，由房屋所有权人缴纳。</w:t>
      </w:r>
    </w:p>
    <w:p w14:paraId="05C6BF7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回迁房的所有权人应当在办理房屋入住手续前，应将首期住宅专项维修基金缴纳到县住建局住宅专项维修资金账户。</w:t>
      </w:r>
    </w:p>
    <w:p w14:paraId="61605C0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住宅专项维修资金是用于住宅共同部位、共用设备设施保修期满后的维修和更新、改造，不得挪作他用。</w:t>
      </w:r>
    </w:p>
    <w:p w14:paraId="48F057B1">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val="en-US" w:eastAsia="zh-CN"/>
        </w:rPr>
        <w:t>二</w:t>
      </w:r>
      <w:r>
        <w:rPr>
          <w:rFonts w:hint="eastAsia" w:ascii="黑体" w:hAnsi="黑体" w:eastAsia="黑体" w:cs="黑体"/>
          <w:sz w:val="32"/>
          <w:szCs w:val="32"/>
        </w:rPr>
        <w:t>、征收与补偿中的争议处理</w:t>
      </w:r>
    </w:p>
    <w:p w14:paraId="44BFC992">
      <w:pPr>
        <w:spacing w:line="560" w:lineRule="exact"/>
        <w:ind w:firstLine="640" w:firstLineChars="200"/>
        <w:rPr>
          <w:rFonts w:ascii="仿宋" w:hAnsi="仿宋" w:eastAsia="仿宋" w:cs="仿宋"/>
          <w:color w:val="auto"/>
          <w:sz w:val="32"/>
          <w:szCs w:val="32"/>
        </w:rPr>
      </w:pPr>
      <w:r>
        <w:rPr>
          <w:rFonts w:hint="eastAsia" w:ascii="仿宋" w:hAnsi="仿宋" w:eastAsia="仿宋" w:cs="仿宋"/>
          <w:sz w:val="32"/>
          <w:szCs w:val="32"/>
        </w:rPr>
        <w:t>被</w:t>
      </w:r>
      <w:r>
        <w:rPr>
          <w:rFonts w:hint="eastAsia" w:ascii="仿宋" w:hAnsi="仿宋" w:eastAsia="仿宋" w:cs="仿宋"/>
          <w:color w:val="auto"/>
          <w:sz w:val="32"/>
          <w:szCs w:val="32"/>
        </w:rPr>
        <w:t>征收人如不服阳城县人民政府房屋征收决定的，可在</w:t>
      </w:r>
      <w:r>
        <w:rPr>
          <w:rFonts w:hint="eastAsia" w:ascii="仿宋" w:hAnsi="仿宋" w:eastAsia="仿宋" w:cs="仿宋"/>
          <w:color w:val="auto"/>
          <w:sz w:val="32"/>
          <w:szCs w:val="32"/>
          <w:lang w:val="en-US" w:eastAsia="zh-CN"/>
        </w:rPr>
        <w:t>《阳城县人民政府关于实施</w:t>
      </w:r>
      <w:r>
        <w:rPr>
          <w:rFonts w:hint="eastAsia" w:ascii="仿宋" w:hAnsi="仿宋" w:eastAsia="仿宋" w:cs="仿宋"/>
          <w:color w:val="auto"/>
          <w:sz w:val="32"/>
          <w:szCs w:val="32"/>
          <w:lang w:eastAsia="zh-CN"/>
        </w:rPr>
        <w:t>中心城区学前教育均衡布局提质项目（</w:t>
      </w:r>
      <w:r>
        <w:rPr>
          <w:rFonts w:hint="eastAsia" w:ascii="仿宋" w:hAnsi="仿宋" w:eastAsia="仿宋" w:cs="仿宋"/>
          <w:color w:val="auto"/>
          <w:sz w:val="32"/>
          <w:szCs w:val="32"/>
          <w:lang w:val="en-US" w:eastAsia="zh-CN"/>
        </w:rPr>
        <w:t>新建东城幼儿园</w:t>
      </w:r>
      <w:r>
        <w:rPr>
          <w:rFonts w:hint="eastAsia" w:ascii="仿宋" w:hAnsi="仿宋" w:eastAsia="仿宋" w:cs="仿宋"/>
          <w:color w:val="auto"/>
          <w:sz w:val="32"/>
          <w:szCs w:val="32"/>
          <w:lang w:eastAsia="zh-CN"/>
        </w:rPr>
        <w:t>）房屋</w:t>
      </w:r>
      <w:r>
        <w:rPr>
          <w:rFonts w:hint="eastAsia" w:ascii="仿宋" w:hAnsi="仿宋" w:eastAsia="仿宋" w:cs="仿宋"/>
          <w:color w:val="auto"/>
          <w:sz w:val="32"/>
          <w:szCs w:val="32"/>
          <w:lang w:val="en-US" w:eastAsia="zh-CN"/>
        </w:rPr>
        <w:t>征收决定的公告》</w:t>
      </w:r>
      <w:r>
        <w:rPr>
          <w:rFonts w:hint="eastAsia" w:ascii="仿宋" w:hAnsi="仿宋" w:eastAsia="仿宋" w:cs="仿宋"/>
          <w:color w:val="auto"/>
          <w:sz w:val="32"/>
          <w:szCs w:val="32"/>
        </w:rPr>
        <w:t>发布之日起六十日内向晋城市人民政府申请行政复议，或在六个月内向长治市中级人民法院提起行政诉讼。被征收人在规定期限内，不申请行政复议或者不提起行政诉讼，在</w:t>
      </w:r>
      <w:r>
        <w:rPr>
          <w:rFonts w:hint="eastAsia" w:ascii="仿宋" w:hAnsi="仿宋" w:eastAsia="仿宋" w:cs="仿宋"/>
          <w:color w:val="auto"/>
          <w:sz w:val="32"/>
          <w:szCs w:val="32"/>
          <w:lang w:val="en-US" w:eastAsia="zh-CN"/>
        </w:rPr>
        <w:t>《阳城县人民政府关于实施</w:t>
      </w:r>
      <w:r>
        <w:rPr>
          <w:rFonts w:hint="eastAsia" w:ascii="仿宋" w:hAnsi="仿宋" w:eastAsia="仿宋" w:cs="仿宋"/>
          <w:color w:val="auto"/>
          <w:sz w:val="32"/>
          <w:szCs w:val="32"/>
          <w:lang w:eastAsia="zh-CN"/>
        </w:rPr>
        <w:t>中心城区学前教育均衡布局提质项目（</w:t>
      </w:r>
      <w:r>
        <w:rPr>
          <w:rFonts w:hint="eastAsia" w:ascii="仿宋" w:hAnsi="仿宋" w:eastAsia="仿宋" w:cs="仿宋"/>
          <w:color w:val="auto"/>
          <w:sz w:val="32"/>
          <w:szCs w:val="32"/>
          <w:lang w:val="en-US" w:eastAsia="zh-CN"/>
        </w:rPr>
        <w:t>新建东城幼儿园</w:t>
      </w:r>
      <w:r>
        <w:rPr>
          <w:rFonts w:hint="eastAsia" w:ascii="仿宋" w:hAnsi="仿宋" w:eastAsia="仿宋" w:cs="仿宋"/>
          <w:color w:val="auto"/>
          <w:sz w:val="32"/>
          <w:szCs w:val="32"/>
          <w:lang w:eastAsia="zh-CN"/>
        </w:rPr>
        <w:t>）房屋</w:t>
      </w:r>
      <w:r>
        <w:rPr>
          <w:rFonts w:hint="eastAsia" w:ascii="仿宋" w:hAnsi="仿宋" w:eastAsia="仿宋" w:cs="仿宋"/>
          <w:color w:val="auto"/>
          <w:sz w:val="32"/>
          <w:szCs w:val="32"/>
          <w:lang w:val="en-US" w:eastAsia="zh-CN"/>
        </w:rPr>
        <w:t>征收决定的公告》</w:t>
      </w:r>
      <w:r>
        <w:rPr>
          <w:rFonts w:hint="eastAsia" w:ascii="仿宋" w:hAnsi="仿宋" w:eastAsia="仿宋" w:cs="仿宋"/>
          <w:color w:val="auto"/>
          <w:sz w:val="32"/>
          <w:szCs w:val="32"/>
        </w:rPr>
        <w:t>的期限内又不搬迁的，由阳城县人民政府依法申请人民法院强制执行。</w:t>
      </w:r>
    </w:p>
    <w:p w14:paraId="2D08F515">
      <w:pPr>
        <w:spacing w:line="560" w:lineRule="exact"/>
        <w:ind w:firstLine="640" w:firstLineChars="200"/>
        <w:rPr>
          <w:b/>
          <w:bCs/>
          <w:color w:val="auto"/>
          <w:sz w:val="32"/>
          <w:szCs w:val="32"/>
        </w:rPr>
      </w:pPr>
      <w:r>
        <w:rPr>
          <w:rFonts w:hint="eastAsia" w:ascii="黑体" w:hAnsi="黑体" w:eastAsia="黑体" w:cs="黑体"/>
          <w:color w:val="auto"/>
          <w:sz w:val="32"/>
          <w:szCs w:val="32"/>
        </w:rPr>
        <w:t>十</w:t>
      </w: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、征收搬迁时限</w:t>
      </w:r>
    </w:p>
    <w:p w14:paraId="7FA0931D">
      <w:pPr>
        <w:spacing w:line="560" w:lineRule="exact"/>
        <w:ind w:firstLine="640" w:firstLineChars="200"/>
        <w:rPr>
          <w:rFonts w:ascii="仿宋" w:hAnsi="仿宋" w:eastAsia="仿宋" w:cs="仿宋"/>
          <w:sz w:val="32"/>
          <w:szCs w:val="32"/>
        </w:rPr>
      </w:pPr>
      <w:r>
        <w:rPr>
          <w:rFonts w:hint="eastAsia" w:ascii="仿宋" w:hAnsi="仿宋" w:eastAsia="仿宋" w:cs="仿宋"/>
          <w:color w:val="auto"/>
          <w:sz w:val="32"/>
          <w:szCs w:val="32"/>
        </w:rPr>
        <w:t>征收及搬迁时限：自</w:t>
      </w:r>
      <w:r>
        <w:rPr>
          <w:rFonts w:hint="eastAsia" w:ascii="仿宋" w:hAnsi="仿宋" w:eastAsia="仿宋" w:cs="仿宋"/>
          <w:color w:val="auto"/>
          <w:sz w:val="32"/>
          <w:szCs w:val="32"/>
          <w:lang w:val="en-US" w:eastAsia="zh-CN"/>
        </w:rPr>
        <w:t>《阳城县人民政府关于实施</w:t>
      </w:r>
      <w:r>
        <w:rPr>
          <w:rFonts w:hint="eastAsia" w:ascii="仿宋" w:hAnsi="仿宋" w:eastAsia="仿宋" w:cs="仿宋"/>
          <w:sz w:val="32"/>
          <w:szCs w:val="32"/>
          <w:lang w:eastAsia="zh-CN"/>
        </w:rPr>
        <w:t>中心城区学前教育均衡布局提质项目（</w:t>
      </w:r>
      <w:r>
        <w:rPr>
          <w:rFonts w:hint="eastAsia" w:ascii="仿宋" w:hAnsi="仿宋" w:eastAsia="仿宋" w:cs="仿宋"/>
          <w:sz w:val="32"/>
          <w:szCs w:val="32"/>
          <w:lang w:val="en-US" w:eastAsia="zh-CN"/>
        </w:rPr>
        <w:t>新建东城幼儿园</w:t>
      </w:r>
      <w:r>
        <w:rPr>
          <w:rFonts w:hint="eastAsia" w:ascii="仿宋" w:hAnsi="仿宋" w:eastAsia="仿宋" w:cs="仿宋"/>
          <w:sz w:val="32"/>
          <w:szCs w:val="32"/>
          <w:lang w:eastAsia="zh-CN"/>
        </w:rPr>
        <w:t>）房屋</w:t>
      </w:r>
      <w:r>
        <w:rPr>
          <w:rFonts w:hint="eastAsia" w:ascii="仿宋" w:hAnsi="仿宋" w:eastAsia="仿宋" w:cs="仿宋"/>
          <w:sz w:val="32"/>
          <w:szCs w:val="32"/>
          <w:lang w:val="en-US" w:eastAsia="zh-CN"/>
        </w:rPr>
        <w:t>征收决定的公告》发布</w:t>
      </w:r>
      <w:r>
        <w:rPr>
          <w:rFonts w:hint="eastAsia" w:ascii="仿宋" w:hAnsi="仿宋" w:eastAsia="仿宋" w:cs="仿宋"/>
          <w:sz w:val="32"/>
          <w:szCs w:val="32"/>
        </w:rPr>
        <w:t>之日起六个月内。</w:t>
      </w:r>
    </w:p>
    <w:p w14:paraId="35C0BF75">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val="en-US" w:eastAsia="zh-CN"/>
        </w:rPr>
        <w:t>四</w:t>
      </w:r>
      <w:r>
        <w:rPr>
          <w:rFonts w:hint="eastAsia" w:ascii="黑体" w:hAnsi="黑体" w:eastAsia="黑体" w:cs="黑体"/>
          <w:sz w:val="32"/>
          <w:szCs w:val="32"/>
        </w:rPr>
        <w:t>、本方案未尽事宜，按有关法律法规之规定或房屋征收补充方案执行。</w:t>
      </w:r>
    </w:p>
    <w:p w14:paraId="46B8679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附件：</w:t>
      </w:r>
      <w:r>
        <w:rPr>
          <w:rFonts w:ascii="仿宋" w:hAnsi="仿宋" w:eastAsia="仿宋" w:cs="仿宋"/>
          <w:sz w:val="32"/>
          <w:szCs w:val="32"/>
        </w:rPr>
        <w:t>1</w:t>
      </w:r>
      <w:r>
        <w:rPr>
          <w:rFonts w:hint="eastAsia" w:ascii="仿宋" w:hAnsi="仿宋" w:eastAsia="仿宋" w:cs="仿宋"/>
          <w:sz w:val="32"/>
          <w:szCs w:val="32"/>
        </w:rPr>
        <w:t>、房屋等级划分标准和兑换比例</w:t>
      </w:r>
    </w:p>
    <w:p w14:paraId="405620C2">
      <w:pPr>
        <w:spacing w:line="560" w:lineRule="exact"/>
        <w:ind w:firstLine="1600" w:firstLineChars="500"/>
        <w:rPr>
          <w:rFonts w:hint="eastAsia"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、附属设施拆迁补偿等级标准价目表</w:t>
      </w:r>
    </w:p>
    <w:p w14:paraId="05A18D9D">
      <w:pPr>
        <w:rPr>
          <w:rFonts w:hint="eastAsia" w:ascii="仿宋" w:hAnsi="仿宋" w:eastAsia="仿宋" w:cs="仿宋"/>
          <w:sz w:val="32"/>
          <w:szCs w:val="32"/>
        </w:rPr>
      </w:pPr>
      <w:r>
        <w:rPr>
          <w:rFonts w:hint="eastAsia" w:ascii="仿宋" w:hAnsi="仿宋" w:eastAsia="仿宋" w:cs="仿宋"/>
          <w:sz w:val="32"/>
          <w:szCs w:val="32"/>
        </w:rPr>
        <w:br w:type="page"/>
      </w:r>
    </w:p>
    <w:p w14:paraId="7E7D1E9C">
      <w:pPr>
        <w:rPr>
          <w:b/>
          <w:bCs/>
          <w:sz w:val="28"/>
          <w:szCs w:val="28"/>
        </w:rPr>
      </w:pPr>
      <w:r>
        <w:rPr>
          <w:rFonts w:hint="eastAsia"/>
          <w:b/>
          <w:bCs/>
          <w:sz w:val="28"/>
          <w:szCs w:val="28"/>
        </w:rPr>
        <w:t>附件</w:t>
      </w:r>
      <w:r>
        <w:rPr>
          <w:b/>
          <w:bCs/>
          <w:sz w:val="28"/>
          <w:szCs w:val="28"/>
        </w:rPr>
        <w:t>1</w:t>
      </w:r>
    </w:p>
    <w:p w14:paraId="22AF6E47">
      <w:pPr>
        <w:jc w:val="center"/>
        <w:rPr>
          <w:b/>
          <w:bCs/>
          <w:sz w:val="28"/>
          <w:szCs w:val="28"/>
        </w:rPr>
      </w:pPr>
      <w:r>
        <w:rPr>
          <w:rFonts w:hint="eastAsia"/>
          <w:b/>
          <w:bCs/>
          <w:sz w:val="28"/>
          <w:szCs w:val="28"/>
        </w:rPr>
        <w:t>房屋等级划分标准</w:t>
      </w:r>
    </w:p>
    <w:tbl>
      <w:tblPr>
        <w:tblStyle w:val="4"/>
        <w:tblW w:w="8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6120"/>
        <w:gridCol w:w="1527"/>
      </w:tblGrid>
      <w:tr w14:paraId="6F71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832" w:type="dxa"/>
            <w:noWrap/>
            <w:vAlign w:val="center"/>
          </w:tcPr>
          <w:p w14:paraId="016D7F57">
            <w:pPr>
              <w:jc w:val="center"/>
              <w:rPr>
                <w:rFonts w:ascii="宋体" w:cs="宋体"/>
                <w:b w:val="0"/>
                <w:bCs w:val="0"/>
              </w:rPr>
            </w:pPr>
            <w:r>
              <w:rPr>
                <w:rFonts w:hint="eastAsia" w:ascii="宋体" w:hAnsi="宋体" w:cs="宋体"/>
                <w:b w:val="0"/>
                <w:bCs w:val="0"/>
              </w:rPr>
              <w:t>等级</w:t>
            </w:r>
          </w:p>
        </w:tc>
        <w:tc>
          <w:tcPr>
            <w:tcW w:w="6120" w:type="dxa"/>
            <w:noWrap/>
            <w:vAlign w:val="center"/>
          </w:tcPr>
          <w:p w14:paraId="385F54A9">
            <w:pPr>
              <w:jc w:val="center"/>
              <w:rPr>
                <w:rFonts w:ascii="宋体" w:cs="宋体"/>
                <w:b w:val="0"/>
                <w:bCs w:val="0"/>
              </w:rPr>
            </w:pPr>
            <w:r>
              <w:rPr>
                <w:rFonts w:hint="eastAsia" w:ascii="宋体" w:hAnsi="宋体" w:cs="宋体"/>
                <w:b w:val="0"/>
                <w:bCs w:val="0"/>
              </w:rPr>
              <w:t>划</w:t>
            </w:r>
            <w:r>
              <w:rPr>
                <w:rFonts w:ascii="宋体" w:hAnsi="宋体" w:cs="宋体"/>
                <w:b w:val="0"/>
                <w:bCs w:val="0"/>
              </w:rPr>
              <w:t xml:space="preserve">  </w:t>
            </w:r>
            <w:r>
              <w:rPr>
                <w:rFonts w:hint="eastAsia" w:ascii="宋体" w:hAnsi="宋体" w:cs="宋体"/>
                <w:b w:val="0"/>
                <w:bCs w:val="0"/>
              </w:rPr>
              <w:t>分</w:t>
            </w:r>
            <w:r>
              <w:rPr>
                <w:rFonts w:ascii="宋体" w:hAnsi="宋体" w:cs="宋体"/>
                <w:b w:val="0"/>
                <w:bCs w:val="0"/>
              </w:rPr>
              <w:t xml:space="preserve">  </w:t>
            </w:r>
            <w:r>
              <w:rPr>
                <w:rFonts w:hint="eastAsia" w:ascii="宋体" w:hAnsi="宋体" w:cs="宋体"/>
                <w:b w:val="0"/>
                <w:bCs w:val="0"/>
              </w:rPr>
              <w:t>标</w:t>
            </w:r>
            <w:r>
              <w:rPr>
                <w:rFonts w:ascii="宋体" w:hAnsi="宋体" w:cs="宋体"/>
                <w:b w:val="0"/>
                <w:bCs w:val="0"/>
              </w:rPr>
              <w:t xml:space="preserve">  </w:t>
            </w:r>
            <w:r>
              <w:rPr>
                <w:rFonts w:hint="eastAsia" w:ascii="宋体" w:hAnsi="宋体" w:cs="宋体"/>
                <w:b w:val="0"/>
                <w:bCs w:val="0"/>
              </w:rPr>
              <w:t>准</w:t>
            </w:r>
          </w:p>
        </w:tc>
        <w:tc>
          <w:tcPr>
            <w:tcW w:w="1527" w:type="dxa"/>
            <w:noWrap/>
            <w:vAlign w:val="center"/>
          </w:tcPr>
          <w:p w14:paraId="50804EA5">
            <w:pPr>
              <w:jc w:val="center"/>
              <w:rPr>
                <w:rFonts w:ascii="宋体" w:cs="宋体"/>
                <w:b w:val="0"/>
                <w:bCs w:val="0"/>
              </w:rPr>
            </w:pPr>
            <w:r>
              <w:rPr>
                <w:rFonts w:hint="eastAsia" w:ascii="宋体" w:hAnsi="宋体" w:cs="宋体"/>
                <w:b w:val="0"/>
                <w:bCs w:val="0"/>
              </w:rPr>
              <w:t>兑换比例</w:t>
            </w:r>
          </w:p>
        </w:tc>
      </w:tr>
      <w:tr w14:paraId="7093E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trPr>
        <w:tc>
          <w:tcPr>
            <w:tcW w:w="832" w:type="dxa"/>
            <w:noWrap/>
            <w:vAlign w:val="center"/>
          </w:tcPr>
          <w:p w14:paraId="534FA778">
            <w:pPr>
              <w:jc w:val="center"/>
              <w:rPr>
                <w:rFonts w:ascii="宋体" w:cs="宋体"/>
              </w:rPr>
            </w:pPr>
            <w:r>
              <w:rPr>
                <w:rFonts w:ascii="宋体" w:hAnsi="宋体" w:cs="宋体"/>
              </w:rPr>
              <w:t>1</w:t>
            </w:r>
          </w:p>
        </w:tc>
        <w:tc>
          <w:tcPr>
            <w:tcW w:w="6120" w:type="dxa"/>
            <w:noWrap/>
            <w:vAlign w:val="center"/>
          </w:tcPr>
          <w:p w14:paraId="7C14C957">
            <w:pPr>
              <w:jc w:val="left"/>
              <w:rPr>
                <w:rFonts w:ascii="宋体" w:cs="宋体"/>
              </w:rPr>
            </w:pPr>
            <w:r>
              <w:rPr>
                <w:rFonts w:hint="eastAsia" w:ascii="宋体" w:hAnsi="宋体" w:cs="宋体"/>
              </w:rPr>
              <w:t>砖混结构，全现浇顶，地圈梁，构造柱，</w:t>
            </w:r>
            <w:r>
              <w:rPr>
                <w:rFonts w:ascii="宋体" w:hAnsi="宋体" w:cs="宋体"/>
              </w:rPr>
              <w:t>2005</w:t>
            </w:r>
            <w:r>
              <w:rPr>
                <w:rFonts w:hint="eastAsia" w:ascii="宋体" w:hAnsi="宋体" w:cs="宋体"/>
              </w:rPr>
              <w:t>年以后修建的，水、暖、电、卫齐全，地砖地面，防盗门，断桥隔热或塑钢双玻中空窗，外墙贴面。</w:t>
            </w:r>
          </w:p>
        </w:tc>
        <w:tc>
          <w:tcPr>
            <w:tcW w:w="1527" w:type="dxa"/>
            <w:noWrap/>
            <w:vAlign w:val="center"/>
          </w:tcPr>
          <w:p w14:paraId="30F6B690">
            <w:pPr>
              <w:jc w:val="center"/>
              <w:rPr>
                <w:rFonts w:ascii="宋体" w:cs="宋体"/>
              </w:rPr>
            </w:pPr>
            <w:r>
              <w:rPr>
                <w:rFonts w:ascii="宋体" w:hAnsi="宋体" w:cs="宋体"/>
              </w:rPr>
              <w:t>1:1.12</w:t>
            </w:r>
          </w:p>
        </w:tc>
      </w:tr>
      <w:tr w14:paraId="01354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832" w:type="dxa"/>
            <w:noWrap/>
            <w:vAlign w:val="center"/>
          </w:tcPr>
          <w:p w14:paraId="32DAB1ED">
            <w:pPr>
              <w:jc w:val="center"/>
              <w:rPr>
                <w:rFonts w:ascii="宋体" w:cs="宋体"/>
              </w:rPr>
            </w:pPr>
            <w:r>
              <w:rPr>
                <w:rFonts w:ascii="宋体" w:hAnsi="宋体" w:cs="宋体"/>
              </w:rPr>
              <w:t>2</w:t>
            </w:r>
          </w:p>
        </w:tc>
        <w:tc>
          <w:tcPr>
            <w:tcW w:w="6120" w:type="dxa"/>
            <w:noWrap/>
            <w:vAlign w:val="center"/>
          </w:tcPr>
          <w:p w14:paraId="09EC29C0">
            <w:pPr>
              <w:jc w:val="left"/>
              <w:rPr>
                <w:rFonts w:ascii="宋体" w:cs="宋体"/>
              </w:rPr>
            </w:pPr>
            <w:r>
              <w:rPr>
                <w:rFonts w:hint="eastAsia" w:ascii="宋体" w:hAnsi="宋体" w:cs="宋体"/>
              </w:rPr>
              <w:t>砖混结构，</w:t>
            </w:r>
            <w:r>
              <w:rPr>
                <w:rFonts w:ascii="宋体" w:hAnsi="宋体" w:cs="宋体"/>
              </w:rPr>
              <w:t>2000</w:t>
            </w:r>
            <w:r>
              <w:rPr>
                <w:rFonts w:hint="eastAsia" w:ascii="宋体" w:hAnsi="宋体" w:cs="宋体"/>
              </w:rPr>
              <w:t>年以后修建的，水、暖、电、卫齐全，地砖地面，铝合金或塑钢门窗，外墙抹灰。</w:t>
            </w:r>
          </w:p>
        </w:tc>
        <w:tc>
          <w:tcPr>
            <w:tcW w:w="1527" w:type="dxa"/>
            <w:noWrap/>
            <w:vAlign w:val="center"/>
          </w:tcPr>
          <w:p w14:paraId="65AFA313">
            <w:pPr>
              <w:jc w:val="center"/>
              <w:rPr>
                <w:rFonts w:ascii="宋体" w:cs="宋体"/>
              </w:rPr>
            </w:pPr>
            <w:r>
              <w:rPr>
                <w:rFonts w:ascii="宋体" w:hAnsi="宋体" w:cs="宋体"/>
              </w:rPr>
              <w:t>1:1.11</w:t>
            </w:r>
          </w:p>
        </w:tc>
      </w:tr>
      <w:tr w14:paraId="6716D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trPr>
        <w:tc>
          <w:tcPr>
            <w:tcW w:w="832" w:type="dxa"/>
            <w:noWrap/>
            <w:vAlign w:val="center"/>
          </w:tcPr>
          <w:p w14:paraId="25DA8B16">
            <w:pPr>
              <w:jc w:val="center"/>
              <w:rPr>
                <w:rFonts w:hint="eastAsia" w:ascii="宋体" w:eastAsia="宋体" w:cs="宋体"/>
                <w:lang w:eastAsia="zh-CN"/>
              </w:rPr>
            </w:pPr>
            <w:r>
              <w:rPr>
                <w:rFonts w:hint="eastAsia" w:ascii="宋体" w:hAnsi="宋体" w:cs="宋体"/>
                <w:lang w:val="en-US" w:eastAsia="zh-CN"/>
              </w:rPr>
              <w:t>3</w:t>
            </w:r>
          </w:p>
        </w:tc>
        <w:tc>
          <w:tcPr>
            <w:tcW w:w="6120" w:type="dxa"/>
            <w:noWrap/>
            <w:vAlign w:val="center"/>
          </w:tcPr>
          <w:p w14:paraId="0ECE6337">
            <w:pPr>
              <w:jc w:val="left"/>
              <w:rPr>
                <w:rFonts w:ascii="宋体" w:cs="宋体"/>
              </w:rPr>
            </w:pPr>
            <w:r>
              <w:rPr>
                <w:rFonts w:hint="eastAsia" w:ascii="宋体" w:hAnsi="宋体" w:cs="宋体"/>
              </w:rPr>
              <w:t>砖木结构，全砖墙，水、暖、电、卫基本齐全，地砖地面，塑钢门窗。</w:t>
            </w:r>
          </w:p>
        </w:tc>
        <w:tc>
          <w:tcPr>
            <w:tcW w:w="1527" w:type="dxa"/>
            <w:noWrap/>
            <w:vAlign w:val="center"/>
          </w:tcPr>
          <w:p w14:paraId="4A7A444E">
            <w:pPr>
              <w:jc w:val="center"/>
              <w:rPr>
                <w:rFonts w:ascii="宋体" w:cs="宋体"/>
              </w:rPr>
            </w:pPr>
            <w:r>
              <w:rPr>
                <w:rFonts w:ascii="宋体" w:hAnsi="宋体" w:cs="宋体"/>
              </w:rPr>
              <w:t>1:1.09</w:t>
            </w:r>
          </w:p>
        </w:tc>
      </w:tr>
      <w:tr w14:paraId="7FFDC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832" w:type="dxa"/>
            <w:noWrap/>
            <w:vAlign w:val="center"/>
          </w:tcPr>
          <w:p w14:paraId="244299E7">
            <w:pPr>
              <w:jc w:val="center"/>
              <w:rPr>
                <w:rFonts w:hint="eastAsia" w:ascii="宋体" w:eastAsia="宋体" w:cs="宋体"/>
                <w:lang w:eastAsia="zh-CN"/>
              </w:rPr>
            </w:pPr>
            <w:r>
              <w:rPr>
                <w:rFonts w:hint="eastAsia" w:ascii="宋体" w:hAnsi="宋体" w:cs="宋体"/>
                <w:lang w:val="en-US" w:eastAsia="zh-CN"/>
              </w:rPr>
              <w:t>4</w:t>
            </w:r>
          </w:p>
        </w:tc>
        <w:tc>
          <w:tcPr>
            <w:tcW w:w="6120" w:type="dxa"/>
            <w:noWrap/>
            <w:vAlign w:val="center"/>
          </w:tcPr>
          <w:p w14:paraId="09140218">
            <w:pPr>
              <w:jc w:val="left"/>
              <w:rPr>
                <w:rFonts w:ascii="宋体" w:cs="宋体"/>
              </w:rPr>
            </w:pPr>
            <w:r>
              <w:rPr>
                <w:rFonts w:hint="eastAsia" w:ascii="宋体" w:hAnsi="宋体" w:cs="宋体"/>
              </w:rPr>
              <w:t>砖木结构，砖包土坯墙，水、暖、电、卫基本齐全，普通地砖地面，普通门窗。</w:t>
            </w:r>
          </w:p>
        </w:tc>
        <w:tc>
          <w:tcPr>
            <w:tcW w:w="1527" w:type="dxa"/>
            <w:noWrap/>
            <w:vAlign w:val="center"/>
          </w:tcPr>
          <w:p w14:paraId="29B13878">
            <w:pPr>
              <w:jc w:val="center"/>
              <w:rPr>
                <w:rFonts w:ascii="宋体" w:cs="宋体"/>
              </w:rPr>
            </w:pPr>
            <w:r>
              <w:rPr>
                <w:rFonts w:ascii="宋体" w:hAnsi="宋体" w:cs="宋体"/>
              </w:rPr>
              <w:t>1:1.06</w:t>
            </w:r>
          </w:p>
        </w:tc>
      </w:tr>
      <w:tr w14:paraId="0E306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832" w:type="dxa"/>
            <w:noWrap/>
            <w:vAlign w:val="center"/>
          </w:tcPr>
          <w:p w14:paraId="55B34E5A">
            <w:pPr>
              <w:jc w:val="center"/>
              <w:rPr>
                <w:rFonts w:hint="eastAsia" w:ascii="宋体" w:eastAsia="宋体" w:cs="宋体"/>
                <w:lang w:eastAsia="zh-CN"/>
              </w:rPr>
            </w:pPr>
            <w:r>
              <w:rPr>
                <w:rFonts w:hint="eastAsia" w:ascii="宋体" w:hAnsi="宋体" w:cs="宋体"/>
                <w:lang w:val="en-US" w:eastAsia="zh-CN"/>
              </w:rPr>
              <w:t>5</w:t>
            </w:r>
          </w:p>
        </w:tc>
        <w:tc>
          <w:tcPr>
            <w:tcW w:w="6120" w:type="dxa"/>
            <w:noWrap/>
            <w:vAlign w:val="center"/>
          </w:tcPr>
          <w:p w14:paraId="0427AC3E">
            <w:pPr>
              <w:jc w:val="left"/>
              <w:rPr>
                <w:rFonts w:ascii="宋体" w:cs="宋体"/>
              </w:rPr>
            </w:pPr>
            <w:r>
              <w:rPr>
                <w:rFonts w:hint="eastAsia" w:ascii="宋体" w:hAnsi="宋体" w:cs="宋体"/>
              </w:rPr>
              <w:t>使用年限超过</w:t>
            </w:r>
            <w:r>
              <w:rPr>
                <w:rFonts w:ascii="宋体" w:hAnsi="宋体" w:cs="宋体"/>
              </w:rPr>
              <w:t>50</w:t>
            </w:r>
            <w:r>
              <w:rPr>
                <w:rFonts w:hint="eastAsia" w:ascii="宋体" w:hAnsi="宋体" w:cs="宋体"/>
              </w:rPr>
              <w:t>年的建筑，整体较完好，能基本保证正常居住和使用安全的房屋。</w:t>
            </w:r>
          </w:p>
        </w:tc>
        <w:tc>
          <w:tcPr>
            <w:tcW w:w="1527" w:type="dxa"/>
            <w:noWrap/>
            <w:vAlign w:val="center"/>
          </w:tcPr>
          <w:p w14:paraId="50430F0D">
            <w:pPr>
              <w:jc w:val="center"/>
              <w:rPr>
                <w:rFonts w:hint="eastAsia" w:ascii="宋体" w:eastAsia="宋体" w:cs="宋体"/>
                <w:lang w:eastAsia="zh-CN"/>
              </w:rPr>
            </w:pPr>
            <w:r>
              <w:rPr>
                <w:rFonts w:ascii="宋体" w:hAnsi="宋体" w:cs="宋体"/>
              </w:rPr>
              <w:t>1:1.0</w:t>
            </w:r>
            <w:r>
              <w:rPr>
                <w:rFonts w:hint="eastAsia" w:ascii="宋体" w:hAnsi="宋体" w:cs="宋体"/>
                <w:lang w:val="en-US" w:eastAsia="zh-CN"/>
              </w:rPr>
              <w:t>4</w:t>
            </w:r>
          </w:p>
        </w:tc>
      </w:tr>
      <w:tr w14:paraId="1863D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trPr>
        <w:tc>
          <w:tcPr>
            <w:tcW w:w="832" w:type="dxa"/>
            <w:noWrap/>
            <w:vAlign w:val="center"/>
          </w:tcPr>
          <w:p w14:paraId="6C975B69">
            <w:pPr>
              <w:jc w:val="center"/>
              <w:rPr>
                <w:rFonts w:hint="eastAsia" w:ascii="宋体" w:eastAsia="宋体" w:cs="宋体"/>
                <w:lang w:eastAsia="zh-CN"/>
              </w:rPr>
            </w:pPr>
            <w:r>
              <w:rPr>
                <w:rFonts w:hint="eastAsia" w:ascii="宋体" w:hAnsi="宋体" w:cs="宋体"/>
                <w:lang w:val="en-US" w:eastAsia="zh-CN"/>
              </w:rPr>
              <w:t>6</w:t>
            </w:r>
          </w:p>
        </w:tc>
        <w:tc>
          <w:tcPr>
            <w:tcW w:w="6120" w:type="dxa"/>
            <w:noWrap/>
            <w:vAlign w:val="center"/>
          </w:tcPr>
          <w:p w14:paraId="023B5C42">
            <w:pPr>
              <w:jc w:val="left"/>
              <w:rPr>
                <w:rFonts w:ascii="宋体" w:cs="宋体"/>
              </w:rPr>
            </w:pPr>
            <w:r>
              <w:rPr>
                <w:rFonts w:hint="eastAsia" w:ascii="宋体" w:hAnsi="宋体" w:cs="宋体"/>
              </w:rPr>
              <w:t>年久失修，承重构件已属危险构件，随时有可能丧失结构稳定和承载能力的，不能保证正常居住和使用安全的房屋。</w:t>
            </w:r>
          </w:p>
        </w:tc>
        <w:tc>
          <w:tcPr>
            <w:tcW w:w="1527" w:type="dxa"/>
            <w:noWrap/>
            <w:vAlign w:val="center"/>
          </w:tcPr>
          <w:p w14:paraId="728E6456">
            <w:pPr>
              <w:jc w:val="center"/>
              <w:rPr>
                <w:rFonts w:ascii="宋体" w:cs="宋体"/>
              </w:rPr>
            </w:pPr>
            <w:r>
              <w:rPr>
                <w:rFonts w:ascii="宋体" w:hAnsi="宋体" w:cs="宋体"/>
              </w:rPr>
              <w:t>1:1</w:t>
            </w:r>
          </w:p>
        </w:tc>
      </w:tr>
    </w:tbl>
    <w:p w14:paraId="576B8B0A">
      <w:pPr>
        <w:rPr>
          <w:rFonts w:hint="eastAsia"/>
          <w:b/>
          <w:bCs/>
        </w:rPr>
      </w:pPr>
      <w:r>
        <w:rPr>
          <w:rFonts w:hint="eastAsia"/>
          <w:b/>
          <w:bCs/>
        </w:rPr>
        <w:br w:type="page"/>
      </w:r>
    </w:p>
    <w:p w14:paraId="4A33AC42">
      <w:pPr>
        <w:rPr>
          <w:rFonts w:hint="eastAsia" w:eastAsia="宋体"/>
          <w:b/>
          <w:bCs/>
          <w:sz w:val="28"/>
          <w:szCs w:val="28"/>
        </w:rPr>
      </w:pPr>
      <w:r>
        <w:rPr>
          <w:rFonts w:hint="eastAsia" w:eastAsia="宋体"/>
          <w:b/>
          <w:bCs/>
          <w:sz w:val="28"/>
          <w:szCs w:val="28"/>
        </w:rPr>
        <w:t xml:space="preserve">附件2 </w:t>
      </w:r>
    </w:p>
    <w:p w14:paraId="406F15F3">
      <w:pPr>
        <w:keepNext w:val="0"/>
        <w:keepLines w:val="0"/>
        <w:pageBreakBefore w:val="0"/>
        <w:widowControl w:val="0"/>
        <w:kinsoku/>
        <w:wordWrap/>
        <w:overflowPunct/>
        <w:topLinePunct w:val="0"/>
        <w:autoSpaceDE/>
        <w:autoSpaceDN/>
        <w:bidi w:val="0"/>
        <w:adjustRightInd/>
        <w:snapToGrid/>
        <w:spacing w:line="160" w:lineRule="atLeast"/>
        <w:jc w:val="center"/>
        <w:textAlignment w:val="auto"/>
        <w:rPr>
          <w:b/>
          <w:bCs/>
        </w:rPr>
      </w:pPr>
      <w:r>
        <w:rPr>
          <w:rFonts w:hint="eastAsia"/>
          <w:b/>
          <w:bCs/>
          <w:sz w:val="28"/>
          <w:szCs w:val="28"/>
        </w:rPr>
        <w:t>附属设施拆迁补偿等级标准价目表</w:t>
      </w:r>
    </w:p>
    <w:tbl>
      <w:tblPr>
        <w:tblStyle w:val="4"/>
        <w:tblW w:w="8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947"/>
        <w:gridCol w:w="1393"/>
        <w:gridCol w:w="5016"/>
      </w:tblGrid>
      <w:tr w14:paraId="7D4AF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102" w:type="dxa"/>
            <w:noWrap/>
            <w:vAlign w:val="center"/>
          </w:tcPr>
          <w:p w14:paraId="5C6FB4BF">
            <w:pPr>
              <w:jc w:val="center"/>
              <w:rPr>
                <w:rFonts w:ascii="宋体" w:cs="宋体"/>
                <w:sz w:val="21"/>
                <w:szCs w:val="21"/>
              </w:rPr>
            </w:pPr>
            <w:r>
              <w:rPr>
                <w:rFonts w:hint="eastAsia" w:ascii="宋体" w:hAnsi="宋体" w:cs="宋体"/>
                <w:sz w:val="21"/>
                <w:szCs w:val="21"/>
              </w:rPr>
              <w:t>名称</w:t>
            </w:r>
          </w:p>
        </w:tc>
        <w:tc>
          <w:tcPr>
            <w:tcW w:w="947" w:type="dxa"/>
            <w:noWrap/>
            <w:vAlign w:val="center"/>
          </w:tcPr>
          <w:p w14:paraId="0FBDA5B5">
            <w:pPr>
              <w:jc w:val="center"/>
              <w:rPr>
                <w:rFonts w:ascii="宋体" w:cs="宋体"/>
                <w:sz w:val="21"/>
                <w:szCs w:val="21"/>
              </w:rPr>
            </w:pPr>
            <w:r>
              <w:rPr>
                <w:rFonts w:hint="eastAsia" w:ascii="宋体" w:hAnsi="宋体" w:cs="宋体"/>
                <w:sz w:val="21"/>
                <w:szCs w:val="21"/>
              </w:rPr>
              <w:t>等级</w:t>
            </w:r>
          </w:p>
        </w:tc>
        <w:tc>
          <w:tcPr>
            <w:tcW w:w="1393" w:type="dxa"/>
            <w:noWrap/>
            <w:vAlign w:val="center"/>
          </w:tcPr>
          <w:p w14:paraId="067BC368">
            <w:pPr>
              <w:jc w:val="center"/>
              <w:rPr>
                <w:rFonts w:ascii="宋体" w:cs="宋体"/>
                <w:sz w:val="21"/>
                <w:szCs w:val="21"/>
              </w:rPr>
            </w:pPr>
            <w:r>
              <w:rPr>
                <w:rFonts w:hint="eastAsia" w:ascii="宋体" w:hAnsi="宋体" w:cs="宋体"/>
                <w:sz w:val="21"/>
                <w:szCs w:val="21"/>
              </w:rPr>
              <w:t>单价（元）</w:t>
            </w:r>
          </w:p>
        </w:tc>
        <w:tc>
          <w:tcPr>
            <w:tcW w:w="5016" w:type="dxa"/>
            <w:noWrap/>
            <w:vAlign w:val="center"/>
          </w:tcPr>
          <w:p w14:paraId="3F9E6683">
            <w:pPr>
              <w:jc w:val="center"/>
              <w:rPr>
                <w:rFonts w:ascii="宋体" w:cs="宋体"/>
                <w:sz w:val="21"/>
                <w:szCs w:val="21"/>
              </w:rPr>
            </w:pPr>
            <w:r>
              <w:rPr>
                <w:rFonts w:hint="eastAsia" w:ascii="宋体" w:hAnsi="宋体" w:cs="宋体"/>
                <w:sz w:val="21"/>
                <w:szCs w:val="21"/>
              </w:rPr>
              <w:t>等级内容说明</w:t>
            </w:r>
          </w:p>
        </w:tc>
      </w:tr>
      <w:tr w14:paraId="3EC85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02" w:type="dxa"/>
            <w:vMerge w:val="restart"/>
            <w:noWrap/>
            <w:vAlign w:val="center"/>
          </w:tcPr>
          <w:p w14:paraId="5325E5E0">
            <w:pPr>
              <w:jc w:val="center"/>
              <w:rPr>
                <w:rFonts w:ascii="宋体" w:cs="宋体"/>
                <w:sz w:val="21"/>
                <w:szCs w:val="21"/>
              </w:rPr>
            </w:pPr>
            <w:r>
              <w:rPr>
                <w:rFonts w:hint="eastAsia" w:ascii="宋体" w:hAnsi="宋体" w:cs="宋体"/>
                <w:sz w:val="21"/>
                <w:szCs w:val="21"/>
              </w:rPr>
              <w:t>厕所</w:t>
            </w:r>
          </w:p>
        </w:tc>
        <w:tc>
          <w:tcPr>
            <w:tcW w:w="947" w:type="dxa"/>
            <w:noWrap/>
            <w:vAlign w:val="center"/>
          </w:tcPr>
          <w:p w14:paraId="1B49C1DC">
            <w:pPr>
              <w:jc w:val="center"/>
              <w:rPr>
                <w:rFonts w:ascii="宋体" w:cs="宋体"/>
                <w:sz w:val="21"/>
                <w:szCs w:val="21"/>
              </w:rPr>
            </w:pPr>
            <w:r>
              <w:rPr>
                <w:rFonts w:ascii="宋体" w:hAnsi="宋体" w:cs="宋体"/>
                <w:sz w:val="21"/>
                <w:szCs w:val="21"/>
              </w:rPr>
              <w:t>1</w:t>
            </w:r>
          </w:p>
        </w:tc>
        <w:tc>
          <w:tcPr>
            <w:tcW w:w="1393" w:type="dxa"/>
            <w:noWrap/>
            <w:vAlign w:val="center"/>
          </w:tcPr>
          <w:p w14:paraId="546AF34C">
            <w:pPr>
              <w:jc w:val="center"/>
              <w:rPr>
                <w:rFonts w:ascii="宋体" w:cs="宋体"/>
                <w:sz w:val="21"/>
                <w:szCs w:val="21"/>
              </w:rPr>
            </w:pPr>
            <w:r>
              <w:rPr>
                <w:rFonts w:ascii="宋体" w:hAnsi="宋体" w:cs="宋体"/>
                <w:sz w:val="21"/>
                <w:szCs w:val="21"/>
              </w:rPr>
              <w:t>750</w:t>
            </w:r>
          </w:p>
        </w:tc>
        <w:tc>
          <w:tcPr>
            <w:tcW w:w="5016" w:type="dxa"/>
            <w:noWrap/>
            <w:vAlign w:val="center"/>
          </w:tcPr>
          <w:p w14:paraId="62AD398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cs="宋体"/>
                <w:sz w:val="21"/>
                <w:szCs w:val="21"/>
              </w:rPr>
            </w:pPr>
            <w:r>
              <w:rPr>
                <w:rFonts w:hint="eastAsia" w:ascii="宋体" w:hAnsi="宋体" w:cs="宋体"/>
                <w:sz w:val="21"/>
                <w:szCs w:val="21"/>
              </w:rPr>
              <w:t>砖砌墙、围墙完好、有瓦木顶盖、深</w:t>
            </w:r>
            <w:r>
              <w:rPr>
                <w:rFonts w:ascii="宋体" w:hAnsi="宋体" w:cs="宋体"/>
                <w:sz w:val="21"/>
                <w:szCs w:val="21"/>
              </w:rPr>
              <w:t>3</w:t>
            </w:r>
            <w:r>
              <w:rPr>
                <w:rFonts w:hint="eastAsia" w:ascii="宋体" w:hAnsi="宋体" w:cs="宋体"/>
                <w:sz w:val="21"/>
                <w:szCs w:val="21"/>
              </w:rPr>
              <w:t>米、宽</w:t>
            </w:r>
            <w:r>
              <w:rPr>
                <w:rFonts w:ascii="宋体" w:hAnsi="宋体" w:cs="宋体"/>
                <w:sz w:val="21"/>
                <w:szCs w:val="21"/>
              </w:rPr>
              <w:t>2</w:t>
            </w:r>
            <w:r>
              <w:rPr>
                <w:rFonts w:hint="eastAsia" w:ascii="宋体" w:hAnsi="宋体" w:cs="宋体"/>
                <w:sz w:val="21"/>
                <w:szCs w:val="21"/>
              </w:rPr>
              <w:t>米、长</w:t>
            </w:r>
            <w:r>
              <w:rPr>
                <w:rFonts w:ascii="宋体" w:hAnsi="宋体" w:cs="宋体"/>
                <w:sz w:val="21"/>
                <w:szCs w:val="21"/>
              </w:rPr>
              <w:t>3</w:t>
            </w:r>
            <w:r>
              <w:rPr>
                <w:rFonts w:hint="eastAsia" w:ascii="宋体" w:hAnsi="宋体" w:cs="宋体"/>
                <w:sz w:val="21"/>
                <w:szCs w:val="21"/>
              </w:rPr>
              <w:t>米以上</w:t>
            </w:r>
          </w:p>
        </w:tc>
      </w:tr>
      <w:tr w14:paraId="27F22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102" w:type="dxa"/>
            <w:vMerge w:val="continue"/>
            <w:noWrap/>
            <w:vAlign w:val="center"/>
          </w:tcPr>
          <w:p w14:paraId="1DC000A0">
            <w:pPr>
              <w:jc w:val="center"/>
              <w:rPr>
                <w:rFonts w:ascii="宋体" w:cs="宋体"/>
                <w:sz w:val="21"/>
                <w:szCs w:val="21"/>
              </w:rPr>
            </w:pPr>
          </w:p>
        </w:tc>
        <w:tc>
          <w:tcPr>
            <w:tcW w:w="947" w:type="dxa"/>
            <w:noWrap/>
            <w:vAlign w:val="center"/>
          </w:tcPr>
          <w:p w14:paraId="0E478A98">
            <w:pPr>
              <w:jc w:val="center"/>
              <w:rPr>
                <w:rFonts w:ascii="宋体" w:cs="宋体"/>
                <w:sz w:val="21"/>
                <w:szCs w:val="21"/>
              </w:rPr>
            </w:pPr>
            <w:r>
              <w:rPr>
                <w:rFonts w:ascii="宋体" w:hAnsi="宋体" w:cs="宋体"/>
                <w:sz w:val="21"/>
                <w:szCs w:val="21"/>
              </w:rPr>
              <w:t>2</w:t>
            </w:r>
          </w:p>
        </w:tc>
        <w:tc>
          <w:tcPr>
            <w:tcW w:w="1393" w:type="dxa"/>
            <w:noWrap/>
            <w:vAlign w:val="center"/>
          </w:tcPr>
          <w:p w14:paraId="7963C524">
            <w:pPr>
              <w:jc w:val="center"/>
              <w:rPr>
                <w:rFonts w:ascii="宋体" w:cs="宋体"/>
                <w:sz w:val="21"/>
                <w:szCs w:val="21"/>
              </w:rPr>
            </w:pPr>
            <w:r>
              <w:rPr>
                <w:rFonts w:ascii="宋体" w:hAnsi="宋体" w:cs="宋体"/>
                <w:sz w:val="21"/>
                <w:szCs w:val="21"/>
              </w:rPr>
              <w:t>630</w:t>
            </w:r>
          </w:p>
        </w:tc>
        <w:tc>
          <w:tcPr>
            <w:tcW w:w="5016" w:type="dxa"/>
            <w:noWrap/>
            <w:vAlign w:val="center"/>
          </w:tcPr>
          <w:p w14:paraId="0FDB37B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cs="宋体"/>
                <w:sz w:val="21"/>
                <w:szCs w:val="21"/>
              </w:rPr>
            </w:pPr>
            <w:r>
              <w:rPr>
                <w:rFonts w:hint="eastAsia" w:ascii="宋体" w:hAnsi="宋体" w:cs="宋体"/>
                <w:sz w:val="21"/>
                <w:szCs w:val="21"/>
              </w:rPr>
              <w:t>砖石砌体、围墙完好、有简易顶、深</w:t>
            </w:r>
            <w:r>
              <w:rPr>
                <w:rFonts w:ascii="宋体" w:hAnsi="宋体" w:cs="宋体"/>
                <w:sz w:val="21"/>
                <w:szCs w:val="21"/>
              </w:rPr>
              <w:t>2.5</w:t>
            </w:r>
            <w:r>
              <w:rPr>
                <w:rFonts w:hint="eastAsia" w:ascii="宋体" w:hAnsi="宋体" w:cs="宋体"/>
                <w:sz w:val="21"/>
                <w:szCs w:val="21"/>
              </w:rPr>
              <w:t>米、宽</w:t>
            </w:r>
            <w:r>
              <w:rPr>
                <w:rFonts w:ascii="宋体" w:hAnsi="宋体" w:cs="宋体"/>
                <w:sz w:val="21"/>
                <w:szCs w:val="21"/>
              </w:rPr>
              <w:t>1. 5</w:t>
            </w:r>
            <w:r>
              <w:rPr>
                <w:rFonts w:hint="eastAsia" w:ascii="宋体" w:hAnsi="宋体" w:cs="宋体"/>
                <w:sz w:val="21"/>
                <w:szCs w:val="21"/>
              </w:rPr>
              <w:t>米、长</w:t>
            </w:r>
            <w:r>
              <w:rPr>
                <w:rFonts w:ascii="宋体" w:hAnsi="宋体" w:cs="宋体"/>
                <w:sz w:val="21"/>
                <w:szCs w:val="21"/>
              </w:rPr>
              <w:t>2.5</w:t>
            </w:r>
            <w:r>
              <w:rPr>
                <w:rFonts w:hint="eastAsia" w:ascii="宋体" w:hAnsi="宋体" w:cs="宋体"/>
                <w:sz w:val="21"/>
                <w:szCs w:val="21"/>
              </w:rPr>
              <w:t>米以上</w:t>
            </w:r>
          </w:p>
        </w:tc>
      </w:tr>
      <w:tr w14:paraId="76FC1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102" w:type="dxa"/>
            <w:vMerge w:val="continue"/>
            <w:noWrap/>
            <w:vAlign w:val="center"/>
          </w:tcPr>
          <w:p w14:paraId="55A62AF9">
            <w:pPr>
              <w:jc w:val="center"/>
              <w:rPr>
                <w:rFonts w:ascii="宋体" w:cs="宋体"/>
                <w:sz w:val="21"/>
                <w:szCs w:val="21"/>
              </w:rPr>
            </w:pPr>
          </w:p>
        </w:tc>
        <w:tc>
          <w:tcPr>
            <w:tcW w:w="947" w:type="dxa"/>
            <w:noWrap/>
            <w:vAlign w:val="center"/>
          </w:tcPr>
          <w:p w14:paraId="0808E8B0">
            <w:pPr>
              <w:jc w:val="center"/>
              <w:rPr>
                <w:rFonts w:ascii="宋体" w:cs="宋体"/>
                <w:sz w:val="21"/>
                <w:szCs w:val="21"/>
              </w:rPr>
            </w:pPr>
            <w:r>
              <w:rPr>
                <w:rFonts w:ascii="宋体" w:hAnsi="宋体" w:cs="宋体"/>
                <w:sz w:val="21"/>
                <w:szCs w:val="21"/>
              </w:rPr>
              <w:t>3</w:t>
            </w:r>
          </w:p>
        </w:tc>
        <w:tc>
          <w:tcPr>
            <w:tcW w:w="1393" w:type="dxa"/>
            <w:noWrap/>
            <w:vAlign w:val="center"/>
          </w:tcPr>
          <w:p w14:paraId="184DA5B0">
            <w:pPr>
              <w:jc w:val="center"/>
              <w:rPr>
                <w:rFonts w:ascii="宋体" w:cs="宋体"/>
                <w:sz w:val="21"/>
                <w:szCs w:val="21"/>
              </w:rPr>
            </w:pPr>
            <w:r>
              <w:rPr>
                <w:rFonts w:ascii="宋体" w:hAnsi="宋体" w:cs="宋体"/>
                <w:sz w:val="21"/>
                <w:szCs w:val="21"/>
              </w:rPr>
              <w:t>390</w:t>
            </w:r>
          </w:p>
        </w:tc>
        <w:tc>
          <w:tcPr>
            <w:tcW w:w="5016" w:type="dxa"/>
            <w:noWrap/>
            <w:vAlign w:val="center"/>
          </w:tcPr>
          <w:p w14:paraId="22AFDEB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cs="宋体"/>
                <w:sz w:val="21"/>
                <w:szCs w:val="21"/>
              </w:rPr>
            </w:pPr>
            <w:r>
              <w:rPr>
                <w:rFonts w:hint="eastAsia" w:ascii="宋体" w:hAnsi="宋体" w:cs="宋体"/>
                <w:sz w:val="21"/>
                <w:szCs w:val="21"/>
              </w:rPr>
              <w:t>其他简易厕所</w:t>
            </w:r>
          </w:p>
        </w:tc>
      </w:tr>
      <w:tr w14:paraId="48CD7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02" w:type="dxa"/>
            <w:vMerge w:val="restart"/>
            <w:noWrap/>
            <w:vAlign w:val="center"/>
          </w:tcPr>
          <w:p w14:paraId="4021F49B">
            <w:pPr>
              <w:jc w:val="center"/>
              <w:rPr>
                <w:rFonts w:ascii="宋体" w:cs="宋体"/>
                <w:sz w:val="21"/>
                <w:szCs w:val="21"/>
              </w:rPr>
            </w:pPr>
            <w:r>
              <w:rPr>
                <w:rFonts w:hint="eastAsia" w:ascii="宋体" w:hAnsi="宋体" w:cs="宋体"/>
                <w:sz w:val="21"/>
                <w:szCs w:val="21"/>
              </w:rPr>
              <w:t>猪圈</w:t>
            </w:r>
          </w:p>
        </w:tc>
        <w:tc>
          <w:tcPr>
            <w:tcW w:w="947" w:type="dxa"/>
            <w:noWrap/>
            <w:vAlign w:val="center"/>
          </w:tcPr>
          <w:p w14:paraId="5835CD76">
            <w:pPr>
              <w:jc w:val="center"/>
              <w:rPr>
                <w:rFonts w:ascii="宋体" w:cs="宋体"/>
                <w:sz w:val="21"/>
                <w:szCs w:val="21"/>
              </w:rPr>
            </w:pPr>
            <w:r>
              <w:rPr>
                <w:rFonts w:ascii="宋体" w:hAnsi="宋体" w:cs="宋体"/>
                <w:sz w:val="21"/>
                <w:szCs w:val="21"/>
              </w:rPr>
              <w:t>1</w:t>
            </w:r>
          </w:p>
        </w:tc>
        <w:tc>
          <w:tcPr>
            <w:tcW w:w="1393" w:type="dxa"/>
            <w:noWrap/>
            <w:vAlign w:val="center"/>
          </w:tcPr>
          <w:p w14:paraId="41C7F5EB">
            <w:pPr>
              <w:jc w:val="center"/>
              <w:rPr>
                <w:rFonts w:ascii="宋体" w:cs="宋体"/>
                <w:sz w:val="21"/>
                <w:szCs w:val="21"/>
              </w:rPr>
            </w:pPr>
            <w:r>
              <w:rPr>
                <w:rFonts w:ascii="宋体" w:hAnsi="宋体" w:cs="宋体"/>
                <w:sz w:val="21"/>
                <w:szCs w:val="21"/>
              </w:rPr>
              <w:t>390</w:t>
            </w:r>
          </w:p>
        </w:tc>
        <w:tc>
          <w:tcPr>
            <w:tcW w:w="5016" w:type="dxa"/>
            <w:noWrap/>
            <w:vAlign w:val="center"/>
          </w:tcPr>
          <w:p w14:paraId="32D250C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cs="宋体"/>
                <w:sz w:val="21"/>
                <w:szCs w:val="21"/>
              </w:rPr>
            </w:pPr>
            <w:r>
              <w:rPr>
                <w:rFonts w:hint="eastAsia" w:ascii="宋体" w:hAnsi="宋体" w:cs="宋体"/>
                <w:sz w:val="21"/>
                <w:szCs w:val="21"/>
              </w:rPr>
              <w:t>完好能用，有内外圈</w:t>
            </w:r>
            <w:r>
              <w:rPr>
                <w:rFonts w:ascii="宋体" w:cs="宋体"/>
                <w:sz w:val="21"/>
                <w:szCs w:val="21"/>
              </w:rPr>
              <w:t>,</w:t>
            </w:r>
            <w:r>
              <w:rPr>
                <w:rFonts w:hint="eastAsia" w:ascii="宋体" w:hAnsi="宋体" w:cs="宋体"/>
                <w:sz w:val="21"/>
                <w:szCs w:val="21"/>
              </w:rPr>
              <w:t>砖砌围墙，占地面积在</w:t>
            </w:r>
            <w:r>
              <w:rPr>
                <w:rFonts w:ascii="宋体" w:hAnsi="宋体" w:cs="宋体"/>
                <w:sz w:val="21"/>
                <w:szCs w:val="21"/>
              </w:rPr>
              <w:t>8</w:t>
            </w:r>
            <w:r>
              <w:rPr>
                <w:rFonts w:hint="eastAsia" w:ascii="宋体" w:hAnsi="宋体" w:cs="宋体"/>
                <w:sz w:val="21"/>
                <w:szCs w:val="21"/>
              </w:rPr>
              <w:t>平方米以上</w:t>
            </w:r>
          </w:p>
        </w:tc>
      </w:tr>
      <w:tr w14:paraId="1AFCB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102" w:type="dxa"/>
            <w:vMerge w:val="continue"/>
            <w:noWrap/>
            <w:vAlign w:val="center"/>
          </w:tcPr>
          <w:p w14:paraId="7D8E22D6">
            <w:pPr>
              <w:jc w:val="center"/>
              <w:rPr>
                <w:rFonts w:ascii="宋体" w:cs="宋体"/>
                <w:sz w:val="21"/>
                <w:szCs w:val="21"/>
              </w:rPr>
            </w:pPr>
          </w:p>
        </w:tc>
        <w:tc>
          <w:tcPr>
            <w:tcW w:w="947" w:type="dxa"/>
            <w:noWrap/>
            <w:vAlign w:val="center"/>
          </w:tcPr>
          <w:p w14:paraId="48D6DCB0">
            <w:pPr>
              <w:jc w:val="center"/>
              <w:rPr>
                <w:rFonts w:ascii="宋体" w:cs="宋体"/>
                <w:sz w:val="21"/>
                <w:szCs w:val="21"/>
              </w:rPr>
            </w:pPr>
            <w:r>
              <w:rPr>
                <w:rFonts w:ascii="宋体" w:hAnsi="宋体" w:cs="宋体"/>
                <w:sz w:val="21"/>
                <w:szCs w:val="21"/>
              </w:rPr>
              <w:t>2</w:t>
            </w:r>
          </w:p>
        </w:tc>
        <w:tc>
          <w:tcPr>
            <w:tcW w:w="1393" w:type="dxa"/>
            <w:noWrap/>
            <w:vAlign w:val="center"/>
          </w:tcPr>
          <w:p w14:paraId="1FABBE6E">
            <w:pPr>
              <w:jc w:val="center"/>
              <w:rPr>
                <w:rFonts w:ascii="宋体" w:cs="宋体"/>
                <w:sz w:val="21"/>
                <w:szCs w:val="21"/>
              </w:rPr>
            </w:pPr>
            <w:r>
              <w:rPr>
                <w:rFonts w:ascii="宋体" w:hAnsi="宋体" w:cs="宋体"/>
                <w:sz w:val="21"/>
                <w:szCs w:val="21"/>
              </w:rPr>
              <w:t>300</w:t>
            </w:r>
          </w:p>
        </w:tc>
        <w:tc>
          <w:tcPr>
            <w:tcW w:w="5016" w:type="dxa"/>
            <w:noWrap/>
            <w:vAlign w:val="center"/>
          </w:tcPr>
          <w:p w14:paraId="391339F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cs="宋体"/>
                <w:sz w:val="21"/>
                <w:szCs w:val="21"/>
              </w:rPr>
            </w:pPr>
            <w:r>
              <w:rPr>
                <w:rFonts w:hint="eastAsia" w:ascii="宋体" w:hAnsi="宋体" w:cs="宋体"/>
                <w:sz w:val="21"/>
                <w:szCs w:val="21"/>
              </w:rPr>
              <w:t>完好能用，有内外圈</w:t>
            </w:r>
            <w:r>
              <w:rPr>
                <w:rFonts w:ascii="宋体" w:cs="宋体"/>
                <w:sz w:val="21"/>
                <w:szCs w:val="21"/>
              </w:rPr>
              <w:t>,</w:t>
            </w:r>
            <w:r>
              <w:rPr>
                <w:rFonts w:hint="eastAsia" w:ascii="宋体" w:hAnsi="宋体" w:cs="宋体"/>
                <w:sz w:val="21"/>
                <w:szCs w:val="21"/>
              </w:rPr>
              <w:t>石砌围</w:t>
            </w:r>
            <w:r>
              <w:rPr>
                <w:rFonts w:hint="eastAsia" w:ascii="宋体" w:hAnsi="宋体" w:cs="宋体"/>
                <w:sz w:val="21"/>
                <w:szCs w:val="21"/>
                <w:lang w:eastAsia="zh-CN"/>
              </w:rPr>
              <w:t>墙</w:t>
            </w:r>
            <w:r>
              <w:rPr>
                <w:rFonts w:hint="eastAsia" w:ascii="宋体" w:hAnsi="宋体" w:cs="宋体"/>
                <w:sz w:val="21"/>
                <w:szCs w:val="21"/>
              </w:rPr>
              <w:t>，占地面积在</w:t>
            </w:r>
            <w:r>
              <w:rPr>
                <w:rFonts w:ascii="宋体" w:hAnsi="宋体" w:cs="宋体"/>
                <w:sz w:val="21"/>
                <w:szCs w:val="21"/>
              </w:rPr>
              <w:t>8</w:t>
            </w:r>
            <w:r>
              <w:rPr>
                <w:rFonts w:hint="eastAsia" w:ascii="宋体" w:hAnsi="宋体" w:cs="宋体"/>
                <w:sz w:val="21"/>
                <w:szCs w:val="21"/>
              </w:rPr>
              <w:t>平方米以上</w:t>
            </w:r>
          </w:p>
        </w:tc>
      </w:tr>
      <w:tr w14:paraId="63149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102" w:type="dxa"/>
            <w:vMerge w:val="continue"/>
            <w:noWrap/>
            <w:vAlign w:val="center"/>
          </w:tcPr>
          <w:p w14:paraId="38120437">
            <w:pPr>
              <w:jc w:val="center"/>
              <w:rPr>
                <w:rFonts w:ascii="宋体" w:cs="宋体"/>
                <w:sz w:val="21"/>
                <w:szCs w:val="21"/>
              </w:rPr>
            </w:pPr>
          </w:p>
        </w:tc>
        <w:tc>
          <w:tcPr>
            <w:tcW w:w="947" w:type="dxa"/>
            <w:noWrap/>
            <w:vAlign w:val="center"/>
          </w:tcPr>
          <w:p w14:paraId="65844D1C">
            <w:pPr>
              <w:jc w:val="center"/>
              <w:rPr>
                <w:rFonts w:ascii="宋体" w:cs="宋体"/>
                <w:sz w:val="21"/>
                <w:szCs w:val="21"/>
              </w:rPr>
            </w:pPr>
            <w:r>
              <w:rPr>
                <w:rFonts w:ascii="宋体" w:hAnsi="宋体" w:cs="宋体"/>
                <w:sz w:val="21"/>
                <w:szCs w:val="21"/>
              </w:rPr>
              <w:t>3</w:t>
            </w:r>
          </w:p>
        </w:tc>
        <w:tc>
          <w:tcPr>
            <w:tcW w:w="1393" w:type="dxa"/>
            <w:noWrap/>
            <w:vAlign w:val="center"/>
          </w:tcPr>
          <w:p w14:paraId="69CCB97D">
            <w:pPr>
              <w:jc w:val="center"/>
              <w:rPr>
                <w:rFonts w:ascii="宋体" w:cs="宋体"/>
                <w:sz w:val="21"/>
                <w:szCs w:val="21"/>
              </w:rPr>
            </w:pPr>
            <w:r>
              <w:rPr>
                <w:rFonts w:ascii="宋体" w:hAnsi="宋体" w:cs="宋体"/>
                <w:sz w:val="21"/>
                <w:szCs w:val="21"/>
              </w:rPr>
              <w:t>240</w:t>
            </w:r>
          </w:p>
        </w:tc>
        <w:tc>
          <w:tcPr>
            <w:tcW w:w="5016" w:type="dxa"/>
            <w:noWrap/>
            <w:vAlign w:val="center"/>
          </w:tcPr>
          <w:p w14:paraId="0F61A6D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cs="宋体"/>
                <w:sz w:val="21"/>
                <w:szCs w:val="21"/>
              </w:rPr>
            </w:pPr>
            <w:r>
              <w:rPr>
                <w:rFonts w:hint="eastAsia" w:ascii="宋体" w:hAnsi="宋体" w:cs="宋体"/>
                <w:sz w:val="21"/>
                <w:szCs w:val="21"/>
              </w:rPr>
              <w:t>完好能用，有内外圈，占地面积在</w:t>
            </w:r>
            <w:r>
              <w:rPr>
                <w:rFonts w:ascii="宋体" w:hAnsi="宋体" w:cs="宋体"/>
                <w:sz w:val="21"/>
                <w:szCs w:val="21"/>
              </w:rPr>
              <w:t>4</w:t>
            </w:r>
            <w:r>
              <w:rPr>
                <w:rFonts w:hint="eastAsia" w:ascii="宋体" w:hAnsi="宋体" w:cs="宋体"/>
                <w:sz w:val="21"/>
                <w:szCs w:val="21"/>
              </w:rPr>
              <w:t>平方米以上</w:t>
            </w:r>
          </w:p>
        </w:tc>
      </w:tr>
      <w:tr w14:paraId="57BE6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102" w:type="dxa"/>
            <w:vMerge w:val="restart"/>
            <w:noWrap/>
            <w:vAlign w:val="center"/>
          </w:tcPr>
          <w:p w14:paraId="21B4345F">
            <w:pPr>
              <w:jc w:val="center"/>
              <w:rPr>
                <w:rFonts w:ascii="宋体" w:cs="宋体"/>
                <w:sz w:val="21"/>
                <w:szCs w:val="21"/>
              </w:rPr>
            </w:pPr>
            <w:r>
              <w:rPr>
                <w:rFonts w:hint="eastAsia" w:ascii="宋体" w:hAnsi="宋体" w:cs="宋体"/>
                <w:sz w:val="21"/>
                <w:szCs w:val="21"/>
              </w:rPr>
              <w:t>鸡舍</w:t>
            </w:r>
          </w:p>
        </w:tc>
        <w:tc>
          <w:tcPr>
            <w:tcW w:w="947" w:type="dxa"/>
            <w:noWrap/>
            <w:vAlign w:val="center"/>
          </w:tcPr>
          <w:p w14:paraId="793064DC">
            <w:pPr>
              <w:jc w:val="center"/>
              <w:rPr>
                <w:rFonts w:ascii="宋体" w:cs="宋体"/>
                <w:sz w:val="21"/>
                <w:szCs w:val="21"/>
              </w:rPr>
            </w:pPr>
            <w:r>
              <w:rPr>
                <w:rFonts w:ascii="宋体" w:hAnsi="宋体" w:cs="宋体"/>
                <w:sz w:val="21"/>
                <w:szCs w:val="21"/>
              </w:rPr>
              <w:t>1</w:t>
            </w:r>
          </w:p>
        </w:tc>
        <w:tc>
          <w:tcPr>
            <w:tcW w:w="1393" w:type="dxa"/>
            <w:noWrap/>
            <w:vAlign w:val="center"/>
          </w:tcPr>
          <w:p w14:paraId="6A387A3A">
            <w:pPr>
              <w:jc w:val="center"/>
              <w:rPr>
                <w:rFonts w:ascii="宋体" w:cs="宋体"/>
                <w:sz w:val="21"/>
                <w:szCs w:val="21"/>
              </w:rPr>
            </w:pPr>
            <w:r>
              <w:rPr>
                <w:rFonts w:ascii="宋体" w:hAnsi="宋体" w:cs="宋体"/>
                <w:sz w:val="21"/>
                <w:szCs w:val="21"/>
              </w:rPr>
              <w:t>225</w:t>
            </w:r>
          </w:p>
        </w:tc>
        <w:tc>
          <w:tcPr>
            <w:tcW w:w="5016" w:type="dxa"/>
            <w:noWrap/>
            <w:vAlign w:val="center"/>
          </w:tcPr>
          <w:p w14:paraId="6B8430C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cs="宋体"/>
                <w:sz w:val="21"/>
                <w:szCs w:val="21"/>
              </w:rPr>
            </w:pPr>
            <w:r>
              <w:rPr>
                <w:rFonts w:hint="eastAsia" w:ascii="宋体" w:hAnsi="宋体" w:cs="宋体"/>
                <w:sz w:val="21"/>
                <w:szCs w:val="21"/>
              </w:rPr>
              <w:t>完好能用，有内外圈，占地面积在</w:t>
            </w:r>
            <w:r>
              <w:rPr>
                <w:rFonts w:ascii="宋体" w:hAnsi="宋体" w:cs="宋体"/>
                <w:sz w:val="21"/>
                <w:szCs w:val="21"/>
              </w:rPr>
              <w:t>4</w:t>
            </w:r>
            <w:r>
              <w:rPr>
                <w:rFonts w:hint="eastAsia" w:ascii="宋体" w:hAnsi="宋体" w:cs="宋体"/>
                <w:sz w:val="21"/>
                <w:szCs w:val="21"/>
              </w:rPr>
              <w:t>平方米以上</w:t>
            </w:r>
          </w:p>
        </w:tc>
      </w:tr>
      <w:tr w14:paraId="4410B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102" w:type="dxa"/>
            <w:vMerge w:val="continue"/>
            <w:noWrap/>
            <w:vAlign w:val="center"/>
          </w:tcPr>
          <w:p w14:paraId="035CB28D">
            <w:pPr>
              <w:jc w:val="center"/>
              <w:rPr>
                <w:rFonts w:ascii="宋体" w:cs="宋体"/>
                <w:sz w:val="21"/>
                <w:szCs w:val="21"/>
              </w:rPr>
            </w:pPr>
          </w:p>
        </w:tc>
        <w:tc>
          <w:tcPr>
            <w:tcW w:w="947" w:type="dxa"/>
            <w:noWrap/>
            <w:vAlign w:val="center"/>
          </w:tcPr>
          <w:p w14:paraId="1606FA40">
            <w:pPr>
              <w:jc w:val="center"/>
              <w:rPr>
                <w:rFonts w:ascii="宋体" w:cs="宋体"/>
                <w:sz w:val="21"/>
                <w:szCs w:val="21"/>
              </w:rPr>
            </w:pPr>
            <w:r>
              <w:rPr>
                <w:rFonts w:ascii="宋体" w:hAnsi="宋体" w:cs="宋体"/>
                <w:sz w:val="21"/>
                <w:szCs w:val="21"/>
              </w:rPr>
              <w:t>2</w:t>
            </w:r>
          </w:p>
        </w:tc>
        <w:tc>
          <w:tcPr>
            <w:tcW w:w="1393" w:type="dxa"/>
            <w:noWrap/>
            <w:vAlign w:val="center"/>
          </w:tcPr>
          <w:p w14:paraId="59445DA4">
            <w:pPr>
              <w:jc w:val="center"/>
              <w:rPr>
                <w:rFonts w:ascii="宋体" w:cs="宋体"/>
                <w:sz w:val="21"/>
                <w:szCs w:val="21"/>
              </w:rPr>
            </w:pPr>
            <w:r>
              <w:rPr>
                <w:rFonts w:ascii="宋体" w:hAnsi="宋体" w:cs="宋体"/>
                <w:sz w:val="21"/>
                <w:szCs w:val="21"/>
              </w:rPr>
              <w:t>180</w:t>
            </w:r>
          </w:p>
        </w:tc>
        <w:tc>
          <w:tcPr>
            <w:tcW w:w="5016" w:type="dxa"/>
            <w:noWrap/>
            <w:vAlign w:val="center"/>
          </w:tcPr>
          <w:p w14:paraId="1A00C4C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cs="宋体"/>
                <w:sz w:val="21"/>
                <w:szCs w:val="21"/>
              </w:rPr>
            </w:pPr>
            <w:r>
              <w:rPr>
                <w:rFonts w:hint="eastAsia" w:ascii="宋体" w:hAnsi="宋体" w:cs="宋体"/>
                <w:sz w:val="21"/>
                <w:szCs w:val="21"/>
              </w:rPr>
              <w:t>完好能用，有内外圈，占地面积在</w:t>
            </w:r>
            <w:r>
              <w:rPr>
                <w:rFonts w:ascii="宋体" w:hAnsi="宋体" w:cs="宋体"/>
                <w:sz w:val="21"/>
                <w:szCs w:val="21"/>
              </w:rPr>
              <w:t>3</w:t>
            </w:r>
            <w:r>
              <w:rPr>
                <w:rFonts w:hint="eastAsia" w:ascii="宋体" w:hAnsi="宋体" w:cs="宋体"/>
                <w:sz w:val="21"/>
                <w:szCs w:val="21"/>
              </w:rPr>
              <w:t>平方米以上</w:t>
            </w:r>
          </w:p>
        </w:tc>
      </w:tr>
      <w:tr w14:paraId="355EF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102" w:type="dxa"/>
            <w:vMerge w:val="continue"/>
            <w:noWrap/>
            <w:vAlign w:val="center"/>
          </w:tcPr>
          <w:p w14:paraId="3D5DE393">
            <w:pPr>
              <w:jc w:val="center"/>
              <w:rPr>
                <w:rFonts w:ascii="宋体" w:cs="宋体"/>
                <w:sz w:val="21"/>
                <w:szCs w:val="21"/>
              </w:rPr>
            </w:pPr>
          </w:p>
        </w:tc>
        <w:tc>
          <w:tcPr>
            <w:tcW w:w="947" w:type="dxa"/>
            <w:noWrap/>
            <w:vAlign w:val="center"/>
          </w:tcPr>
          <w:p w14:paraId="0589304F">
            <w:pPr>
              <w:jc w:val="center"/>
              <w:rPr>
                <w:rFonts w:ascii="宋体" w:cs="宋体"/>
                <w:sz w:val="21"/>
                <w:szCs w:val="21"/>
              </w:rPr>
            </w:pPr>
            <w:r>
              <w:rPr>
                <w:rFonts w:ascii="宋体" w:hAnsi="宋体" w:cs="宋体"/>
                <w:sz w:val="21"/>
                <w:szCs w:val="21"/>
              </w:rPr>
              <w:t>3</w:t>
            </w:r>
          </w:p>
        </w:tc>
        <w:tc>
          <w:tcPr>
            <w:tcW w:w="1393" w:type="dxa"/>
            <w:noWrap/>
            <w:vAlign w:val="center"/>
          </w:tcPr>
          <w:p w14:paraId="0094D976">
            <w:pPr>
              <w:jc w:val="center"/>
              <w:rPr>
                <w:rFonts w:ascii="宋体" w:cs="宋体"/>
                <w:sz w:val="21"/>
                <w:szCs w:val="21"/>
              </w:rPr>
            </w:pPr>
            <w:r>
              <w:rPr>
                <w:rFonts w:ascii="宋体" w:hAnsi="宋体" w:cs="宋体"/>
                <w:sz w:val="21"/>
                <w:szCs w:val="21"/>
              </w:rPr>
              <w:t>120</w:t>
            </w:r>
          </w:p>
        </w:tc>
        <w:tc>
          <w:tcPr>
            <w:tcW w:w="5016" w:type="dxa"/>
            <w:noWrap/>
            <w:vAlign w:val="center"/>
          </w:tcPr>
          <w:p w14:paraId="53DA2C3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cs="宋体"/>
                <w:sz w:val="21"/>
                <w:szCs w:val="21"/>
              </w:rPr>
            </w:pPr>
            <w:r>
              <w:rPr>
                <w:rFonts w:hint="eastAsia" w:ascii="宋体" w:hAnsi="宋体" w:cs="宋体"/>
                <w:sz w:val="21"/>
                <w:szCs w:val="21"/>
              </w:rPr>
              <w:t>完好能用，有内外圈，占地面积在</w:t>
            </w:r>
            <w:r>
              <w:rPr>
                <w:rFonts w:ascii="宋体" w:hAnsi="宋体" w:cs="宋体"/>
                <w:sz w:val="21"/>
                <w:szCs w:val="21"/>
              </w:rPr>
              <w:t>2</w:t>
            </w:r>
            <w:r>
              <w:rPr>
                <w:rFonts w:hint="eastAsia" w:ascii="宋体" w:hAnsi="宋体" w:cs="宋体"/>
                <w:sz w:val="21"/>
                <w:szCs w:val="21"/>
              </w:rPr>
              <w:t>平方米以上</w:t>
            </w:r>
          </w:p>
        </w:tc>
      </w:tr>
      <w:tr w14:paraId="2348E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102" w:type="dxa"/>
            <w:vMerge w:val="restart"/>
            <w:noWrap/>
            <w:vAlign w:val="center"/>
          </w:tcPr>
          <w:p w14:paraId="625B651A">
            <w:pPr>
              <w:jc w:val="center"/>
              <w:rPr>
                <w:rFonts w:ascii="宋体" w:cs="宋体"/>
                <w:sz w:val="21"/>
                <w:szCs w:val="21"/>
              </w:rPr>
            </w:pPr>
            <w:r>
              <w:rPr>
                <w:rFonts w:hint="eastAsia" w:ascii="宋体" w:hAnsi="宋体" w:cs="宋体"/>
                <w:sz w:val="21"/>
                <w:szCs w:val="21"/>
              </w:rPr>
              <w:t>经济树</w:t>
            </w:r>
          </w:p>
        </w:tc>
        <w:tc>
          <w:tcPr>
            <w:tcW w:w="947" w:type="dxa"/>
            <w:noWrap/>
            <w:vAlign w:val="center"/>
          </w:tcPr>
          <w:p w14:paraId="19EA9157">
            <w:pPr>
              <w:jc w:val="center"/>
              <w:rPr>
                <w:rFonts w:ascii="宋体" w:cs="宋体"/>
                <w:sz w:val="21"/>
                <w:szCs w:val="21"/>
              </w:rPr>
            </w:pPr>
            <w:r>
              <w:rPr>
                <w:rFonts w:ascii="宋体" w:hAnsi="宋体" w:cs="宋体"/>
                <w:sz w:val="21"/>
                <w:szCs w:val="21"/>
              </w:rPr>
              <w:t>1</w:t>
            </w:r>
          </w:p>
        </w:tc>
        <w:tc>
          <w:tcPr>
            <w:tcW w:w="1393" w:type="dxa"/>
            <w:noWrap/>
            <w:vAlign w:val="center"/>
          </w:tcPr>
          <w:p w14:paraId="5EAFD6E1">
            <w:pPr>
              <w:jc w:val="center"/>
              <w:rPr>
                <w:rFonts w:ascii="宋体" w:cs="宋体"/>
                <w:sz w:val="21"/>
                <w:szCs w:val="21"/>
              </w:rPr>
            </w:pPr>
            <w:r>
              <w:rPr>
                <w:rFonts w:ascii="宋体" w:hAnsi="宋体" w:cs="宋体"/>
                <w:sz w:val="21"/>
                <w:szCs w:val="21"/>
              </w:rPr>
              <w:t>180-340</w:t>
            </w:r>
          </w:p>
        </w:tc>
        <w:tc>
          <w:tcPr>
            <w:tcW w:w="5016" w:type="dxa"/>
            <w:noWrap/>
            <w:vAlign w:val="center"/>
          </w:tcPr>
          <w:p w14:paraId="76026EC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cs="宋体"/>
                <w:sz w:val="21"/>
                <w:szCs w:val="21"/>
              </w:rPr>
            </w:pPr>
            <w:r>
              <w:rPr>
                <w:rFonts w:hint="eastAsia" w:ascii="宋体" w:hAnsi="宋体" w:cs="宋体"/>
                <w:sz w:val="21"/>
                <w:szCs w:val="21"/>
              </w:rPr>
              <w:t>树干中段直径在</w:t>
            </w:r>
            <w:r>
              <w:rPr>
                <w:rFonts w:ascii="宋体" w:hAnsi="宋体" w:cs="宋体"/>
                <w:sz w:val="21"/>
                <w:szCs w:val="21"/>
              </w:rPr>
              <w:t>15cm</w:t>
            </w:r>
          </w:p>
        </w:tc>
      </w:tr>
      <w:tr w14:paraId="2F812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102" w:type="dxa"/>
            <w:vMerge w:val="continue"/>
            <w:noWrap/>
            <w:vAlign w:val="center"/>
          </w:tcPr>
          <w:p w14:paraId="24A6BC1B">
            <w:pPr>
              <w:jc w:val="center"/>
              <w:rPr>
                <w:rFonts w:ascii="宋体" w:cs="宋体"/>
                <w:sz w:val="21"/>
                <w:szCs w:val="21"/>
              </w:rPr>
            </w:pPr>
          </w:p>
        </w:tc>
        <w:tc>
          <w:tcPr>
            <w:tcW w:w="947" w:type="dxa"/>
            <w:noWrap/>
            <w:vAlign w:val="center"/>
          </w:tcPr>
          <w:p w14:paraId="4A1A0AA7">
            <w:pPr>
              <w:jc w:val="center"/>
              <w:rPr>
                <w:rFonts w:ascii="宋体" w:cs="宋体"/>
                <w:sz w:val="21"/>
                <w:szCs w:val="21"/>
              </w:rPr>
            </w:pPr>
            <w:r>
              <w:rPr>
                <w:rFonts w:ascii="宋体" w:hAnsi="宋体" w:cs="宋体"/>
                <w:sz w:val="21"/>
                <w:szCs w:val="21"/>
              </w:rPr>
              <w:t>2</w:t>
            </w:r>
          </w:p>
        </w:tc>
        <w:tc>
          <w:tcPr>
            <w:tcW w:w="1393" w:type="dxa"/>
            <w:noWrap/>
            <w:vAlign w:val="center"/>
          </w:tcPr>
          <w:p w14:paraId="56468839">
            <w:pPr>
              <w:jc w:val="center"/>
              <w:rPr>
                <w:rFonts w:ascii="宋体" w:cs="宋体"/>
                <w:sz w:val="21"/>
                <w:szCs w:val="21"/>
              </w:rPr>
            </w:pPr>
            <w:r>
              <w:rPr>
                <w:rFonts w:ascii="宋体" w:hAnsi="宋体" w:cs="宋体"/>
                <w:sz w:val="21"/>
                <w:szCs w:val="21"/>
              </w:rPr>
              <w:t>150-180</w:t>
            </w:r>
          </w:p>
        </w:tc>
        <w:tc>
          <w:tcPr>
            <w:tcW w:w="5016" w:type="dxa"/>
            <w:noWrap/>
            <w:vAlign w:val="center"/>
          </w:tcPr>
          <w:p w14:paraId="6404492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cs="宋体"/>
                <w:sz w:val="21"/>
                <w:szCs w:val="21"/>
              </w:rPr>
            </w:pPr>
            <w:r>
              <w:rPr>
                <w:rFonts w:hint="eastAsia" w:ascii="宋体" w:hAnsi="宋体" w:cs="宋体"/>
                <w:sz w:val="21"/>
                <w:szCs w:val="21"/>
              </w:rPr>
              <w:t>树干中段直径在</w:t>
            </w:r>
            <w:r>
              <w:rPr>
                <w:rFonts w:ascii="宋体" w:hAnsi="宋体" w:cs="宋体"/>
                <w:sz w:val="21"/>
                <w:szCs w:val="21"/>
              </w:rPr>
              <w:t>10</w:t>
            </w:r>
            <w:r>
              <w:rPr>
                <w:rFonts w:hint="eastAsia" w:ascii="宋体" w:hAnsi="宋体" w:cs="宋体"/>
                <w:sz w:val="21"/>
                <w:szCs w:val="21"/>
                <w:lang w:eastAsia="zh-CN"/>
              </w:rPr>
              <w:t>—</w:t>
            </w:r>
            <w:r>
              <w:rPr>
                <w:rFonts w:ascii="宋体" w:hAnsi="宋体" w:cs="宋体"/>
                <w:sz w:val="21"/>
                <w:szCs w:val="21"/>
              </w:rPr>
              <w:t>15cm</w:t>
            </w:r>
          </w:p>
        </w:tc>
      </w:tr>
      <w:tr w14:paraId="229E9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102" w:type="dxa"/>
            <w:vMerge w:val="continue"/>
            <w:noWrap/>
            <w:vAlign w:val="center"/>
          </w:tcPr>
          <w:p w14:paraId="3E4E6F95">
            <w:pPr>
              <w:jc w:val="center"/>
              <w:rPr>
                <w:rFonts w:ascii="宋体" w:cs="宋体"/>
                <w:sz w:val="21"/>
                <w:szCs w:val="21"/>
              </w:rPr>
            </w:pPr>
          </w:p>
        </w:tc>
        <w:tc>
          <w:tcPr>
            <w:tcW w:w="947" w:type="dxa"/>
            <w:noWrap/>
            <w:vAlign w:val="center"/>
          </w:tcPr>
          <w:p w14:paraId="49369586">
            <w:pPr>
              <w:jc w:val="center"/>
              <w:rPr>
                <w:rFonts w:ascii="宋体" w:cs="宋体"/>
                <w:sz w:val="21"/>
                <w:szCs w:val="21"/>
              </w:rPr>
            </w:pPr>
            <w:r>
              <w:rPr>
                <w:rFonts w:ascii="宋体" w:hAnsi="宋体" w:cs="宋体"/>
                <w:sz w:val="21"/>
                <w:szCs w:val="21"/>
              </w:rPr>
              <w:t>3</w:t>
            </w:r>
          </w:p>
        </w:tc>
        <w:tc>
          <w:tcPr>
            <w:tcW w:w="1393" w:type="dxa"/>
            <w:noWrap/>
            <w:vAlign w:val="center"/>
          </w:tcPr>
          <w:p w14:paraId="39656B2A">
            <w:pPr>
              <w:jc w:val="center"/>
              <w:rPr>
                <w:rFonts w:ascii="宋体" w:cs="宋体"/>
                <w:sz w:val="21"/>
                <w:szCs w:val="21"/>
              </w:rPr>
            </w:pPr>
            <w:r>
              <w:rPr>
                <w:rFonts w:ascii="宋体" w:hAnsi="宋体" w:cs="宋体"/>
                <w:sz w:val="21"/>
                <w:szCs w:val="21"/>
              </w:rPr>
              <w:t>90-120</w:t>
            </w:r>
          </w:p>
        </w:tc>
        <w:tc>
          <w:tcPr>
            <w:tcW w:w="5016" w:type="dxa"/>
            <w:noWrap/>
            <w:vAlign w:val="center"/>
          </w:tcPr>
          <w:p w14:paraId="0329CBD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cs="宋体"/>
                <w:sz w:val="21"/>
                <w:szCs w:val="21"/>
              </w:rPr>
            </w:pPr>
            <w:r>
              <w:rPr>
                <w:rFonts w:hint="eastAsia" w:ascii="宋体" w:hAnsi="宋体" w:cs="宋体"/>
                <w:sz w:val="21"/>
                <w:szCs w:val="21"/>
              </w:rPr>
              <w:t>树干中段直径在</w:t>
            </w:r>
            <w:r>
              <w:rPr>
                <w:rFonts w:ascii="宋体" w:hAnsi="宋体" w:cs="宋体"/>
                <w:sz w:val="21"/>
                <w:szCs w:val="21"/>
              </w:rPr>
              <w:t>5</w:t>
            </w:r>
            <w:r>
              <w:rPr>
                <w:rFonts w:hint="eastAsia" w:ascii="宋体" w:hAnsi="宋体" w:cs="宋体"/>
                <w:sz w:val="21"/>
                <w:szCs w:val="21"/>
                <w:lang w:eastAsia="zh-CN"/>
              </w:rPr>
              <w:t>—</w:t>
            </w:r>
            <w:r>
              <w:rPr>
                <w:rFonts w:ascii="宋体" w:hAnsi="宋体" w:cs="宋体"/>
                <w:sz w:val="21"/>
                <w:szCs w:val="21"/>
              </w:rPr>
              <w:t>10cm</w:t>
            </w:r>
          </w:p>
        </w:tc>
      </w:tr>
      <w:tr w14:paraId="0200E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102" w:type="dxa"/>
            <w:vMerge w:val="continue"/>
            <w:noWrap/>
            <w:vAlign w:val="center"/>
          </w:tcPr>
          <w:p w14:paraId="1034198B">
            <w:pPr>
              <w:jc w:val="center"/>
              <w:rPr>
                <w:rFonts w:ascii="宋体" w:cs="宋体"/>
                <w:sz w:val="21"/>
                <w:szCs w:val="21"/>
              </w:rPr>
            </w:pPr>
          </w:p>
        </w:tc>
        <w:tc>
          <w:tcPr>
            <w:tcW w:w="947" w:type="dxa"/>
            <w:noWrap/>
            <w:vAlign w:val="center"/>
          </w:tcPr>
          <w:p w14:paraId="725D2BD3">
            <w:pPr>
              <w:jc w:val="center"/>
              <w:rPr>
                <w:rFonts w:ascii="宋体" w:cs="宋体"/>
                <w:sz w:val="21"/>
                <w:szCs w:val="21"/>
              </w:rPr>
            </w:pPr>
            <w:r>
              <w:rPr>
                <w:rFonts w:ascii="宋体" w:hAnsi="宋体" w:cs="宋体"/>
                <w:sz w:val="21"/>
                <w:szCs w:val="21"/>
              </w:rPr>
              <w:t>4</w:t>
            </w:r>
          </w:p>
        </w:tc>
        <w:tc>
          <w:tcPr>
            <w:tcW w:w="1393" w:type="dxa"/>
            <w:noWrap/>
            <w:vAlign w:val="center"/>
          </w:tcPr>
          <w:p w14:paraId="7D8389EC">
            <w:pPr>
              <w:jc w:val="center"/>
              <w:rPr>
                <w:rFonts w:ascii="宋体" w:cs="宋体"/>
                <w:sz w:val="21"/>
                <w:szCs w:val="21"/>
              </w:rPr>
            </w:pPr>
            <w:r>
              <w:rPr>
                <w:rFonts w:ascii="宋体" w:hAnsi="宋体" w:cs="宋体"/>
                <w:sz w:val="21"/>
                <w:szCs w:val="21"/>
              </w:rPr>
              <w:t>60-90</w:t>
            </w:r>
          </w:p>
        </w:tc>
        <w:tc>
          <w:tcPr>
            <w:tcW w:w="5016" w:type="dxa"/>
            <w:noWrap/>
            <w:vAlign w:val="center"/>
          </w:tcPr>
          <w:p w14:paraId="4015ECE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cs="宋体"/>
                <w:sz w:val="21"/>
                <w:szCs w:val="21"/>
              </w:rPr>
            </w:pPr>
            <w:r>
              <w:rPr>
                <w:rFonts w:hint="eastAsia" w:ascii="宋体" w:hAnsi="宋体" w:cs="宋体"/>
                <w:sz w:val="21"/>
                <w:szCs w:val="21"/>
              </w:rPr>
              <w:t>树干中段直径在</w:t>
            </w:r>
            <w:r>
              <w:rPr>
                <w:rFonts w:ascii="宋体" w:hAnsi="宋体" w:cs="宋体"/>
                <w:sz w:val="21"/>
                <w:szCs w:val="21"/>
              </w:rPr>
              <w:t>4cm</w:t>
            </w:r>
            <w:r>
              <w:rPr>
                <w:rFonts w:hint="eastAsia" w:ascii="宋体" w:hAnsi="宋体" w:cs="宋体"/>
                <w:sz w:val="21"/>
                <w:szCs w:val="21"/>
              </w:rPr>
              <w:t>以下</w:t>
            </w:r>
          </w:p>
        </w:tc>
      </w:tr>
      <w:tr w14:paraId="789C3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102" w:type="dxa"/>
            <w:vMerge w:val="restart"/>
            <w:noWrap/>
            <w:vAlign w:val="center"/>
          </w:tcPr>
          <w:p w14:paraId="7DBCC410">
            <w:pPr>
              <w:jc w:val="center"/>
              <w:rPr>
                <w:rFonts w:ascii="宋体" w:cs="宋体"/>
                <w:sz w:val="21"/>
                <w:szCs w:val="21"/>
              </w:rPr>
            </w:pPr>
            <w:r>
              <w:rPr>
                <w:rFonts w:hint="eastAsia" w:ascii="宋体" w:hAnsi="宋体" w:cs="宋体"/>
                <w:sz w:val="21"/>
                <w:szCs w:val="21"/>
              </w:rPr>
              <w:t>木材树</w:t>
            </w:r>
          </w:p>
        </w:tc>
        <w:tc>
          <w:tcPr>
            <w:tcW w:w="947" w:type="dxa"/>
            <w:noWrap/>
            <w:vAlign w:val="center"/>
          </w:tcPr>
          <w:p w14:paraId="1598BB95">
            <w:pPr>
              <w:jc w:val="center"/>
              <w:rPr>
                <w:rFonts w:ascii="宋体" w:cs="宋体"/>
                <w:sz w:val="21"/>
                <w:szCs w:val="21"/>
              </w:rPr>
            </w:pPr>
            <w:r>
              <w:rPr>
                <w:rFonts w:ascii="宋体" w:hAnsi="宋体" w:cs="宋体"/>
                <w:sz w:val="21"/>
                <w:szCs w:val="21"/>
              </w:rPr>
              <w:t>1</w:t>
            </w:r>
          </w:p>
        </w:tc>
        <w:tc>
          <w:tcPr>
            <w:tcW w:w="1393" w:type="dxa"/>
            <w:noWrap/>
            <w:vAlign w:val="center"/>
          </w:tcPr>
          <w:p w14:paraId="58FA8B72">
            <w:pPr>
              <w:jc w:val="center"/>
              <w:rPr>
                <w:rFonts w:ascii="宋体" w:cs="宋体"/>
                <w:sz w:val="21"/>
                <w:szCs w:val="21"/>
              </w:rPr>
            </w:pPr>
            <w:r>
              <w:rPr>
                <w:rFonts w:ascii="宋体" w:hAnsi="宋体" w:cs="宋体"/>
                <w:sz w:val="21"/>
                <w:szCs w:val="21"/>
              </w:rPr>
              <w:t>135-150</w:t>
            </w:r>
          </w:p>
        </w:tc>
        <w:tc>
          <w:tcPr>
            <w:tcW w:w="5016" w:type="dxa"/>
            <w:noWrap/>
            <w:vAlign w:val="center"/>
          </w:tcPr>
          <w:p w14:paraId="180DC96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cs="宋体"/>
                <w:sz w:val="21"/>
                <w:szCs w:val="21"/>
              </w:rPr>
            </w:pPr>
            <w:r>
              <w:rPr>
                <w:rFonts w:hint="eastAsia" w:ascii="宋体" w:hAnsi="宋体" w:cs="宋体"/>
                <w:sz w:val="21"/>
                <w:szCs w:val="21"/>
              </w:rPr>
              <w:t>树干胸径在</w:t>
            </w:r>
            <w:r>
              <w:rPr>
                <w:rFonts w:ascii="宋体" w:hAnsi="宋体" w:cs="宋体"/>
                <w:sz w:val="21"/>
                <w:szCs w:val="21"/>
              </w:rPr>
              <w:t>22cm</w:t>
            </w:r>
            <w:r>
              <w:rPr>
                <w:rFonts w:hint="eastAsia" w:ascii="宋体" w:hAnsi="宋体" w:cs="宋体"/>
                <w:sz w:val="21"/>
                <w:szCs w:val="21"/>
              </w:rPr>
              <w:t>以上</w:t>
            </w:r>
          </w:p>
        </w:tc>
      </w:tr>
      <w:tr w14:paraId="7C17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102" w:type="dxa"/>
            <w:vMerge w:val="continue"/>
            <w:noWrap/>
            <w:vAlign w:val="center"/>
          </w:tcPr>
          <w:p w14:paraId="72B224BC">
            <w:pPr>
              <w:jc w:val="center"/>
              <w:rPr>
                <w:rFonts w:ascii="宋体" w:cs="宋体"/>
                <w:sz w:val="21"/>
                <w:szCs w:val="21"/>
              </w:rPr>
            </w:pPr>
          </w:p>
        </w:tc>
        <w:tc>
          <w:tcPr>
            <w:tcW w:w="947" w:type="dxa"/>
            <w:noWrap/>
            <w:vAlign w:val="center"/>
          </w:tcPr>
          <w:p w14:paraId="5B4EE153">
            <w:pPr>
              <w:jc w:val="center"/>
              <w:rPr>
                <w:rFonts w:ascii="宋体" w:cs="宋体"/>
                <w:sz w:val="21"/>
                <w:szCs w:val="21"/>
              </w:rPr>
            </w:pPr>
            <w:r>
              <w:rPr>
                <w:rFonts w:ascii="宋体" w:hAnsi="宋体" w:cs="宋体"/>
                <w:sz w:val="21"/>
                <w:szCs w:val="21"/>
              </w:rPr>
              <w:t>2</w:t>
            </w:r>
          </w:p>
        </w:tc>
        <w:tc>
          <w:tcPr>
            <w:tcW w:w="1393" w:type="dxa"/>
            <w:noWrap/>
            <w:vAlign w:val="center"/>
          </w:tcPr>
          <w:p w14:paraId="6A3863E5">
            <w:pPr>
              <w:jc w:val="center"/>
              <w:rPr>
                <w:rFonts w:ascii="宋体" w:cs="宋体"/>
                <w:sz w:val="21"/>
                <w:szCs w:val="21"/>
              </w:rPr>
            </w:pPr>
            <w:r>
              <w:rPr>
                <w:rFonts w:ascii="宋体" w:hAnsi="宋体" w:cs="宋体"/>
                <w:sz w:val="21"/>
                <w:szCs w:val="21"/>
              </w:rPr>
              <w:t>105-135</w:t>
            </w:r>
          </w:p>
        </w:tc>
        <w:tc>
          <w:tcPr>
            <w:tcW w:w="5016" w:type="dxa"/>
            <w:noWrap/>
            <w:vAlign w:val="center"/>
          </w:tcPr>
          <w:p w14:paraId="2DB24EB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cs="宋体"/>
                <w:sz w:val="21"/>
                <w:szCs w:val="21"/>
              </w:rPr>
            </w:pPr>
            <w:r>
              <w:rPr>
                <w:rFonts w:hint="eastAsia" w:ascii="宋体" w:hAnsi="宋体" w:cs="宋体"/>
                <w:sz w:val="21"/>
                <w:szCs w:val="21"/>
              </w:rPr>
              <w:t>树干胸径在</w:t>
            </w:r>
            <w:r>
              <w:rPr>
                <w:rFonts w:ascii="宋体" w:hAnsi="宋体" w:cs="宋体"/>
                <w:sz w:val="21"/>
                <w:szCs w:val="21"/>
              </w:rPr>
              <w:t>16</w:t>
            </w:r>
            <w:r>
              <w:rPr>
                <w:rFonts w:hint="eastAsia" w:ascii="宋体" w:hAnsi="宋体" w:cs="宋体"/>
                <w:sz w:val="21"/>
                <w:szCs w:val="21"/>
                <w:lang w:eastAsia="zh-CN"/>
              </w:rPr>
              <w:t>—</w:t>
            </w:r>
            <w:r>
              <w:rPr>
                <w:rFonts w:ascii="宋体" w:hAnsi="宋体" w:cs="宋体"/>
                <w:sz w:val="21"/>
                <w:szCs w:val="21"/>
              </w:rPr>
              <w:t>20cm</w:t>
            </w:r>
            <w:r>
              <w:rPr>
                <w:rFonts w:hint="eastAsia" w:ascii="宋体" w:hAnsi="宋体" w:cs="宋体"/>
                <w:sz w:val="21"/>
                <w:szCs w:val="21"/>
              </w:rPr>
              <w:t>之间</w:t>
            </w:r>
          </w:p>
        </w:tc>
      </w:tr>
      <w:tr w14:paraId="2DE6E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102" w:type="dxa"/>
            <w:vMerge w:val="continue"/>
            <w:noWrap/>
            <w:vAlign w:val="center"/>
          </w:tcPr>
          <w:p w14:paraId="427AE7F0">
            <w:pPr>
              <w:jc w:val="center"/>
              <w:rPr>
                <w:rFonts w:ascii="宋体" w:cs="宋体"/>
                <w:sz w:val="21"/>
                <w:szCs w:val="21"/>
              </w:rPr>
            </w:pPr>
          </w:p>
        </w:tc>
        <w:tc>
          <w:tcPr>
            <w:tcW w:w="947" w:type="dxa"/>
            <w:noWrap/>
            <w:vAlign w:val="center"/>
          </w:tcPr>
          <w:p w14:paraId="477BF592">
            <w:pPr>
              <w:jc w:val="center"/>
              <w:rPr>
                <w:rFonts w:ascii="宋体" w:cs="宋体"/>
                <w:sz w:val="21"/>
                <w:szCs w:val="21"/>
              </w:rPr>
            </w:pPr>
            <w:r>
              <w:rPr>
                <w:rFonts w:ascii="宋体" w:hAnsi="宋体" w:cs="宋体"/>
                <w:sz w:val="21"/>
                <w:szCs w:val="21"/>
              </w:rPr>
              <w:t>3</w:t>
            </w:r>
          </w:p>
        </w:tc>
        <w:tc>
          <w:tcPr>
            <w:tcW w:w="1393" w:type="dxa"/>
            <w:noWrap/>
            <w:vAlign w:val="center"/>
          </w:tcPr>
          <w:p w14:paraId="05BDD121">
            <w:pPr>
              <w:jc w:val="center"/>
              <w:rPr>
                <w:rFonts w:ascii="宋体" w:cs="宋体"/>
                <w:sz w:val="21"/>
                <w:szCs w:val="21"/>
              </w:rPr>
            </w:pPr>
            <w:r>
              <w:rPr>
                <w:rFonts w:ascii="宋体" w:hAnsi="宋体" w:cs="宋体"/>
                <w:sz w:val="21"/>
                <w:szCs w:val="21"/>
              </w:rPr>
              <w:t>60-90</w:t>
            </w:r>
          </w:p>
        </w:tc>
        <w:tc>
          <w:tcPr>
            <w:tcW w:w="5016" w:type="dxa"/>
            <w:noWrap/>
            <w:vAlign w:val="center"/>
          </w:tcPr>
          <w:p w14:paraId="319422E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cs="宋体"/>
                <w:sz w:val="21"/>
                <w:szCs w:val="21"/>
              </w:rPr>
            </w:pPr>
            <w:r>
              <w:rPr>
                <w:rFonts w:hint="eastAsia" w:ascii="宋体" w:hAnsi="宋体" w:cs="宋体"/>
                <w:sz w:val="21"/>
                <w:szCs w:val="21"/>
              </w:rPr>
              <w:t>树干胸径在</w:t>
            </w:r>
            <w:r>
              <w:rPr>
                <w:rFonts w:ascii="宋体" w:hAnsi="宋体" w:cs="宋体"/>
                <w:sz w:val="21"/>
                <w:szCs w:val="21"/>
              </w:rPr>
              <w:t>10</w:t>
            </w:r>
            <w:r>
              <w:rPr>
                <w:rFonts w:hint="eastAsia" w:ascii="宋体" w:hAnsi="宋体" w:cs="宋体"/>
                <w:sz w:val="21"/>
                <w:szCs w:val="21"/>
                <w:lang w:eastAsia="zh-CN"/>
              </w:rPr>
              <w:t>—</w:t>
            </w:r>
            <w:r>
              <w:rPr>
                <w:rFonts w:ascii="宋体" w:hAnsi="宋体" w:cs="宋体"/>
                <w:sz w:val="21"/>
                <w:szCs w:val="21"/>
              </w:rPr>
              <w:t>15cm</w:t>
            </w:r>
            <w:r>
              <w:rPr>
                <w:rFonts w:hint="eastAsia" w:ascii="宋体" w:hAnsi="宋体" w:cs="宋体"/>
                <w:sz w:val="21"/>
                <w:szCs w:val="21"/>
              </w:rPr>
              <w:t>之间</w:t>
            </w:r>
          </w:p>
        </w:tc>
      </w:tr>
      <w:tr w14:paraId="52325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102" w:type="dxa"/>
            <w:vMerge w:val="continue"/>
            <w:noWrap/>
            <w:vAlign w:val="center"/>
          </w:tcPr>
          <w:p w14:paraId="686044DB">
            <w:pPr>
              <w:jc w:val="center"/>
              <w:rPr>
                <w:rFonts w:ascii="宋体" w:cs="宋体"/>
                <w:sz w:val="21"/>
                <w:szCs w:val="21"/>
              </w:rPr>
            </w:pPr>
          </w:p>
        </w:tc>
        <w:tc>
          <w:tcPr>
            <w:tcW w:w="947" w:type="dxa"/>
            <w:noWrap/>
            <w:vAlign w:val="center"/>
          </w:tcPr>
          <w:p w14:paraId="77638B43">
            <w:pPr>
              <w:jc w:val="center"/>
              <w:rPr>
                <w:rFonts w:ascii="宋体" w:cs="宋体"/>
                <w:sz w:val="21"/>
                <w:szCs w:val="21"/>
              </w:rPr>
            </w:pPr>
            <w:r>
              <w:rPr>
                <w:rFonts w:ascii="宋体" w:hAnsi="宋体" w:cs="宋体"/>
                <w:sz w:val="21"/>
                <w:szCs w:val="21"/>
              </w:rPr>
              <w:t>4</w:t>
            </w:r>
          </w:p>
        </w:tc>
        <w:tc>
          <w:tcPr>
            <w:tcW w:w="1393" w:type="dxa"/>
            <w:noWrap/>
            <w:vAlign w:val="center"/>
          </w:tcPr>
          <w:p w14:paraId="42872335">
            <w:pPr>
              <w:jc w:val="center"/>
              <w:rPr>
                <w:rFonts w:ascii="宋体" w:cs="宋体"/>
                <w:sz w:val="21"/>
                <w:szCs w:val="21"/>
              </w:rPr>
            </w:pPr>
            <w:r>
              <w:rPr>
                <w:rFonts w:ascii="宋体" w:hAnsi="宋体" w:cs="宋体"/>
                <w:sz w:val="21"/>
                <w:szCs w:val="21"/>
              </w:rPr>
              <w:t>15-45</w:t>
            </w:r>
          </w:p>
        </w:tc>
        <w:tc>
          <w:tcPr>
            <w:tcW w:w="5016" w:type="dxa"/>
            <w:noWrap/>
            <w:vAlign w:val="center"/>
          </w:tcPr>
          <w:p w14:paraId="34E865C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cs="宋体"/>
                <w:sz w:val="21"/>
                <w:szCs w:val="21"/>
              </w:rPr>
            </w:pPr>
            <w:r>
              <w:rPr>
                <w:rFonts w:hint="eastAsia" w:ascii="宋体" w:hAnsi="宋体" w:cs="宋体"/>
                <w:sz w:val="21"/>
                <w:szCs w:val="21"/>
              </w:rPr>
              <w:t>树干胸径在</w:t>
            </w:r>
            <w:r>
              <w:rPr>
                <w:rFonts w:ascii="宋体" w:hAnsi="宋体" w:cs="宋体"/>
                <w:sz w:val="21"/>
                <w:szCs w:val="21"/>
              </w:rPr>
              <w:t>6</w:t>
            </w:r>
            <w:r>
              <w:rPr>
                <w:rFonts w:hint="eastAsia" w:ascii="宋体" w:hAnsi="宋体" w:cs="宋体"/>
                <w:sz w:val="21"/>
                <w:szCs w:val="21"/>
                <w:lang w:eastAsia="zh-CN"/>
              </w:rPr>
              <w:t>—</w:t>
            </w:r>
            <w:r>
              <w:rPr>
                <w:rFonts w:ascii="宋体" w:hAnsi="宋体" w:cs="宋体"/>
                <w:sz w:val="21"/>
                <w:szCs w:val="21"/>
              </w:rPr>
              <w:t>10cm</w:t>
            </w:r>
            <w:r>
              <w:rPr>
                <w:rFonts w:hint="eastAsia" w:ascii="宋体" w:hAnsi="宋体" w:cs="宋体"/>
                <w:sz w:val="21"/>
                <w:szCs w:val="21"/>
              </w:rPr>
              <w:t>之间，</w:t>
            </w:r>
            <w:r>
              <w:rPr>
                <w:rFonts w:ascii="宋体" w:hAnsi="宋体" w:cs="宋体"/>
                <w:sz w:val="21"/>
                <w:szCs w:val="21"/>
              </w:rPr>
              <w:t>5cm</w:t>
            </w:r>
            <w:r>
              <w:rPr>
                <w:rFonts w:hint="eastAsia" w:ascii="宋体" w:hAnsi="宋体" w:cs="宋体"/>
                <w:sz w:val="21"/>
                <w:szCs w:val="21"/>
              </w:rPr>
              <w:t>以下</w:t>
            </w:r>
            <w:r>
              <w:rPr>
                <w:rFonts w:hint="eastAsia" w:ascii="宋体" w:hAnsi="宋体" w:cs="宋体"/>
                <w:sz w:val="21"/>
                <w:szCs w:val="21"/>
                <w:lang w:val="en-US" w:eastAsia="zh-CN"/>
              </w:rPr>
              <w:t>按</w:t>
            </w:r>
            <w:r>
              <w:rPr>
                <w:rFonts w:hint="eastAsia" w:ascii="宋体" w:hAnsi="宋体" w:cs="宋体"/>
                <w:sz w:val="21"/>
                <w:szCs w:val="21"/>
              </w:rPr>
              <w:t>树苗对待</w:t>
            </w:r>
          </w:p>
        </w:tc>
      </w:tr>
      <w:tr w14:paraId="196C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102" w:type="dxa"/>
            <w:vMerge w:val="restart"/>
            <w:noWrap/>
            <w:vAlign w:val="center"/>
          </w:tcPr>
          <w:p w14:paraId="50AA0D44">
            <w:pPr>
              <w:jc w:val="center"/>
              <w:rPr>
                <w:rFonts w:ascii="宋体" w:cs="宋体"/>
                <w:sz w:val="21"/>
                <w:szCs w:val="21"/>
              </w:rPr>
            </w:pPr>
            <w:r>
              <w:rPr>
                <w:rFonts w:hint="eastAsia" w:ascii="宋体" w:hAnsi="宋体" w:cs="宋体"/>
                <w:sz w:val="21"/>
                <w:szCs w:val="21"/>
              </w:rPr>
              <w:t>门楼</w:t>
            </w:r>
          </w:p>
        </w:tc>
        <w:tc>
          <w:tcPr>
            <w:tcW w:w="947" w:type="dxa"/>
            <w:noWrap/>
            <w:vAlign w:val="center"/>
          </w:tcPr>
          <w:p w14:paraId="00FE2E33">
            <w:pPr>
              <w:jc w:val="center"/>
              <w:rPr>
                <w:rFonts w:ascii="宋体" w:cs="宋体"/>
                <w:sz w:val="21"/>
                <w:szCs w:val="21"/>
              </w:rPr>
            </w:pPr>
            <w:r>
              <w:rPr>
                <w:rFonts w:ascii="宋体" w:hAnsi="宋体" w:cs="宋体"/>
                <w:sz w:val="21"/>
                <w:szCs w:val="21"/>
              </w:rPr>
              <w:t>1</w:t>
            </w:r>
          </w:p>
        </w:tc>
        <w:tc>
          <w:tcPr>
            <w:tcW w:w="1393" w:type="dxa"/>
            <w:noWrap/>
            <w:vAlign w:val="center"/>
          </w:tcPr>
          <w:p w14:paraId="0E5C9B4E">
            <w:pPr>
              <w:jc w:val="center"/>
              <w:rPr>
                <w:rFonts w:ascii="宋体" w:cs="宋体"/>
                <w:sz w:val="21"/>
                <w:szCs w:val="21"/>
              </w:rPr>
            </w:pPr>
            <w:r>
              <w:rPr>
                <w:rFonts w:ascii="宋体" w:hAnsi="宋体" w:cs="宋体"/>
                <w:sz w:val="21"/>
                <w:szCs w:val="21"/>
              </w:rPr>
              <w:t>450/</w:t>
            </w:r>
            <w:r>
              <w:rPr>
                <w:rFonts w:hint="eastAsia" w:ascii="宋体" w:hAnsi="宋体" w:cs="宋体"/>
                <w:sz w:val="21"/>
                <w:szCs w:val="21"/>
              </w:rPr>
              <w:t>㎡</w:t>
            </w:r>
          </w:p>
        </w:tc>
        <w:tc>
          <w:tcPr>
            <w:tcW w:w="5016" w:type="dxa"/>
            <w:noWrap/>
            <w:vAlign w:val="center"/>
          </w:tcPr>
          <w:p w14:paraId="2D1A73D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cs="宋体"/>
                <w:sz w:val="21"/>
                <w:szCs w:val="21"/>
              </w:rPr>
            </w:pPr>
            <w:r>
              <w:rPr>
                <w:rFonts w:hint="eastAsia" w:ascii="宋体" w:hAnsi="宋体" w:cs="宋体"/>
                <w:sz w:val="21"/>
                <w:szCs w:val="21"/>
              </w:rPr>
              <w:t>有门圪洞：高</w:t>
            </w:r>
            <w:r>
              <w:rPr>
                <w:rFonts w:ascii="宋体" w:hAnsi="宋体" w:cs="宋体"/>
                <w:sz w:val="21"/>
                <w:szCs w:val="21"/>
              </w:rPr>
              <w:t>3</w:t>
            </w:r>
            <w:r>
              <w:rPr>
                <w:rFonts w:hint="eastAsia" w:ascii="宋体" w:hAnsi="宋体" w:cs="宋体"/>
                <w:sz w:val="21"/>
                <w:szCs w:val="21"/>
              </w:rPr>
              <w:t>米以上</w:t>
            </w:r>
            <w:r>
              <w:rPr>
                <w:rFonts w:ascii="宋体" w:cs="宋体"/>
                <w:sz w:val="21"/>
                <w:szCs w:val="21"/>
              </w:rPr>
              <w:t>,</w:t>
            </w:r>
            <w:r>
              <w:rPr>
                <w:rFonts w:hint="eastAsia" w:ascii="宋体" w:hAnsi="宋体" w:cs="宋体"/>
                <w:sz w:val="21"/>
                <w:szCs w:val="21"/>
              </w:rPr>
              <w:t>穿梭</w:t>
            </w:r>
            <w:r>
              <w:rPr>
                <w:rFonts w:ascii="宋体" w:hAnsi="宋体" w:cs="宋体"/>
                <w:sz w:val="21"/>
                <w:szCs w:val="21"/>
              </w:rPr>
              <w:t xml:space="preserve">2 </w:t>
            </w:r>
            <w:r>
              <w:rPr>
                <w:rFonts w:hint="eastAsia" w:ascii="宋体" w:hAnsi="宋体" w:cs="宋体"/>
                <w:sz w:val="21"/>
                <w:szCs w:val="21"/>
              </w:rPr>
              <w:t>米以上，砖砌体整齐，</w:t>
            </w:r>
            <w:r>
              <w:rPr>
                <w:rFonts w:ascii="宋体" w:hAnsi="宋体" w:cs="宋体"/>
                <w:sz w:val="21"/>
                <w:szCs w:val="21"/>
              </w:rPr>
              <w:t xml:space="preserve"> </w:t>
            </w:r>
            <w:r>
              <w:rPr>
                <w:rFonts w:hint="eastAsia" w:ascii="宋体" w:hAnsi="宋体" w:cs="宋体"/>
                <w:sz w:val="21"/>
                <w:szCs w:val="21"/>
              </w:rPr>
              <w:t>预制块，瓷砖贴面，按每平方米计算</w:t>
            </w:r>
          </w:p>
        </w:tc>
      </w:tr>
      <w:tr w14:paraId="31C8B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102" w:type="dxa"/>
            <w:vMerge w:val="continue"/>
            <w:noWrap/>
            <w:vAlign w:val="center"/>
          </w:tcPr>
          <w:p w14:paraId="030CAFA2">
            <w:pPr>
              <w:jc w:val="center"/>
              <w:rPr>
                <w:rFonts w:ascii="宋体" w:cs="宋体"/>
                <w:sz w:val="21"/>
                <w:szCs w:val="21"/>
              </w:rPr>
            </w:pPr>
          </w:p>
        </w:tc>
        <w:tc>
          <w:tcPr>
            <w:tcW w:w="947" w:type="dxa"/>
            <w:noWrap/>
            <w:vAlign w:val="center"/>
          </w:tcPr>
          <w:p w14:paraId="220DF9F6">
            <w:pPr>
              <w:jc w:val="center"/>
              <w:rPr>
                <w:rFonts w:ascii="宋体" w:cs="宋体"/>
                <w:sz w:val="21"/>
                <w:szCs w:val="21"/>
              </w:rPr>
            </w:pPr>
            <w:r>
              <w:rPr>
                <w:rFonts w:ascii="宋体" w:hAnsi="宋体" w:cs="宋体"/>
                <w:sz w:val="21"/>
                <w:szCs w:val="21"/>
              </w:rPr>
              <w:t>2</w:t>
            </w:r>
          </w:p>
        </w:tc>
        <w:tc>
          <w:tcPr>
            <w:tcW w:w="1393" w:type="dxa"/>
            <w:noWrap/>
            <w:vAlign w:val="center"/>
          </w:tcPr>
          <w:p w14:paraId="1B0B58A3">
            <w:pPr>
              <w:jc w:val="center"/>
              <w:rPr>
                <w:rFonts w:ascii="宋体" w:cs="宋体"/>
                <w:sz w:val="21"/>
                <w:szCs w:val="21"/>
              </w:rPr>
            </w:pPr>
            <w:r>
              <w:rPr>
                <w:rFonts w:ascii="宋体" w:hAnsi="宋体" w:cs="宋体"/>
                <w:sz w:val="21"/>
                <w:szCs w:val="21"/>
              </w:rPr>
              <w:t>360/</w:t>
            </w:r>
            <w:r>
              <w:rPr>
                <w:rFonts w:hint="eastAsia" w:ascii="宋体" w:hAnsi="宋体" w:cs="宋体"/>
                <w:sz w:val="21"/>
                <w:szCs w:val="21"/>
              </w:rPr>
              <w:t>㎡</w:t>
            </w:r>
          </w:p>
        </w:tc>
        <w:tc>
          <w:tcPr>
            <w:tcW w:w="5016" w:type="dxa"/>
            <w:noWrap/>
            <w:vAlign w:val="center"/>
          </w:tcPr>
          <w:p w14:paraId="11D10EF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cs="宋体"/>
                <w:sz w:val="21"/>
                <w:szCs w:val="21"/>
              </w:rPr>
            </w:pPr>
            <w:r>
              <w:rPr>
                <w:rFonts w:hint="eastAsia" w:ascii="宋体" w:hAnsi="宋体" w:cs="宋体"/>
                <w:sz w:val="21"/>
                <w:szCs w:val="21"/>
              </w:rPr>
              <w:t>有门圪洞：高</w:t>
            </w:r>
            <w:r>
              <w:rPr>
                <w:rFonts w:ascii="宋体" w:hAnsi="宋体" w:cs="宋体"/>
                <w:sz w:val="21"/>
                <w:szCs w:val="21"/>
              </w:rPr>
              <w:t>3</w:t>
            </w:r>
            <w:r>
              <w:rPr>
                <w:rFonts w:hint="eastAsia" w:ascii="宋体" w:hAnsi="宋体" w:cs="宋体"/>
                <w:sz w:val="21"/>
                <w:szCs w:val="21"/>
              </w:rPr>
              <w:t>米以上，穿梭</w:t>
            </w:r>
            <w:r>
              <w:rPr>
                <w:rFonts w:ascii="宋体" w:hAnsi="宋体" w:cs="宋体"/>
                <w:sz w:val="21"/>
                <w:szCs w:val="21"/>
              </w:rPr>
              <w:t>2</w:t>
            </w:r>
            <w:r>
              <w:rPr>
                <w:rFonts w:hint="eastAsia" w:ascii="宋体" w:hAnsi="宋体" w:cs="宋体"/>
                <w:sz w:val="21"/>
                <w:szCs w:val="21"/>
              </w:rPr>
              <w:t>米以上，砖砌体整齐，</w:t>
            </w:r>
            <w:r>
              <w:rPr>
                <w:rFonts w:ascii="宋体" w:hAnsi="宋体" w:cs="宋体"/>
                <w:sz w:val="21"/>
                <w:szCs w:val="21"/>
              </w:rPr>
              <w:t xml:space="preserve"> </w:t>
            </w:r>
            <w:r>
              <w:rPr>
                <w:rFonts w:hint="eastAsia" w:ascii="宋体" w:hAnsi="宋体" w:cs="宋体"/>
                <w:sz w:val="21"/>
                <w:szCs w:val="21"/>
              </w:rPr>
              <w:t>预制块，瓷砖贴面</w:t>
            </w:r>
            <w:r>
              <w:rPr>
                <w:rFonts w:ascii="宋体" w:cs="宋体"/>
                <w:sz w:val="21"/>
                <w:szCs w:val="21"/>
              </w:rPr>
              <w:t>,</w:t>
            </w:r>
            <w:r>
              <w:rPr>
                <w:rFonts w:hint="eastAsia" w:ascii="宋体" w:hAnsi="宋体" w:cs="宋体"/>
                <w:sz w:val="21"/>
                <w:szCs w:val="21"/>
              </w:rPr>
              <w:t>按每平方米计算</w:t>
            </w:r>
          </w:p>
        </w:tc>
      </w:tr>
      <w:tr w14:paraId="529F9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102" w:type="dxa"/>
            <w:vMerge w:val="continue"/>
            <w:noWrap/>
            <w:vAlign w:val="center"/>
          </w:tcPr>
          <w:p w14:paraId="1689FE32">
            <w:pPr>
              <w:jc w:val="center"/>
              <w:rPr>
                <w:rFonts w:ascii="宋体" w:cs="宋体"/>
                <w:sz w:val="21"/>
                <w:szCs w:val="21"/>
              </w:rPr>
            </w:pPr>
          </w:p>
        </w:tc>
        <w:tc>
          <w:tcPr>
            <w:tcW w:w="947" w:type="dxa"/>
            <w:noWrap/>
            <w:vAlign w:val="center"/>
          </w:tcPr>
          <w:p w14:paraId="22DDDE93">
            <w:pPr>
              <w:jc w:val="center"/>
              <w:rPr>
                <w:rFonts w:ascii="宋体" w:cs="宋体"/>
                <w:sz w:val="21"/>
                <w:szCs w:val="21"/>
              </w:rPr>
            </w:pPr>
            <w:r>
              <w:rPr>
                <w:rFonts w:ascii="宋体" w:hAnsi="宋体" w:cs="宋体"/>
                <w:sz w:val="21"/>
                <w:szCs w:val="21"/>
              </w:rPr>
              <w:t>3</w:t>
            </w:r>
          </w:p>
        </w:tc>
        <w:tc>
          <w:tcPr>
            <w:tcW w:w="1393" w:type="dxa"/>
            <w:noWrap/>
            <w:vAlign w:val="center"/>
          </w:tcPr>
          <w:p w14:paraId="52846683">
            <w:pPr>
              <w:jc w:val="center"/>
              <w:rPr>
                <w:rFonts w:ascii="宋体" w:cs="宋体"/>
                <w:sz w:val="21"/>
                <w:szCs w:val="21"/>
              </w:rPr>
            </w:pPr>
            <w:r>
              <w:rPr>
                <w:rFonts w:ascii="宋体" w:hAnsi="宋体" w:cs="宋体"/>
                <w:sz w:val="21"/>
                <w:szCs w:val="21"/>
              </w:rPr>
              <w:t>900/</w:t>
            </w:r>
            <w:r>
              <w:rPr>
                <w:rFonts w:hint="eastAsia" w:ascii="宋体" w:hAnsi="宋体" w:cs="宋体"/>
                <w:sz w:val="21"/>
                <w:szCs w:val="21"/>
              </w:rPr>
              <w:t>个</w:t>
            </w:r>
          </w:p>
        </w:tc>
        <w:tc>
          <w:tcPr>
            <w:tcW w:w="5016" w:type="dxa"/>
            <w:noWrap/>
            <w:vAlign w:val="center"/>
          </w:tcPr>
          <w:p w14:paraId="32839BC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cs="宋体"/>
                <w:sz w:val="21"/>
                <w:szCs w:val="21"/>
              </w:rPr>
            </w:pPr>
            <w:r>
              <w:rPr>
                <w:rFonts w:hint="eastAsia" w:ascii="宋体" w:hAnsi="宋体" w:cs="宋体"/>
                <w:sz w:val="21"/>
                <w:szCs w:val="21"/>
              </w:rPr>
              <w:t>无门圪洞：只有门面墙且整齐美观，全砖砌筑，瓷砖贴面</w:t>
            </w:r>
          </w:p>
        </w:tc>
      </w:tr>
      <w:tr w14:paraId="1068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102" w:type="dxa"/>
            <w:vMerge w:val="continue"/>
            <w:noWrap/>
            <w:vAlign w:val="center"/>
          </w:tcPr>
          <w:p w14:paraId="36943503">
            <w:pPr>
              <w:jc w:val="center"/>
              <w:rPr>
                <w:rFonts w:ascii="宋体" w:cs="宋体"/>
                <w:sz w:val="21"/>
                <w:szCs w:val="21"/>
              </w:rPr>
            </w:pPr>
          </w:p>
        </w:tc>
        <w:tc>
          <w:tcPr>
            <w:tcW w:w="947" w:type="dxa"/>
            <w:noWrap/>
            <w:vAlign w:val="center"/>
          </w:tcPr>
          <w:p w14:paraId="343A7A68">
            <w:pPr>
              <w:jc w:val="center"/>
              <w:rPr>
                <w:rFonts w:ascii="宋体" w:cs="宋体"/>
                <w:sz w:val="21"/>
                <w:szCs w:val="21"/>
              </w:rPr>
            </w:pPr>
            <w:r>
              <w:rPr>
                <w:rFonts w:ascii="宋体" w:hAnsi="宋体" w:cs="宋体"/>
                <w:sz w:val="21"/>
                <w:szCs w:val="21"/>
              </w:rPr>
              <w:t>4</w:t>
            </w:r>
          </w:p>
        </w:tc>
        <w:tc>
          <w:tcPr>
            <w:tcW w:w="1393" w:type="dxa"/>
            <w:noWrap/>
            <w:vAlign w:val="center"/>
          </w:tcPr>
          <w:p w14:paraId="1CA4AB97">
            <w:pPr>
              <w:jc w:val="center"/>
              <w:rPr>
                <w:rFonts w:ascii="宋体" w:cs="宋体"/>
                <w:sz w:val="21"/>
                <w:szCs w:val="21"/>
              </w:rPr>
            </w:pPr>
            <w:r>
              <w:rPr>
                <w:rFonts w:ascii="宋体" w:hAnsi="宋体" w:cs="宋体"/>
                <w:sz w:val="21"/>
                <w:szCs w:val="21"/>
              </w:rPr>
              <w:t>750/</w:t>
            </w:r>
            <w:r>
              <w:rPr>
                <w:rFonts w:hint="eastAsia" w:ascii="宋体" w:hAnsi="宋体" w:cs="宋体"/>
                <w:sz w:val="21"/>
                <w:szCs w:val="21"/>
              </w:rPr>
              <w:t>个</w:t>
            </w:r>
          </w:p>
        </w:tc>
        <w:tc>
          <w:tcPr>
            <w:tcW w:w="5016" w:type="dxa"/>
            <w:noWrap/>
            <w:vAlign w:val="center"/>
          </w:tcPr>
          <w:p w14:paraId="494A807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cs="宋体"/>
                <w:sz w:val="21"/>
                <w:szCs w:val="21"/>
              </w:rPr>
            </w:pPr>
            <w:r>
              <w:rPr>
                <w:rFonts w:hint="eastAsia" w:ascii="宋体" w:hAnsi="宋体" w:cs="宋体"/>
                <w:sz w:val="21"/>
                <w:szCs w:val="21"/>
              </w:rPr>
              <w:t>其它门楼</w:t>
            </w:r>
          </w:p>
        </w:tc>
      </w:tr>
      <w:tr w14:paraId="3D0BE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102" w:type="dxa"/>
            <w:vMerge w:val="restart"/>
            <w:noWrap/>
            <w:vAlign w:val="center"/>
          </w:tcPr>
          <w:p w14:paraId="3D9C021B">
            <w:pPr>
              <w:jc w:val="center"/>
              <w:rPr>
                <w:rFonts w:ascii="宋体" w:cs="宋体"/>
                <w:sz w:val="21"/>
                <w:szCs w:val="21"/>
              </w:rPr>
            </w:pPr>
            <w:r>
              <w:rPr>
                <w:rFonts w:hint="eastAsia" w:ascii="宋体" w:hAnsi="宋体" w:cs="宋体"/>
                <w:sz w:val="21"/>
                <w:szCs w:val="21"/>
              </w:rPr>
              <w:t>围墙</w:t>
            </w:r>
          </w:p>
        </w:tc>
        <w:tc>
          <w:tcPr>
            <w:tcW w:w="947" w:type="dxa"/>
            <w:noWrap/>
            <w:vAlign w:val="center"/>
          </w:tcPr>
          <w:p w14:paraId="47266FA1">
            <w:pPr>
              <w:jc w:val="center"/>
              <w:rPr>
                <w:rFonts w:ascii="宋体" w:cs="宋体"/>
                <w:sz w:val="21"/>
                <w:szCs w:val="21"/>
              </w:rPr>
            </w:pPr>
            <w:r>
              <w:rPr>
                <w:rFonts w:ascii="宋体" w:hAnsi="宋体" w:cs="宋体"/>
                <w:sz w:val="21"/>
                <w:szCs w:val="21"/>
              </w:rPr>
              <w:t>1</w:t>
            </w:r>
          </w:p>
        </w:tc>
        <w:tc>
          <w:tcPr>
            <w:tcW w:w="1393" w:type="dxa"/>
            <w:noWrap/>
            <w:vAlign w:val="center"/>
          </w:tcPr>
          <w:p w14:paraId="036BDB0D">
            <w:pPr>
              <w:jc w:val="center"/>
              <w:rPr>
                <w:rFonts w:ascii="宋体" w:cs="宋体"/>
                <w:sz w:val="21"/>
                <w:szCs w:val="21"/>
              </w:rPr>
            </w:pPr>
            <w:r>
              <w:rPr>
                <w:rFonts w:ascii="宋体" w:hAnsi="宋体" w:cs="宋体"/>
                <w:sz w:val="21"/>
                <w:szCs w:val="21"/>
              </w:rPr>
              <w:t>150</w:t>
            </w:r>
          </w:p>
        </w:tc>
        <w:tc>
          <w:tcPr>
            <w:tcW w:w="5016" w:type="dxa"/>
            <w:noWrap/>
            <w:vAlign w:val="center"/>
          </w:tcPr>
          <w:p w14:paraId="11FFE77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cs="宋体"/>
                <w:sz w:val="21"/>
                <w:szCs w:val="21"/>
              </w:rPr>
            </w:pPr>
            <w:r>
              <w:rPr>
                <w:rFonts w:hint="eastAsia" w:ascii="宋体" w:hAnsi="宋体" w:cs="宋体"/>
                <w:sz w:val="21"/>
                <w:szCs w:val="21"/>
              </w:rPr>
              <w:t>全砖砌墙，整齐美观，内有粉刷，按延长米计算</w:t>
            </w:r>
            <w:bookmarkStart w:id="0" w:name="_GoBack"/>
            <w:bookmarkEnd w:id="0"/>
          </w:p>
        </w:tc>
      </w:tr>
      <w:tr w14:paraId="099D8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102" w:type="dxa"/>
            <w:vMerge w:val="continue"/>
            <w:noWrap/>
            <w:vAlign w:val="center"/>
          </w:tcPr>
          <w:p w14:paraId="79B10E8F">
            <w:pPr>
              <w:jc w:val="center"/>
              <w:rPr>
                <w:rFonts w:ascii="宋体" w:cs="宋体"/>
                <w:sz w:val="21"/>
                <w:szCs w:val="21"/>
              </w:rPr>
            </w:pPr>
          </w:p>
        </w:tc>
        <w:tc>
          <w:tcPr>
            <w:tcW w:w="947" w:type="dxa"/>
            <w:noWrap/>
            <w:vAlign w:val="center"/>
          </w:tcPr>
          <w:p w14:paraId="344DA673">
            <w:pPr>
              <w:jc w:val="center"/>
              <w:rPr>
                <w:rFonts w:ascii="宋体" w:cs="宋体"/>
                <w:sz w:val="21"/>
                <w:szCs w:val="21"/>
              </w:rPr>
            </w:pPr>
            <w:r>
              <w:rPr>
                <w:rFonts w:ascii="宋体" w:hAnsi="宋体" w:cs="宋体"/>
                <w:sz w:val="21"/>
                <w:szCs w:val="21"/>
              </w:rPr>
              <w:t>2</w:t>
            </w:r>
          </w:p>
        </w:tc>
        <w:tc>
          <w:tcPr>
            <w:tcW w:w="1393" w:type="dxa"/>
            <w:noWrap/>
            <w:vAlign w:val="center"/>
          </w:tcPr>
          <w:p w14:paraId="28A3D6AE">
            <w:pPr>
              <w:jc w:val="center"/>
              <w:rPr>
                <w:rFonts w:ascii="宋体" w:cs="宋体"/>
                <w:sz w:val="21"/>
                <w:szCs w:val="21"/>
              </w:rPr>
            </w:pPr>
            <w:r>
              <w:rPr>
                <w:rFonts w:ascii="宋体" w:hAnsi="宋体" w:cs="宋体"/>
                <w:sz w:val="21"/>
                <w:szCs w:val="21"/>
              </w:rPr>
              <w:t>120</w:t>
            </w:r>
          </w:p>
        </w:tc>
        <w:tc>
          <w:tcPr>
            <w:tcW w:w="5016" w:type="dxa"/>
            <w:noWrap/>
            <w:vAlign w:val="center"/>
          </w:tcPr>
          <w:p w14:paraId="5CDD724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cs="宋体"/>
                <w:sz w:val="21"/>
                <w:szCs w:val="21"/>
              </w:rPr>
            </w:pPr>
            <w:r>
              <w:rPr>
                <w:rFonts w:hint="eastAsia" w:ascii="宋体" w:hAnsi="宋体" w:cs="宋体"/>
                <w:sz w:val="21"/>
                <w:szCs w:val="21"/>
              </w:rPr>
              <w:t>乱砖砌筑，整齐美观，按延长米计算</w:t>
            </w:r>
          </w:p>
        </w:tc>
      </w:tr>
      <w:tr w14:paraId="288AD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102" w:type="dxa"/>
            <w:vMerge w:val="continue"/>
            <w:noWrap/>
            <w:vAlign w:val="center"/>
          </w:tcPr>
          <w:p w14:paraId="4973AE54">
            <w:pPr>
              <w:jc w:val="center"/>
              <w:rPr>
                <w:rFonts w:ascii="宋体" w:cs="宋体"/>
                <w:sz w:val="21"/>
                <w:szCs w:val="21"/>
              </w:rPr>
            </w:pPr>
          </w:p>
        </w:tc>
        <w:tc>
          <w:tcPr>
            <w:tcW w:w="947" w:type="dxa"/>
            <w:noWrap/>
            <w:vAlign w:val="center"/>
          </w:tcPr>
          <w:p w14:paraId="528B7881">
            <w:pPr>
              <w:jc w:val="center"/>
              <w:rPr>
                <w:rFonts w:ascii="宋体" w:cs="宋体"/>
                <w:sz w:val="21"/>
                <w:szCs w:val="21"/>
              </w:rPr>
            </w:pPr>
            <w:r>
              <w:rPr>
                <w:rFonts w:ascii="宋体" w:hAnsi="宋体" w:cs="宋体"/>
                <w:sz w:val="21"/>
                <w:szCs w:val="21"/>
              </w:rPr>
              <w:t>3</w:t>
            </w:r>
          </w:p>
        </w:tc>
        <w:tc>
          <w:tcPr>
            <w:tcW w:w="1393" w:type="dxa"/>
            <w:noWrap/>
            <w:vAlign w:val="center"/>
          </w:tcPr>
          <w:p w14:paraId="2425AFFA">
            <w:pPr>
              <w:jc w:val="center"/>
              <w:rPr>
                <w:rFonts w:ascii="宋体" w:cs="宋体"/>
                <w:sz w:val="21"/>
                <w:szCs w:val="21"/>
              </w:rPr>
            </w:pPr>
            <w:r>
              <w:rPr>
                <w:rFonts w:ascii="宋体" w:hAnsi="宋体" w:cs="宋体"/>
                <w:sz w:val="21"/>
                <w:szCs w:val="21"/>
              </w:rPr>
              <w:t>60</w:t>
            </w:r>
          </w:p>
        </w:tc>
        <w:tc>
          <w:tcPr>
            <w:tcW w:w="5016" w:type="dxa"/>
            <w:noWrap/>
            <w:vAlign w:val="center"/>
          </w:tcPr>
          <w:p w14:paraId="47BC1C7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cs="宋体"/>
                <w:sz w:val="21"/>
                <w:szCs w:val="21"/>
              </w:rPr>
            </w:pPr>
            <w:r>
              <w:rPr>
                <w:rFonts w:hint="eastAsia" w:ascii="宋体" w:hAnsi="宋体" w:cs="宋体"/>
                <w:sz w:val="21"/>
                <w:szCs w:val="21"/>
              </w:rPr>
              <w:t>土坯砌筑，按延长米计算</w:t>
            </w:r>
          </w:p>
        </w:tc>
      </w:tr>
      <w:tr w14:paraId="6B3D8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102" w:type="dxa"/>
            <w:vMerge w:val="restart"/>
            <w:noWrap/>
            <w:vAlign w:val="center"/>
          </w:tcPr>
          <w:p w14:paraId="5F6064E3">
            <w:pPr>
              <w:jc w:val="center"/>
              <w:rPr>
                <w:rFonts w:ascii="宋体" w:cs="宋体"/>
                <w:sz w:val="21"/>
                <w:szCs w:val="21"/>
              </w:rPr>
            </w:pPr>
            <w:r>
              <w:rPr>
                <w:rFonts w:hint="eastAsia" w:ascii="宋体" w:hAnsi="宋体" w:cs="宋体"/>
                <w:sz w:val="21"/>
                <w:szCs w:val="21"/>
              </w:rPr>
              <w:t>室外楼梯</w:t>
            </w:r>
          </w:p>
        </w:tc>
        <w:tc>
          <w:tcPr>
            <w:tcW w:w="947" w:type="dxa"/>
            <w:noWrap/>
            <w:vAlign w:val="center"/>
          </w:tcPr>
          <w:p w14:paraId="4CF75A7B">
            <w:pPr>
              <w:jc w:val="center"/>
              <w:rPr>
                <w:rFonts w:ascii="宋体" w:cs="宋体"/>
                <w:sz w:val="21"/>
                <w:szCs w:val="21"/>
              </w:rPr>
            </w:pPr>
            <w:r>
              <w:rPr>
                <w:rFonts w:ascii="宋体" w:hAnsi="宋体" w:cs="宋体"/>
                <w:sz w:val="21"/>
                <w:szCs w:val="21"/>
              </w:rPr>
              <w:t>1</w:t>
            </w:r>
          </w:p>
        </w:tc>
        <w:tc>
          <w:tcPr>
            <w:tcW w:w="1393" w:type="dxa"/>
            <w:noWrap/>
            <w:vAlign w:val="center"/>
          </w:tcPr>
          <w:p w14:paraId="5F30AD96">
            <w:pPr>
              <w:jc w:val="center"/>
              <w:rPr>
                <w:rFonts w:ascii="宋体" w:cs="宋体"/>
                <w:sz w:val="21"/>
                <w:szCs w:val="21"/>
              </w:rPr>
            </w:pPr>
            <w:r>
              <w:rPr>
                <w:rFonts w:ascii="宋体" w:hAnsi="宋体" w:cs="宋体"/>
                <w:sz w:val="21"/>
                <w:szCs w:val="21"/>
              </w:rPr>
              <w:t>450</w:t>
            </w:r>
          </w:p>
        </w:tc>
        <w:tc>
          <w:tcPr>
            <w:tcW w:w="5016" w:type="dxa"/>
            <w:noWrap/>
            <w:vAlign w:val="center"/>
          </w:tcPr>
          <w:p w14:paraId="007591D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cs="宋体"/>
                <w:sz w:val="21"/>
                <w:szCs w:val="21"/>
              </w:rPr>
            </w:pPr>
            <w:r>
              <w:rPr>
                <w:rFonts w:hint="eastAsia" w:ascii="宋体" w:hAnsi="宋体" w:cs="宋体"/>
                <w:sz w:val="21"/>
                <w:szCs w:val="21"/>
              </w:rPr>
              <w:t>混凝土楼梯，按平方米计算</w:t>
            </w:r>
          </w:p>
        </w:tc>
      </w:tr>
      <w:tr w14:paraId="33D0D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102" w:type="dxa"/>
            <w:vMerge w:val="continue"/>
            <w:noWrap/>
            <w:vAlign w:val="center"/>
          </w:tcPr>
          <w:p w14:paraId="29C5A0E7">
            <w:pPr>
              <w:jc w:val="center"/>
              <w:rPr>
                <w:rFonts w:ascii="宋体" w:cs="宋体"/>
                <w:sz w:val="21"/>
                <w:szCs w:val="21"/>
              </w:rPr>
            </w:pPr>
          </w:p>
        </w:tc>
        <w:tc>
          <w:tcPr>
            <w:tcW w:w="947" w:type="dxa"/>
            <w:noWrap/>
            <w:vAlign w:val="center"/>
          </w:tcPr>
          <w:p w14:paraId="04509F67">
            <w:pPr>
              <w:jc w:val="center"/>
              <w:rPr>
                <w:rFonts w:ascii="宋体" w:cs="宋体"/>
                <w:sz w:val="21"/>
                <w:szCs w:val="21"/>
              </w:rPr>
            </w:pPr>
            <w:r>
              <w:rPr>
                <w:rFonts w:ascii="宋体" w:hAnsi="宋体" w:cs="宋体"/>
                <w:sz w:val="21"/>
                <w:szCs w:val="21"/>
              </w:rPr>
              <w:t>2</w:t>
            </w:r>
          </w:p>
        </w:tc>
        <w:tc>
          <w:tcPr>
            <w:tcW w:w="1393" w:type="dxa"/>
            <w:noWrap/>
            <w:vAlign w:val="center"/>
          </w:tcPr>
          <w:p w14:paraId="08820715">
            <w:pPr>
              <w:jc w:val="center"/>
              <w:rPr>
                <w:rFonts w:ascii="宋体" w:cs="宋体"/>
                <w:sz w:val="21"/>
                <w:szCs w:val="21"/>
              </w:rPr>
            </w:pPr>
            <w:r>
              <w:rPr>
                <w:rFonts w:ascii="宋体" w:hAnsi="宋体" w:cs="宋体"/>
                <w:sz w:val="21"/>
                <w:szCs w:val="21"/>
              </w:rPr>
              <w:t>225</w:t>
            </w:r>
          </w:p>
        </w:tc>
        <w:tc>
          <w:tcPr>
            <w:tcW w:w="5016" w:type="dxa"/>
            <w:noWrap/>
            <w:vAlign w:val="center"/>
          </w:tcPr>
          <w:p w14:paraId="4946320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cs="宋体"/>
                <w:sz w:val="21"/>
                <w:szCs w:val="21"/>
              </w:rPr>
            </w:pPr>
            <w:r>
              <w:rPr>
                <w:rFonts w:hint="eastAsia" w:ascii="宋体" w:hAnsi="宋体" w:cs="宋体"/>
                <w:sz w:val="21"/>
                <w:szCs w:val="21"/>
              </w:rPr>
              <w:t>砖坯楼梯，按平方米计算</w:t>
            </w:r>
          </w:p>
        </w:tc>
      </w:tr>
      <w:tr w14:paraId="1DC70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102" w:type="dxa"/>
            <w:vMerge w:val="restart"/>
            <w:noWrap/>
            <w:vAlign w:val="center"/>
          </w:tcPr>
          <w:p w14:paraId="67084EAA">
            <w:pPr>
              <w:jc w:val="center"/>
              <w:rPr>
                <w:rFonts w:ascii="宋体" w:cs="宋体"/>
                <w:sz w:val="21"/>
                <w:szCs w:val="21"/>
              </w:rPr>
            </w:pPr>
            <w:r>
              <w:rPr>
                <w:rFonts w:hint="eastAsia" w:ascii="宋体" w:hAnsi="宋体" w:cs="宋体"/>
                <w:sz w:val="21"/>
                <w:szCs w:val="21"/>
              </w:rPr>
              <w:t>院落</w:t>
            </w:r>
          </w:p>
        </w:tc>
        <w:tc>
          <w:tcPr>
            <w:tcW w:w="947" w:type="dxa"/>
            <w:noWrap/>
            <w:vAlign w:val="center"/>
          </w:tcPr>
          <w:p w14:paraId="0432A227">
            <w:pPr>
              <w:jc w:val="center"/>
              <w:rPr>
                <w:rFonts w:ascii="宋体" w:cs="宋体"/>
                <w:sz w:val="21"/>
                <w:szCs w:val="21"/>
              </w:rPr>
            </w:pPr>
            <w:r>
              <w:rPr>
                <w:rFonts w:ascii="宋体" w:hAnsi="宋体" w:cs="宋体"/>
                <w:sz w:val="21"/>
                <w:szCs w:val="21"/>
              </w:rPr>
              <w:t>1</w:t>
            </w:r>
          </w:p>
        </w:tc>
        <w:tc>
          <w:tcPr>
            <w:tcW w:w="1393" w:type="dxa"/>
            <w:noWrap/>
            <w:vAlign w:val="center"/>
          </w:tcPr>
          <w:p w14:paraId="38A5ABCB">
            <w:pPr>
              <w:jc w:val="center"/>
              <w:rPr>
                <w:rFonts w:ascii="宋体" w:cs="宋体"/>
                <w:sz w:val="21"/>
                <w:szCs w:val="21"/>
              </w:rPr>
            </w:pPr>
            <w:r>
              <w:rPr>
                <w:rFonts w:ascii="宋体" w:hAnsi="宋体" w:cs="宋体"/>
                <w:sz w:val="21"/>
                <w:szCs w:val="21"/>
              </w:rPr>
              <w:t>75</w:t>
            </w:r>
          </w:p>
        </w:tc>
        <w:tc>
          <w:tcPr>
            <w:tcW w:w="5016" w:type="dxa"/>
            <w:noWrap/>
            <w:vAlign w:val="center"/>
          </w:tcPr>
          <w:p w14:paraId="2E5E097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cs="宋体"/>
                <w:sz w:val="21"/>
                <w:szCs w:val="21"/>
              </w:rPr>
            </w:pPr>
            <w:r>
              <w:rPr>
                <w:rFonts w:hint="eastAsia" w:ascii="宋体" w:hAnsi="宋体" w:cs="宋体"/>
                <w:sz w:val="21"/>
                <w:szCs w:val="21"/>
              </w:rPr>
              <w:t>水磨石砖，按面积计算</w:t>
            </w:r>
          </w:p>
        </w:tc>
      </w:tr>
      <w:tr w14:paraId="08AA9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102" w:type="dxa"/>
            <w:vMerge w:val="continue"/>
            <w:noWrap/>
            <w:vAlign w:val="center"/>
          </w:tcPr>
          <w:p w14:paraId="5C0875F5">
            <w:pPr>
              <w:jc w:val="center"/>
              <w:rPr>
                <w:rFonts w:ascii="宋体" w:cs="宋体"/>
                <w:sz w:val="21"/>
                <w:szCs w:val="21"/>
              </w:rPr>
            </w:pPr>
          </w:p>
        </w:tc>
        <w:tc>
          <w:tcPr>
            <w:tcW w:w="947" w:type="dxa"/>
            <w:noWrap/>
            <w:vAlign w:val="center"/>
          </w:tcPr>
          <w:p w14:paraId="5E949DFB">
            <w:pPr>
              <w:jc w:val="center"/>
              <w:rPr>
                <w:rFonts w:ascii="宋体" w:cs="宋体"/>
                <w:sz w:val="21"/>
                <w:szCs w:val="21"/>
              </w:rPr>
            </w:pPr>
            <w:r>
              <w:rPr>
                <w:rFonts w:ascii="宋体" w:hAnsi="宋体" w:cs="宋体"/>
                <w:sz w:val="21"/>
                <w:szCs w:val="21"/>
              </w:rPr>
              <w:t>2</w:t>
            </w:r>
          </w:p>
        </w:tc>
        <w:tc>
          <w:tcPr>
            <w:tcW w:w="1393" w:type="dxa"/>
            <w:noWrap/>
            <w:vAlign w:val="center"/>
          </w:tcPr>
          <w:p w14:paraId="57D5D684">
            <w:pPr>
              <w:jc w:val="center"/>
              <w:rPr>
                <w:rFonts w:ascii="宋体" w:cs="宋体"/>
                <w:sz w:val="21"/>
                <w:szCs w:val="21"/>
              </w:rPr>
            </w:pPr>
            <w:r>
              <w:rPr>
                <w:rFonts w:ascii="宋体" w:hAnsi="宋体" w:cs="宋体"/>
                <w:sz w:val="21"/>
                <w:szCs w:val="21"/>
              </w:rPr>
              <w:t>45</w:t>
            </w:r>
          </w:p>
        </w:tc>
        <w:tc>
          <w:tcPr>
            <w:tcW w:w="5016" w:type="dxa"/>
            <w:noWrap/>
            <w:vAlign w:val="center"/>
          </w:tcPr>
          <w:p w14:paraId="62BC6FF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cs="宋体"/>
                <w:sz w:val="21"/>
                <w:szCs w:val="21"/>
              </w:rPr>
            </w:pPr>
            <w:r>
              <w:rPr>
                <w:rFonts w:hint="eastAsia" w:ascii="宋体" w:hAnsi="宋体" w:cs="宋体"/>
                <w:sz w:val="21"/>
                <w:szCs w:val="21"/>
              </w:rPr>
              <w:t>缸砖，砼地面，按面积计算</w:t>
            </w:r>
          </w:p>
        </w:tc>
      </w:tr>
      <w:tr w14:paraId="1ADAA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102" w:type="dxa"/>
            <w:vMerge w:val="continue"/>
            <w:noWrap/>
            <w:vAlign w:val="center"/>
          </w:tcPr>
          <w:p w14:paraId="2A3CE71F">
            <w:pPr>
              <w:jc w:val="center"/>
              <w:rPr>
                <w:rFonts w:ascii="宋体" w:cs="宋体"/>
                <w:sz w:val="21"/>
                <w:szCs w:val="21"/>
              </w:rPr>
            </w:pPr>
          </w:p>
        </w:tc>
        <w:tc>
          <w:tcPr>
            <w:tcW w:w="947" w:type="dxa"/>
            <w:noWrap/>
            <w:vAlign w:val="center"/>
          </w:tcPr>
          <w:p w14:paraId="4FD90563">
            <w:pPr>
              <w:jc w:val="center"/>
              <w:rPr>
                <w:rFonts w:ascii="宋体" w:cs="宋体"/>
                <w:sz w:val="21"/>
                <w:szCs w:val="21"/>
              </w:rPr>
            </w:pPr>
            <w:r>
              <w:rPr>
                <w:rFonts w:ascii="宋体" w:hAnsi="宋体" w:cs="宋体"/>
                <w:sz w:val="21"/>
                <w:szCs w:val="21"/>
              </w:rPr>
              <w:t>3</w:t>
            </w:r>
          </w:p>
        </w:tc>
        <w:tc>
          <w:tcPr>
            <w:tcW w:w="1393" w:type="dxa"/>
            <w:noWrap/>
            <w:vAlign w:val="center"/>
          </w:tcPr>
          <w:p w14:paraId="330F798A">
            <w:pPr>
              <w:jc w:val="center"/>
              <w:rPr>
                <w:rFonts w:ascii="宋体" w:cs="宋体"/>
                <w:sz w:val="21"/>
                <w:szCs w:val="21"/>
              </w:rPr>
            </w:pPr>
            <w:r>
              <w:rPr>
                <w:rFonts w:ascii="宋体" w:hAnsi="宋体" w:cs="宋体"/>
                <w:sz w:val="21"/>
                <w:szCs w:val="21"/>
              </w:rPr>
              <w:t>22.5</w:t>
            </w:r>
          </w:p>
        </w:tc>
        <w:tc>
          <w:tcPr>
            <w:tcW w:w="5016" w:type="dxa"/>
            <w:noWrap/>
            <w:vAlign w:val="center"/>
          </w:tcPr>
          <w:p w14:paraId="22A336F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cs="宋体"/>
                <w:sz w:val="21"/>
                <w:szCs w:val="21"/>
              </w:rPr>
            </w:pPr>
            <w:r>
              <w:rPr>
                <w:rFonts w:hint="eastAsia" w:ascii="宋体" w:hAnsi="宋体" w:cs="宋体"/>
                <w:sz w:val="21"/>
                <w:szCs w:val="21"/>
              </w:rPr>
              <w:t>一般砖地面，按面积计算</w:t>
            </w:r>
          </w:p>
        </w:tc>
      </w:tr>
      <w:tr w14:paraId="5757C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2" w:type="dxa"/>
            <w:noWrap/>
            <w:vAlign w:val="center"/>
          </w:tcPr>
          <w:p w14:paraId="7B53C0F8">
            <w:pPr>
              <w:jc w:val="center"/>
              <w:rPr>
                <w:rFonts w:ascii="宋体" w:cs="宋体"/>
                <w:sz w:val="21"/>
                <w:szCs w:val="21"/>
              </w:rPr>
            </w:pPr>
            <w:r>
              <w:rPr>
                <w:rFonts w:hint="eastAsia" w:ascii="宋体" w:hAnsi="宋体" w:cs="宋体"/>
                <w:sz w:val="21"/>
                <w:szCs w:val="21"/>
              </w:rPr>
              <w:t>简易房</w:t>
            </w:r>
          </w:p>
        </w:tc>
        <w:tc>
          <w:tcPr>
            <w:tcW w:w="947" w:type="dxa"/>
            <w:noWrap/>
            <w:vAlign w:val="center"/>
          </w:tcPr>
          <w:p w14:paraId="58F191EF">
            <w:pPr>
              <w:jc w:val="center"/>
              <w:rPr>
                <w:rFonts w:ascii="宋体" w:cs="宋体"/>
                <w:sz w:val="21"/>
                <w:szCs w:val="21"/>
              </w:rPr>
            </w:pPr>
          </w:p>
        </w:tc>
        <w:tc>
          <w:tcPr>
            <w:tcW w:w="1393" w:type="dxa"/>
            <w:noWrap/>
            <w:vAlign w:val="center"/>
          </w:tcPr>
          <w:p w14:paraId="0F7B48F0">
            <w:pPr>
              <w:jc w:val="center"/>
              <w:rPr>
                <w:rFonts w:ascii="宋体" w:cs="宋体"/>
                <w:sz w:val="21"/>
                <w:szCs w:val="21"/>
              </w:rPr>
            </w:pPr>
            <w:r>
              <w:rPr>
                <w:rFonts w:ascii="宋体" w:hAnsi="宋体" w:cs="宋体"/>
                <w:sz w:val="21"/>
                <w:szCs w:val="21"/>
              </w:rPr>
              <w:t>225/</w:t>
            </w:r>
            <w:r>
              <w:rPr>
                <w:rFonts w:hint="eastAsia" w:ascii="宋体" w:hAnsi="宋体" w:cs="宋体"/>
                <w:sz w:val="21"/>
                <w:szCs w:val="21"/>
              </w:rPr>
              <w:t>㎡</w:t>
            </w:r>
          </w:p>
        </w:tc>
        <w:tc>
          <w:tcPr>
            <w:tcW w:w="5016" w:type="dxa"/>
            <w:noWrap/>
            <w:vAlign w:val="center"/>
          </w:tcPr>
          <w:p w14:paraId="237E79C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cs="宋体"/>
                <w:sz w:val="21"/>
                <w:szCs w:val="21"/>
              </w:rPr>
            </w:pPr>
            <w:r>
              <w:rPr>
                <w:rFonts w:hint="eastAsia" w:ascii="宋体" w:hAnsi="宋体" w:cs="宋体"/>
                <w:sz w:val="21"/>
                <w:szCs w:val="21"/>
              </w:rPr>
              <w:t>结构较为简单，砖墙体，内墙壁抹灰粉刷，用石棉瓦。</w:t>
            </w:r>
          </w:p>
        </w:tc>
      </w:tr>
    </w:tbl>
    <w:p w14:paraId="4C0C3E64">
      <w:pPr>
        <w:tabs>
          <w:tab w:val="left" w:pos="703"/>
        </w:tabs>
        <w:bidi w:val="0"/>
        <w:jc w:val="left"/>
        <w:rPr>
          <w:lang w:val="en-US" w:eastAsia="zh-CN"/>
        </w:rPr>
      </w:pPr>
    </w:p>
    <w:sectPr>
      <w:footerReference r:id="rId3" w:type="default"/>
      <w:pgSz w:w="11906" w:h="16838"/>
      <w:pgMar w:top="1440" w:right="1576" w:bottom="127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9880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15056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aAL0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p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QaAL0tAgAAVwQAAA4AAAAAAAAAAQAgAAAAHwEAAGRycy9lMm9Eb2MueG1sUEsFBgAAAAAG&#10;AAYAWQEAAL4FAAAAAA==&#10;">
              <v:fill on="f" focussize="0,0"/>
              <v:stroke on="f" weight="0.5pt"/>
              <v:imagedata o:title=""/>
              <o:lock v:ext="edit" aspectratio="f"/>
              <v:textbox inset="0mm,0mm,0mm,0mm" style="mso-fit-shape-to-text:t;">
                <w:txbxContent>
                  <w:p w14:paraId="5B15056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DD7915"/>
    <w:rsid w:val="00BE1545"/>
    <w:rsid w:val="020128D0"/>
    <w:rsid w:val="03164C93"/>
    <w:rsid w:val="037C7496"/>
    <w:rsid w:val="03B83EEB"/>
    <w:rsid w:val="04954AC7"/>
    <w:rsid w:val="04EE6171"/>
    <w:rsid w:val="0522700B"/>
    <w:rsid w:val="063B53E6"/>
    <w:rsid w:val="09E10052"/>
    <w:rsid w:val="0A924382"/>
    <w:rsid w:val="0BF00A21"/>
    <w:rsid w:val="0C3E178C"/>
    <w:rsid w:val="0CE265BB"/>
    <w:rsid w:val="0D366907"/>
    <w:rsid w:val="109E6C9D"/>
    <w:rsid w:val="10B71042"/>
    <w:rsid w:val="11A976A8"/>
    <w:rsid w:val="11AB78C4"/>
    <w:rsid w:val="11CB3AC2"/>
    <w:rsid w:val="123D6E58"/>
    <w:rsid w:val="153B45D0"/>
    <w:rsid w:val="16F947B1"/>
    <w:rsid w:val="176720FA"/>
    <w:rsid w:val="18422604"/>
    <w:rsid w:val="18686A42"/>
    <w:rsid w:val="19605860"/>
    <w:rsid w:val="199724DC"/>
    <w:rsid w:val="1A134258"/>
    <w:rsid w:val="1A582703"/>
    <w:rsid w:val="1B0F0EC3"/>
    <w:rsid w:val="1B8F3DB2"/>
    <w:rsid w:val="1BD73063"/>
    <w:rsid w:val="1C1E6EE4"/>
    <w:rsid w:val="1D13631D"/>
    <w:rsid w:val="1DA0296F"/>
    <w:rsid w:val="1F122D30"/>
    <w:rsid w:val="1F470500"/>
    <w:rsid w:val="1FCF220B"/>
    <w:rsid w:val="20C938C2"/>
    <w:rsid w:val="20FE0493"/>
    <w:rsid w:val="21402E17"/>
    <w:rsid w:val="21AE5F33"/>
    <w:rsid w:val="22162B37"/>
    <w:rsid w:val="23C640E9"/>
    <w:rsid w:val="25341526"/>
    <w:rsid w:val="262412B0"/>
    <w:rsid w:val="27AC5CEC"/>
    <w:rsid w:val="28F74D45"/>
    <w:rsid w:val="2A1831C5"/>
    <w:rsid w:val="2CE61358"/>
    <w:rsid w:val="2D377E06"/>
    <w:rsid w:val="2D99286E"/>
    <w:rsid w:val="2DEF2105"/>
    <w:rsid w:val="2EB45BB2"/>
    <w:rsid w:val="2F097580"/>
    <w:rsid w:val="303A2B10"/>
    <w:rsid w:val="30F54904"/>
    <w:rsid w:val="31CC6FF2"/>
    <w:rsid w:val="320C360F"/>
    <w:rsid w:val="32B141B6"/>
    <w:rsid w:val="32DD4FAB"/>
    <w:rsid w:val="334B63B9"/>
    <w:rsid w:val="343631DE"/>
    <w:rsid w:val="351F18AB"/>
    <w:rsid w:val="36260A17"/>
    <w:rsid w:val="379843DF"/>
    <w:rsid w:val="38DF7CCF"/>
    <w:rsid w:val="393578EF"/>
    <w:rsid w:val="39932868"/>
    <w:rsid w:val="3A0472C2"/>
    <w:rsid w:val="3A1A0893"/>
    <w:rsid w:val="3A3F654C"/>
    <w:rsid w:val="3BE86E9B"/>
    <w:rsid w:val="3C2568AB"/>
    <w:rsid w:val="3C4D13F4"/>
    <w:rsid w:val="3CCD6091"/>
    <w:rsid w:val="3D4B3FFE"/>
    <w:rsid w:val="3E786B46"/>
    <w:rsid w:val="3EE27AF4"/>
    <w:rsid w:val="43012DED"/>
    <w:rsid w:val="4345310D"/>
    <w:rsid w:val="444937B3"/>
    <w:rsid w:val="461D02C8"/>
    <w:rsid w:val="46B8793F"/>
    <w:rsid w:val="46D149CF"/>
    <w:rsid w:val="47F60B91"/>
    <w:rsid w:val="48B40105"/>
    <w:rsid w:val="48C447EC"/>
    <w:rsid w:val="4BE62CCB"/>
    <w:rsid w:val="4BF076A6"/>
    <w:rsid w:val="4C556B59"/>
    <w:rsid w:val="4CE23492"/>
    <w:rsid w:val="4CFD26F4"/>
    <w:rsid w:val="4E595A94"/>
    <w:rsid w:val="4ED05CC0"/>
    <w:rsid w:val="4FB64D53"/>
    <w:rsid w:val="50630233"/>
    <w:rsid w:val="50C36206"/>
    <w:rsid w:val="5170078F"/>
    <w:rsid w:val="52234D72"/>
    <w:rsid w:val="529501D7"/>
    <w:rsid w:val="534D375A"/>
    <w:rsid w:val="54770964"/>
    <w:rsid w:val="551469F6"/>
    <w:rsid w:val="56586573"/>
    <w:rsid w:val="579D3563"/>
    <w:rsid w:val="58CE6FC1"/>
    <w:rsid w:val="596D4A2C"/>
    <w:rsid w:val="5ADD173D"/>
    <w:rsid w:val="5ADD7915"/>
    <w:rsid w:val="5AE71369"/>
    <w:rsid w:val="5C314272"/>
    <w:rsid w:val="5CB96D19"/>
    <w:rsid w:val="5CFF7F2C"/>
    <w:rsid w:val="5DD230AF"/>
    <w:rsid w:val="5EAC3900"/>
    <w:rsid w:val="5EFE4B63"/>
    <w:rsid w:val="62832BCA"/>
    <w:rsid w:val="62C70D09"/>
    <w:rsid w:val="62DB47B4"/>
    <w:rsid w:val="631A352E"/>
    <w:rsid w:val="632658E3"/>
    <w:rsid w:val="63846BFA"/>
    <w:rsid w:val="64265F03"/>
    <w:rsid w:val="65314B5F"/>
    <w:rsid w:val="65581415"/>
    <w:rsid w:val="662D17CA"/>
    <w:rsid w:val="66604E68"/>
    <w:rsid w:val="67446DCC"/>
    <w:rsid w:val="686139AD"/>
    <w:rsid w:val="694110E9"/>
    <w:rsid w:val="696848C8"/>
    <w:rsid w:val="696B743D"/>
    <w:rsid w:val="6AB2229E"/>
    <w:rsid w:val="6AEA1A38"/>
    <w:rsid w:val="6B20545A"/>
    <w:rsid w:val="6C401A37"/>
    <w:rsid w:val="6C87253F"/>
    <w:rsid w:val="6D003795"/>
    <w:rsid w:val="70696811"/>
    <w:rsid w:val="70C97E77"/>
    <w:rsid w:val="712944B7"/>
    <w:rsid w:val="72105931"/>
    <w:rsid w:val="7441743E"/>
    <w:rsid w:val="74940C67"/>
    <w:rsid w:val="75553999"/>
    <w:rsid w:val="761262E7"/>
    <w:rsid w:val="76960CC6"/>
    <w:rsid w:val="7750356B"/>
    <w:rsid w:val="7A804167"/>
    <w:rsid w:val="7B7D2454"/>
    <w:rsid w:val="7CC77E2B"/>
    <w:rsid w:val="7CF20C20"/>
    <w:rsid w:val="7E154BC6"/>
    <w:rsid w:val="7EA9D6B1"/>
    <w:rsid w:val="7FFF43B3"/>
    <w:rsid w:val="ABBF4A01"/>
    <w:rsid w:val="BF751E28"/>
    <w:rsid w:val="DBF9E82F"/>
    <w:rsid w:val="EFFAA850"/>
    <w:rsid w:val="EFFB3544"/>
    <w:rsid w:val="F1ED6355"/>
    <w:rsid w:val="F35FF7BD"/>
    <w:rsid w:val="FDFF6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9" Type="http://schemas.openxmlformats.org/officeDocument/2006/relationships/fontTable" Target="fontTable.xml"/><Relationship Id="rId38" Type="http://schemas.openxmlformats.org/officeDocument/2006/relationships/customXml" Target="../customXml/item1.xml"/><Relationship Id="rId37" Type="http://schemas.openxmlformats.org/officeDocument/2006/relationships/image" Target="media/image33.jpeg"/><Relationship Id="rId36" Type="http://schemas.openxmlformats.org/officeDocument/2006/relationships/image" Target="media/image32.jpeg"/><Relationship Id="rId35" Type="http://schemas.openxmlformats.org/officeDocument/2006/relationships/image" Target="media/image31.jpeg"/><Relationship Id="rId34" Type="http://schemas.openxmlformats.org/officeDocument/2006/relationships/image" Target="media/image30.jpeg"/><Relationship Id="rId33" Type="http://schemas.openxmlformats.org/officeDocument/2006/relationships/image" Target="media/image29.jpeg"/><Relationship Id="rId32" Type="http://schemas.openxmlformats.org/officeDocument/2006/relationships/image" Target="media/image28.jpeg"/><Relationship Id="rId31" Type="http://schemas.openxmlformats.org/officeDocument/2006/relationships/image" Target="media/image27.jpeg"/><Relationship Id="rId30" Type="http://schemas.openxmlformats.org/officeDocument/2006/relationships/image" Target="media/image26.jpeg"/><Relationship Id="rId3" Type="http://schemas.openxmlformats.org/officeDocument/2006/relationships/footer" Target="footer1.xml"/><Relationship Id="rId29" Type="http://schemas.openxmlformats.org/officeDocument/2006/relationships/image" Target="media/image25.jpeg"/><Relationship Id="rId28" Type="http://schemas.openxmlformats.org/officeDocument/2006/relationships/image" Target="media/image24.jpeg"/><Relationship Id="rId27" Type="http://schemas.openxmlformats.org/officeDocument/2006/relationships/image" Target="media/image23.jpeg"/><Relationship Id="rId26" Type="http://schemas.openxmlformats.org/officeDocument/2006/relationships/image" Target="media/image22.jpeg"/><Relationship Id="rId25" Type="http://schemas.openxmlformats.org/officeDocument/2006/relationships/image" Target="media/image21.jpeg"/><Relationship Id="rId24" Type="http://schemas.openxmlformats.org/officeDocument/2006/relationships/image" Target="media/image20.jpeg"/><Relationship Id="rId23" Type="http://schemas.openxmlformats.org/officeDocument/2006/relationships/image" Target="media/image19.jpeg"/><Relationship Id="rId22" Type="http://schemas.openxmlformats.org/officeDocument/2006/relationships/image" Target="media/image18.jpeg"/><Relationship Id="rId21" Type="http://schemas.openxmlformats.org/officeDocument/2006/relationships/image" Target="media/image17.jpeg"/><Relationship Id="rId20" Type="http://schemas.openxmlformats.org/officeDocument/2006/relationships/image" Target="media/image16.jpeg"/><Relationship Id="rId2" Type="http://schemas.openxmlformats.org/officeDocument/2006/relationships/settings" Target="settings.xml"/><Relationship Id="rId19" Type="http://schemas.openxmlformats.org/officeDocument/2006/relationships/image" Target="media/image15.jpeg"/><Relationship Id="rId18" Type="http://schemas.openxmlformats.org/officeDocument/2006/relationships/image" Target="media/image14.jpeg"/><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5009</Words>
  <Characters>5261</Characters>
  <Lines>0</Lines>
  <Paragraphs>0</Paragraphs>
  <TotalTime>37</TotalTime>
  <ScaleCrop>false</ScaleCrop>
  <LinksUpToDate>false</LinksUpToDate>
  <CharactersWithSpaces>5276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2024-04-25T10:50:00Z</dcterms:created>
  <dc:creator>静穆如水</dc:creator>
  <cp:lastModifiedBy>陈利平</cp:lastModifiedBy>
  <cp:lastPrinted>2025-10-23T01:22:00Z</cp:lastPrinted>
  <dcterms:modified xsi:type="dcterms:W3CDTF">2025-10-24T01:59:43Z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575611068A114843B0C47363C81DD0AE_13</vt:lpwstr>
  </property>
  <property fmtid="{D5CDD505-2E9C-101B-9397-08002B2CF9AE}" pid="4" name="KSOTemplateDocerSaveRecord">
    <vt:lpwstr>eyJoZGlkIjoiZDZlOGQzOGZjYzg0ZGRmMWIzNTRiNDk4ZjU4YWJjNWEiLCJ1c2VySWQiOiIxMTIwMTM5Nzc1In0=</vt:lpwstr>
  </property>
</Properties>
</file>