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ind w:firstLine="562" w:firstLineChars="200"/>
        <w:jc w:val="center"/>
        <w:rPr>
          <w:rFonts w:ascii="宋体" w:hAnsi="宋体"/>
          <w:b/>
          <w:color w:val="333333"/>
          <w:kern w:val="0"/>
          <w:sz w:val="28"/>
          <w:szCs w:val="28"/>
          <w:shd w:val="clear" w:color="auto" w:fill="FFFFFF"/>
        </w:rPr>
      </w:pPr>
      <w:bookmarkStart w:id="0" w:name="_GoBack"/>
      <w:r>
        <w:rPr>
          <w:rFonts w:hint="eastAsia" w:ascii="宋体" w:hAnsi="宋体"/>
          <w:b/>
          <w:color w:val="333333"/>
          <w:kern w:val="0"/>
          <w:sz w:val="28"/>
          <w:szCs w:val="28"/>
          <w:shd w:val="clear" w:color="auto" w:fill="FFFFFF"/>
        </w:rPr>
        <w:t>阳城县发展和改革局2021年部门预算公开情况</w:t>
      </w:r>
    </w:p>
    <w:bookmarkEnd w:id="0"/>
    <w:p>
      <w:pPr>
        <w:widowControl/>
        <w:shd w:val="clear" w:color="auto" w:fill="FFFFFF"/>
        <w:spacing w:line="520" w:lineRule="exact"/>
        <w:ind w:firstLine="480" w:firstLineChars="200"/>
        <w:jc w:val="left"/>
        <w:rPr>
          <w:rFonts w:hint="eastAsia" w:ascii="宋体" w:hAnsi="宋体"/>
          <w:color w:val="333333"/>
          <w:kern w:val="0"/>
          <w:sz w:val="24"/>
          <w:szCs w:val="24"/>
          <w:shd w:val="clear" w:color="auto" w:fill="FFFFFF"/>
        </w:rPr>
      </w:pPr>
      <w:r>
        <w:rPr>
          <w:rFonts w:hint="eastAsia" w:ascii="宋体" w:hAnsi="宋体"/>
          <w:color w:val="333333"/>
          <w:kern w:val="0"/>
          <w:sz w:val="24"/>
          <w:szCs w:val="24"/>
          <w:shd w:val="clear" w:color="auto" w:fill="FFFFFF"/>
        </w:rPr>
        <w:t xml:space="preserve"> </w:t>
      </w:r>
    </w:p>
    <w:p>
      <w:pPr>
        <w:widowControl/>
        <w:shd w:val="clear" w:color="auto" w:fill="FFFFFF"/>
        <w:spacing w:line="520" w:lineRule="exact"/>
        <w:jc w:val="left"/>
        <w:rPr>
          <w:rFonts w:hint="eastAsia" w:ascii="宋体" w:hAnsi="宋体"/>
          <w:color w:val="333333"/>
          <w:kern w:val="0"/>
          <w:sz w:val="24"/>
          <w:szCs w:val="24"/>
          <w:shd w:val="clear" w:color="auto" w:fill="FFFFFF"/>
        </w:rPr>
      </w:pPr>
      <w:r>
        <w:rPr>
          <w:rFonts w:hint="eastAsia" w:ascii="宋体" w:hAnsi="宋体"/>
          <w:b/>
          <w:bCs/>
          <w:color w:val="333333"/>
          <w:kern w:val="0"/>
          <w:sz w:val="24"/>
          <w:szCs w:val="24"/>
          <w:shd w:val="clear" w:color="auto" w:fill="FFFFFF"/>
        </w:rPr>
        <w:t xml:space="preserve">    </w:t>
      </w:r>
      <w:r>
        <w:rPr>
          <w:rFonts w:hint="eastAsia" w:ascii="宋体" w:hAnsi="宋体"/>
          <w:b/>
          <w:bCs/>
          <w:color w:val="333333"/>
          <w:kern w:val="0"/>
          <w:sz w:val="24"/>
          <w:szCs w:val="24"/>
          <w:shd w:val="clear" w:color="auto" w:fill="FFFFFF"/>
          <w:lang w:eastAsia="zh-CN"/>
        </w:rPr>
        <w:t>第一部分</w:t>
      </w:r>
      <w:r>
        <w:rPr>
          <w:rFonts w:hint="eastAsia" w:ascii="宋体" w:hAnsi="宋体"/>
          <w:b/>
          <w:bCs/>
          <w:color w:val="333333"/>
          <w:kern w:val="0"/>
          <w:sz w:val="24"/>
          <w:szCs w:val="24"/>
          <w:shd w:val="clear" w:color="auto" w:fill="FFFFFF"/>
          <w:lang w:val="en-US" w:eastAsia="zh-CN"/>
        </w:rPr>
        <w:t xml:space="preserve">  </w:t>
      </w:r>
      <w:r>
        <w:rPr>
          <w:rFonts w:hint="eastAsia" w:ascii="宋体" w:hAnsi="宋体"/>
          <w:b/>
          <w:bCs/>
          <w:color w:val="333333"/>
          <w:kern w:val="0"/>
          <w:sz w:val="24"/>
          <w:szCs w:val="24"/>
          <w:shd w:val="clear" w:color="auto" w:fill="FFFFFF"/>
        </w:rPr>
        <w:t>阳城县发展和改革局概况</w:t>
      </w:r>
    </w:p>
    <w:p>
      <w:pPr>
        <w:widowControl/>
        <w:shd w:val="clear" w:color="auto" w:fill="FFFFFF"/>
        <w:spacing w:line="520" w:lineRule="exact"/>
        <w:jc w:val="left"/>
        <w:rPr>
          <w:rFonts w:hint="eastAsia" w:ascii="宋体" w:hAnsi="宋体"/>
          <w:color w:val="333333"/>
          <w:kern w:val="0"/>
          <w:sz w:val="24"/>
          <w:szCs w:val="24"/>
          <w:shd w:val="clear" w:color="auto" w:fill="FFFFFF"/>
        </w:rPr>
      </w:pPr>
      <w:r>
        <w:rPr>
          <w:rFonts w:hint="eastAsia" w:ascii="宋体" w:hAnsi="宋体"/>
          <w:color w:val="333333"/>
          <w:kern w:val="0"/>
          <w:sz w:val="24"/>
          <w:szCs w:val="24"/>
          <w:shd w:val="clear" w:color="auto" w:fill="FFFFFF"/>
        </w:rPr>
        <w:t xml:space="preserve">    </w:t>
      </w:r>
      <w:r>
        <w:rPr>
          <w:rFonts w:hint="eastAsia" w:ascii="宋体" w:hAnsi="宋体"/>
          <w:color w:val="333333"/>
          <w:kern w:val="0"/>
          <w:sz w:val="24"/>
          <w:szCs w:val="24"/>
          <w:shd w:val="clear" w:color="auto" w:fill="FFFFFF"/>
          <w:lang w:eastAsia="zh-CN"/>
        </w:rPr>
        <w:t>一、</w:t>
      </w:r>
      <w:r>
        <w:rPr>
          <w:rFonts w:hint="eastAsia" w:ascii="宋体" w:hAnsi="宋体"/>
          <w:color w:val="333333"/>
          <w:kern w:val="0"/>
          <w:sz w:val="24"/>
          <w:szCs w:val="24"/>
          <w:shd w:val="clear" w:color="auto" w:fill="FFFFFF"/>
        </w:rPr>
        <w:t>主要职责</w:t>
      </w:r>
    </w:p>
    <w:p>
      <w:pPr>
        <w:adjustRightInd w:val="0"/>
        <w:snapToGrid w:val="0"/>
        <w:spacing w:line="600" w:lineRule="exact"/>
        <w:ind w:firstLine="480" w:firstLineChars="200"/>
        <w:rPr>
          <w:rFonts w:ascii="宋体" w:hAnsi="宋体"/>
          <w:sz w:val="24"/>
          <w:szCs w:val="24"/>
        </w:rPr>
      </w:pPr>
      <w:r>
        <w:rPr>
          <w:rFonts w:ascii="宋体" w:hAnsi="宋体"/>
          <w:sz w:val="24"/>
          <w:szCs w:val="24"/>
        </w:rPr>
        <w:t>（一）拟定并组织实施全县国民经济和社会发展中长期规划和年度计划；提出国民经济发展、经济结构优化、价格总水平调控目标及调控政策的建议；拟定全县产业规划和产业政策，衔接、平衡各主要行业的行业规划；拟定价格改革年度计划、中长期规划和建议；研究提出价格改革调控措施及方案；受县人民政府委托向县人大作国民经济和社会发展计划的报告。</w:t>
      </w:r>
    </w:p>
    <w:p>
      <w:pPr>
        <w:adjustRightInd w:val="0"/>
        <w:snapToGrid w:val="0"/>
        <w:spacing w:line="600" w:lineRule="exact"/>
        <w:ind w:firstLine="480" w:firstLineChars="200"/>
        <w:rPr>
          <w:rFonts w:ascii="宋体" w:hAnsi="宋体"/>
          <w:sz w:val="24"/>
          <w:szCs w:val="24"/>
        </w:rPr>
      </w:pPr>
      <w:r>
        <w:rPr>
          <w:rFonts w:ascii="宋体" w:hAnsi="宋体"/>
          <w:sz w:val="24"/>
          <w:szCs w:val="24"/>
        </w:rPr>
        <w:t>（二）贯彻落实国家、省、市宏观经济战略和产业政策，提出全县经济、社会调控政策的建议，建立和完善经济、社会调控体系；负责汇总和分析全县国民经济和社会发展情况，对经济运行、物价稳定进行预测和预警，提出调控的政策建议。</w:t>
      </w:r>
    </w:p>
    <w:p>
      <w:pPr>
        <w:adjustRightInd w:val="0"/>
        <w:snapToGrid w:val="0"/>
        <w:spacing w:line="600" w:lineRule="exact"/>
        <w:ind w:firstLine="480" w:firstLineChars="200"/>
        <w:rPr>
          <w:rFonts w:ascii="宋体" w:hAnsi="宋体"/>
          <w:sz w:val="24"/>
          <w:szCs w:val="24"/>
        </w:rPr>
      </w:pPr>
      <w:r>
        <w:rPr>
          <w:rFonts w:ascii="宋体" w:hAnsi="宋体"/>
          <w:sz w:val="24"/>
          <w:szCs w:val="24"/>
        </w:rPr>
        <w:t>（三）负责汇总和分析全县财政、金融等方面的情况，提出有关协调财政、物价、信贷政策的建议，对社会资金进行综合平衡，提出社会资金导向政策建议；研究提出政府建设资金筹措政策建议；负责企业债券的审核上报工作，编制资本市场发展规划，协调企业上市工作；负责协调社会信用体系建设工作。</w:t>
      </w:r>
    </w:p>
    <w:p>
      <w:pPr>
        <w:adjustRightInd w:val="0"/>
        <w:snapToGrid w:val="0"/>
        <w:spacing w:line="600" w:lineRule="exact"/>
        <w:ind w:firstLine="480" w:firstLineChars="200"/>
        <w:rPr>
          <w:rFonts w:ascii="宋体" w:hAnsi="宋体"/>
          <w:sz w:val="24"/>
          <w:szCs w:val="24"/>
        </w:rPr>
      </w:pPr>
      <w:r>
        <w:rPr>
          <w:rFonts w:ascii="宋体" w:hAnsi="宋体"/>
          <w:sz w:val="24"/>
          <w:szCs w:val="24"/>
        </w:rPr>
        <w:t>（四）推进和综合协调全县经济体制改革，负责改革问题研究、改革方案拟定和改革工作协调。</w:t>
      </w:r>
    </w:p>
    <w:p>
      <w:pPr>
        <w:adjustRightInd w:val="0"/>
        <w:snapToGrid w:val="0"/>
        <w:spacing w:line="600" w:lineRule="exact"/>
        <w:ind w:firstLine="480" w:firstLineChars="200"/>
        <w:rPr>
          <w:rFonts w:ascii="宋体" w:hAnsi="宋体"/>
          <w:sz w:val="24"/>
          <w:szCs w:val="24"/>
        </w:rPr>
      </w:pPr>
      <w:r>
        <w:rPr>
          <w:rFonts w:ascii="宋体" w:hAnsi="宋体"/>
          <w:sz w:val="24"/>
          <w:szCs w:val="24"/>
        </w:rPr>
        <w:t>（五）研究全县对外开放的重大问题，提出利用外资和境外投资的发展战略、方针和政策，组织编制全县利用外资和境外投资的规划，引导外资投向；负责涉外商品价格管理工作；负责全县借用国外贷款的总量控制、结构优化和使用方向，监督债务安全情况，组织实施与国外、省外友好城市的经济合作；负责编制利用外资、引进项目计划。</w:t>
      </w:r>
    </w:p>
    <w:p>
      <w:pPr>
        <w:adjustRightInd w:val="0"/>
        <w:snapToGrid w:val="0"/>
        <w:spacing w:line="600" w:lineRule="exact"/>
        <w:ind w:firstLine="480" w:firstLineChars="200"/>
        <w:rPr>
          <w:rFonts w:ascii="宋体" w:hAnsi="宋体"/>
          <w:sz w:val="24"/>
          <w:szCs w:val="24"/>
        </w:rPr>
      </w:pPr>
      <w:r>
        <w:rPr>
          <w:rFonts w:ascii="宋体" w:hAnsi="宋体"/>
          <w:sz w:val="24"/>
          <w:szCs w:val="24"/>
        </w:rPr>
        <w:t>（六）提出全社会固定资产投资总规模和投资重点的建议，规划重大项目布局和生产力布局；安排政府投资的建设项目以及重大外资项目、境外投资项目，并做好协调组织工作；引导民间资金用于固定资产投资的方向；组织推进重点项目工作。</w:t>
      </w:r>
    </w:p>
    <w:p>
      <w:pPr>
        <w:adjustRightInd w:val="0"/>
        <w:snapToGrid w:val="0"/>
        <w:spacing w:line="600" w:lineRule="exact"/>
        <w:ind w:firstLine="480" w:firstLineChars="200"/>
        <w:rPr>
          <w:rFonts w:ascii="宋体" w:hAnsi="宋体"/>
          <w:sz w:val="24"/>
          <w:szCs w:val="24"/>
        </w:rPr>
      </w:pPr>
      <w:r>
        <w:rPr>
          <w:rFonts w:ascii="宋体" w:hAnsi="宋体"/>
          <w:sz w:val="24"/>
          <w:szCs w:val="24"/>
        </w:rPr>
        <w:t>（七）研究提出并组织实施经济结构调整规划及相关政策，推进全县经济结构优化升级，提出国民经济重要产业的发展战略和规划；研究并协调农业和农村经济社会发展的重大问题，衔接农村专项规划和政策；指导工业发展，推进工业化和信息化；组织制定工业总体发展规划、行业发展规划；拟定交通等基础产业发展规划；指导技术进步和产业现代化，推动高新技术产业发展，实施技术进步和产业现代化的宏观指导，协调解决重大技术装备推广应用等方面的重大问题；研究提出服务业发展规划和政策，协调服务业发展；研究提出现代物流业发展战略和规划。</w:t>
      </w:r>
    </w:p>
    <w:p>
      <w:pPr>
        <w:adjustRightInd w:val="0"/>
        <w:snapToGrid w:val="0"/>
        <w:spacing w:line="600" w:lineRule="exact"/>
        <w:ind w:firstLine="480" w:firstLineChars="200"/>
        <w:rPr>
          <w:rFonts w:ascii="宋体" w:hAnsi="宋体"/>
          <w:sz w:val="24"/>
          <w:szCs w:val="24"/>
        </w:rPr>
      </w:pPr>
      <w:r>
        <w:rPr>
          <w:rFonts w:ascii="宋体" w:hAnsi="宋体"/>
          <w:sz w:val="24"/>
          <w:szCs w:val="24"/>
        </w:rPr>
        <w:t>（八）承担全县重要商品总量平衡和宏观调控的责任。做好社会总量需求和总供给等重要经济总量的平衡和重大比例关系的协调，搞好资源开发、生产力布局及扶贫地区经济开发计划，引导和促进全县经济结构合理化和区域经济协调发展；组织研究城镇化战略，协调指导全县城镇化工作；编制重要工业品和原材料进出口总量计划，监督计划执行情况，并根据经济运行情况协调进出口总量计划；组织编制全县国民经济动员规划、计划，组织实施国民经济动员工作；做好全县散装水泥推广使用、废金属的回收及管理工作。负责全县主要农产品、重要商品和服务项目成本调查及定价成本监审工作，参与拟定粮食、经济作物、农业生产资料等政策补贴标准。</w:t>
      </w:r>
    </w:p>
    <w:p>
      <w:pPr>
        <w:adjustRightInd w:val="0"/>
        <w:snapToGrid w:val="0"/>
        <w:spacing w:line="600" w:lineRule="exact"/>
        <w:ind w:firstLine="480" w:firstLineChars="200"/>
        <w:rPr>
          <w:rFonts w:ascii="宋体" w:hAnsi="宋体"/>
          <w:sz w:val="24"/>
          <w:szCs w:val="24"/>
        </w:rPr>
      </w:pPr>
      <w:r>
        <w:rPr>
          <w:rFonts w:ascii="宋体" w:hAnsi="宋体"/>
          <w:sz w:val="24"/>
          <w:szCs w:val="24"/>
        </w:rPr>
        <w:t>（九）负责全县社会发展与国民经济发展的政策衔接；组织拟定社会发展总体规划和年度计划；研究拟定人口发展战略和规划；参与拟定人口、科学技术、教育、文化、卫生、民政等发展政策，推进社会事业建设；研究提出促进就业、调整收入分配、完善社会保障与经济协调发展的政策建议；协调社会事业发展和改革中的重大问题及政策。</w:t>
      </w:r>
    </w:p>
    <w:p>
      <w:pPr>
        <w:adjustRightInd w:val="0"/>
        <w:snapToGrid w:val="0"/>
        <w:spacing w:line="600" w:lineRule="exact"/>
        <w:ind w:firstLine="480" w:firstLineChars="200"/>
        <w:rPr>
          <w:rFonts w:ascii="宋体" w:hAnsi="宋体"/>
          <w:sz w:val="24"/>
          <w:szCs w:val="24"/>
        </w:rPr>
      </w:pPr>
      <w:r>
        <w:rPr>
          <w:rFonts w:ascii="宋体" w:hAnsi="宋体"/>
          <w:sz w:val="24"/>
          <w:szCs w:val="24"/>
        </w:rPr>
        <w:t>（十）推进可持续发展战略。负责组织拟定发展循环经济、全社会能源资源节约和综合利用规划及政策措施并协调实施；协调生态建设、能源资源节约和综合利用的重大问题，综合协调环保产业和清洁生产工作，积极推进资源节约型和环境友好型工作。</w:t>
      </w:r>
    </w:p>
    <w:p>
      <w:pPr>
        <w:adjustRightInd w:val="0"/>
        <w:snapToGrid w:val="0"/>
        <w:spacing w:line="600" w:lineRule="exact"/>
        <w:ind w:firstLine="480" w:firstLineChars="200"/>
        <w:rPr>
          <w:rFonts w:ascii="宋体" w:hAnsi="宋体"/>
          <w:sz w:val="24"/>
          <w:szCs w:val="24"/>
        </w:rPr>
      </w:pPr>
      <w:r>
        <w:rPr>
          <w:rFonts w:ascii="宋体" w:hAnsi="宋体"/>
          <w:sz w:val="24"/>
          <w:szCs w:val="24"/>
        </w:rPr>
        <w:t>（十一）牵头负责涉及能源发展的重大规划、政策和投资项目管理等职能，与县能源局以联席会议制度进行协调协商。</w:t>
      </w:r>
    </w:p>
    <w:p>
      <w:pPr>
        <w:adjustRightInd w:val="0"/>
        <w:snapToGrid w:val="0"/>
        <w:spacing w:line="600" w:lineRule="exact"/>
        <w:ind w:firstLine="480" w:firstLineChars="200"/>
        <w:rPr>
          <w:rFonts w:ascii="宋体" w:hAnsi="宋体"/>
          <w:sz w:val="24"/>
          <w:szCs w:val="24"/>
        </w:rPr>
      </w:pPr>
      <w:r>
        <w:rPr>
          <w:rFonts w:ascii="宋体" w:hAnsi="宋体"/>
          <w:sz w:val="24"/>
          <w:szCs w:val="24"/>
        </w:rPr>
        <w:t>（十二）研究拟定全县国民经济和社会发展以及经济体制改革、对外开放的有关规章和制度，并参与实施，负责将应急管理和安全生产工作纳入全县国民经济与社会发展总体规划和布局，承担本部门职责范围内的应急管理和安全生产监督管理职责。</w:t>
      </w:r>
    </w:p>
    <w:p>
      <w:pPr>
        <w:adjustRightInd w:val="0"/>
        <w:snapToGrid w:val="0"/>
        <w:spacing w:line="600" w:lineRule="exact"/>
        <w:ind w:firstLine="480" w:firstLineChars="200"/>
        <w:rPr>
          <w:rFonts w:ascii="宋体" w:hAnsi="宋体"/>
          <w:sz w:val="24"/>
          <w:szCs w:val="24"/>
        </w:rPr>
      </w:pPr>
      <w:r>
        <w:rPr>
          <w:rFonts w:ascii="宋体" w:hAnsi="宋体"/>
          <w:sz w:val="24"/>
          <w:szCs w:val="24"/>
        </w:rPr>
        <w:t>（十三）承担全县价格管理责任（不包括药品和医疗服务价格管理）；负责监测分析价格运行情况并提出相关政策和价格改革建议；依法制定、调整权限范围内的县管重要商品、服务价格和收费标准并组织实施；负责全县行政事业性收费管理，主持重要商品价格和服务收费调定价项目听证会；开展价格政策咨询服务。</w:t>
      </w:r>
    </w:p>
    <w:p>
      <w:pPr>
        <w:adjustRightInd w:val="0"/>
        <w:snapToGrid w:val="0"/>
        <w:spacing w:line="600" w:lineRule="exact"/>
        <w:ind w:firstLine="480" w:firstLineChars="200"/>
        <w:rPr>
          <w:rFonts w:ascii="宋体" w:hAnsi="宋体"/>
          <w:sz w:val="24"/>
          <w:szCs w:val="24"/>
        </w:rPr>
      </w:pPr>
      <w:r>
        <w:rPr>
          <w:rFonts w:ascii="宋体" w:hAnsi="宋体"/>
          <w:sz w:val="24"/>
          <w:szCs w:val="24"/>
        </w:rPr>
        <w:t>（十四）负责全县粮食宏观调控；负责全县粮食产业发展、行业指导工作，负责粮食流通年度计划、中长期计划的编制和组织实施；执行国家战略物资储备规划；负责组织实施重要物资和应急储备物资收储、轮换和日常管理工作。</w:t>
      </w:r>
    </w:p>
    <w:p>
      <w:pPr>
        <w:adjustRightInd w:val="0"/>
        <w:snapToGrid w:val="0"/>
        <w:spacing w:line="600" w:lineRule="exact"/>
        <w:ind w:firstLine="480" w:firstLineChars="200"/>
        <w:rPr>
          <w:rFonts w:ascii="宋体" w:hAnsi="宋体"/>
          <w:sz w:val="24"/>
          <w:szCs w:val="24"/>
        </w:rPr>
      </w:pPr>
      <w:r>
        <w:rPr>
          <w:rFonts w:ascii="宋体" w:hAnsi="宋体"/>
          <w:sz w:val="24"/>
          <w:szCs w:val="24"/>
        </w:rPr>
        <w:t>（十五）将所属事业单位承担的行政职能划归机关。</w:t>
      </w:r>
    </w:p>
    <w:p>
      <w:pPr>
        <w:spacing w:line="598" w:lineRule="exact"/>
        <w:ind w:firstLine="480" w:firstLineChars="200"/>
        <w:rPr>
          <w:rFonts w:ascii="宋体" w:hAnsi="宋体"/>
          <w:sz w:val="24"/>
          <w:szCs w:val="24"/>
        </w:rPr>
      </w:pPr>
      <w:r>
        <w:rPr>
          <w:rFonts w:ascii="宋体" w:hAnsi="宋体"/>
          <w:sz w:val="24"/>
          <w:szCs w:val="24"/>
        </w:rPr>
        <w:t>（十六）负责县发改系统党风廉政建设工作。</w:t>
      </w:r>
    </w:p>
    <w:p>
      <w:pPr>
        <w:adjustRightInd w:val="0"/>
        <w:snapToGrid w:val="0"/>
        <w:spacing w:line="600" w:lineRule="exact"/>
        <w:ind w:firstLine="480" w:firstLineChars="200"/>
        <w:rPr>
          <w:rFonts w:ascii="宋体" w:hAnsi="宋体"/>
          <w:sz w:val="24"/>
          <w:szCs w:val="24"/>
        </w:rPr>
      </w:pPr>
      <w:r>
        <w:rPr>
          <w:rFonts w:ascii="宋体" w:hAnsi="宋体"/>
          <w:sz w:val="24"/>
          <w:szCs w:val="24"/>
        </w:rPr>
        <w:t>（十七）承担县政府交办的其他事项。</w:t>
      </w:r>
    </w:p>
    <w:p>
      <w:pPr>
        <w:widowControl/>
        <w:shd w:val="clear" w:color="auto" w:fill="FFFFFF"/>
        <w:spacing w:line="520" w:lineRule="exact"/>
        <w:ind w:firstLine="480" w:firstLineChars="200"/>
        <w:jc w:val="left"/>
        <w:rPr>
          <w:rFonts w:hint="eastAsia" w:ascii="宋体" w:hAnsi="宋体"/>
          <w:color w:val="333333"/>
          <w:kern w:val="0"/>
          <w:sz w:val="24"/>
          <w:szCs w:val="24"/>
          <w:shd w:val="clear" w:color="auto" w:fill="FFFFFF"/>
          <w:lang w:eastAsia="zh-CN"/>
        </w:rPr>
      </w:pPr>
      <w:r>
        <w:rPr>
          <w:rFonts w:hint="eastAsia" w:ascii="宋体" w:hAnsi="宋体"/>
          <w:color w:val="333333"/>
          <w:kern w:val="0"/>
          <w:sz w:val="24"/>
          <w:szCs w:val="24"/>
          <w:shd w:val="clear" w:color="auto" w:fill="FFFFFF"/>
          <w:lang w:eastAsia="zh-CN"/>
        </w:rPr>
        <w:t>二、机构设置情况</w:t>
      </w:r>
    </w:p>
    <w:p>
      <w:pPr>
        <w:widowControl/>
        <w:shd w:val="clear" w:color="auto" w:fill="FFFFFF"/>
        <w:spacing w:line="520" w:lineRule="exact"/>
        <w:ind w:firstLine="480" w:firstLineChars="200"/>
        <w:jc w:val="left"/>
        <w:rPr>
          <w:rFonts w:hint="eastAsia" w:ascii="宋体" w:hAnsi="宋体" w:eastAsia="宋体" w:cs="Times New Roman"/>
          <w:color w:val="333333"/>
          <w:kern w:val="0"/>
          <w:sz w:val="24"/>
          <w:szCs w:val="24"/>
          <w:shd w:val="clear" w:color="auto" w:fill="FFFFFF"/>
          <w:lang w:eastAsia="zh-CN"/>
        </w:rPr>
      </w:pPr>
      <w:r>
        <w:rPr>
          <w:rFonts w:hint="eastAsia" w:ascii="宋体" w:hAnsi="宋体" w:eastAsia="宋体" w:cs="Times New Roman"/>
          <w:color w:val="333333"/>
          <w:kern w:val="0"/>
          <w:sz w:val="24"/>
          <w:szCs w:val="24"/>
          <w:shd w:val="clear" w:color="auto" w:fill="FFFFFF"/>
          <w:lang w:val="en-US" w:eastAsia="zh-CN"/>
        </w:rPr>
        <w:t>阳城县发展和改革局下属四个事业单位，分别为重点工程协调服务中心（副科级）、宏观经济研究中心、价格监测中心、价格认证中心。现内设党务办、行政办、人事财务股、重点工程管理办公室（重点工程协调服务中心）、固定资产投资股、国民经济综合股（县委财经委员会办公室）、社会发展股、工交能源股（县国民经济动员办公室）、农村经济股、价费管理股、粮食和物资管理股、营商环境股、宏观经济研究中心、价格检测中心、价格认证中心15个职能股室。</w:t>
      </w:r>
    </w:p>
    <w:p>
      <w:pPr>
        <w:widowControl/>
        <w:spacing w:after="150" w:line="520" w:lineRule="exact"/>
        <w:ind w:firstLine="472" w:firstLineChars="196"/>
        <w:jc w:val="left"/>
        <w:rPr>
          <w:rFonts w:ascii="宋体" w:hAnsi="宋体"/>
          <w:b/>
          <w:bCs/>
          <w:kern w:val="0"/>
          <w:sz w:val="24"/>
          <w:szCs w:val="24"/>
        </w:rPr>
      </w:pPr>
      <w:r>
        <w:rPr>
          <w:rFonts w:hint="eastAsia" w:ascii="宋体" w:hAnsi="宋体"/>
          <w:b/>
          <w:bCs/>
          <w:kern w:val="0"/>
          <w:sz w:val="24"/>
          <w:szCs w:val="24"/>
          <w:lang w:eastAsia="zh-CN"/>
        </w:rPr>
        <w:t>第二部分</w:t>
      </w:r>
      <w:r>
        <w:rPr>
          <w:rFonts w:hint="eastAsia" w:ascii="宋体" w:hAnsi="宋体"/>
          <w:b/>
          <w:bCs/>
          <w:kern w:val="0"/>
          <w:sz w:val="24"/>
          <w:szCs w:val="24"/>
          <w:lang w:val="en-US" w:eastAsia="zh-CN"/>
        </w:rPr>
        <w:t xml:space="preserve">  </w:t>
      </w:r>
      <w:r>
        <w:rPr>
          <w:rFonts w:hint="eastAsia" w:ascii="宋体" w:hAnsi="宋体"/>
          <w:b/>
          <w:bCs/>
          <w:kern w:val="0"/>
          <w:sz w:val="24"/>
          <w:szCs w:val="24"/>
        </w:rPr>
        <w:t>阳城县发展和改革局2021年部门预算表</w:t>
      </w:r>
    </w:p>
    <w:p/>
    <w:p/>
    <w:p/>
    <w:p>
      <w:r>
        <w:object>
          <v:shape id="_x0000_i1025" o:spt="75" type="#_x0000_t75" style="height:646.35pt;width:414.85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p/>
    <w:p>
      <w:pPr>
        <w:sectPr>
          <w:pgSz w:w="11906" w:h="16838"/>
          <w:pgMar w:top="1440" w:right="1800" w:bottom="1440" w:left="1800" w:header="851" w:footer="992" w:gutter="0"/>
          <w:cols w:space="425" w:num="1"/>
          <w:docGrid w:type="lines" w:linePitch="312" w:charSpace="0"/>
        </w:sectPr>
      </w:pPr>
    </w:p>
    <w:p>
      <w:r>
        <w:object>
          <v:shape id="_x0000_i1026" o:spt="75" type="#_x0000_t75" style="height:168.75pt;width:709.6pt;" o:ole="t" filled="f" o:preferrelative="t" stroked="f" coordsize="21600,21600">
            <v:path/>
            <v:fill on="f" focussize="0,0"/>
            <v:stroke on="f"/>
            <v:imagedata r:id="rId7" o:title=""/>
            <o:lock v:ext="edit" aspectratio="f"/>
            <w10:wrap type="none"/>
            <w10:anchorlock/>
          </v:shape>
          <o:OLEObject Type="Embed" ProgID="" ShapeID="_x0000_i1026" DrawAspect="Content" ObjectID="_1468075726" r:id="rId6">
            <o:LockedField>false</o:LockedField>
          </o:OLEObject>
        </w:object>
      </w:r>
    </w:p>
    <w:p>
      <w:pPr>
        <w:sectPr>
          <w:pgSz w:w="16838" w:h="11906" w:orient="landscape"/>
          <w:pgMar w:top="1800" w:right="1440" w:bottom="1800" w:left="1440" w:header="851" w:footer="992" w:gutter="0"/>
          <w:cols w:space="425" w:num="1"/>
          <w:docGrid w:type="lines" w:linePitch="312" w:charSpace="0"/>
        </w:sectPr>
      </w:pPr>
    </w:p>
    <w:p/>
    <w:tbl>
      <w:tblPr>
        <w:tblStyle w:val="4"/>
        <w:tblW w:w="5000" w:type="pct"/>
        <w:tblInd w:w="0" w:type="dxa"/>
        <w:shd w:val="clear" w:color="auto" w:fill="auto"/>
        <w:tblLayout w:type="autofit"/>
        <w:tblCellMar>
          <w:top w:w="0" w:type="dxa"/>
          <w:left w:w="108" w:type="dxa"/>
          <w:bottom w:w="0" w:type="dxa"/>
          <w:right w:w="108" w:type="dxa"/>
        </w:tblCellMar>
      </w:tblPr>
      <w:tblGrid>
        <w:gridCol w:w="756"/>
        <w:gridCol w:w="929"/>
        <w:gridCol w:w="1799"/>
        <w:gridCol w:w="1345"/>
        <w:gridCol w:w="1436"/>
        <w:gridCol w:w="1462"/>
        <w:gridCol w:w="1759"/>
        <w:gridCol w:w="450"/>
        <w:gridCol w:w="540"/>
        <w:gridCol w:w="918"/>
        <w:gridCol w:w="918"/>
        <w:gridCol w:w="918"/>
        <w:gridCol w:w="944"/>
      </w:tblGrid>
      <w:tr>
        <w:tblPrEx>
          <w:tblCellMar>
            <w:top w:w="0" w:type="dxa"/>
            <w:left w:w="108" w:type="dxa"/>
            <w:bottom w:w="0" w:type="dxa"/>
            <w:right w:w="108" w:type="dxa"/>
          </w:tblCellMar>
        </w:tblPrEx>
        <w:trPr>
          <w:trHeight w:val="580"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支出预算明细表</w:t>
            </w:r>
          </w:p>
        </w:tc>
      </w:tr>
      <w:tr>
        <w:tblPrEx>
          <w:tblCellMar>
            <w:top w:w="0" w:type="dxa"/>
            <w:left w:w="108" w:type="dxa"/>
            <w:bottom w:w="0" w:type="dxa"/>
            <w:right w:w="108" w:type="dxa"/>
          </w:tblCellMar>
        </w:tblPrEx>
        <w:trPr>
          <w:trHeight w:val="72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单位编码</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预算资金来源</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支出功能科目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部门经济科目</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政府经济科目</w:t>
            </w:r>
          </w:p>
        </w:tc>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分配下达级次</w:t>
            </w:r>
          </w:p>
        </w:tc>
        <w:tc>
          <w:tcPr>
            <w:tcW w:w="1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是否政府采购</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预算总计</w:t>
            </w:r>
          </w:p>
        </w:tc>
        <w:tc>
          <w:tcPr>
            <w:tcW w:w="977"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政府预算资金</w:t>
            </w:r>
          </w:p>
        </w:tc>
      </w:tr>
      <w:tr>
        <w:tblPrEx>
          <w:tblCellMar>
            <w:top w:w="0" w:type="dxa"/>
            <w:left w:w="108" w:type="dxa"/>
            <w:bottom w:w="0" w:type="dxa"/>
            <w:right w:w="108" w:type="dxa"/>
          </w:tblCellMar>
        </w:tblPrEx>
        <w:trPr>
          <w:trHeight w:val="5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政府预算资金合计</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一般公共预算合计</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财政拨款资金</w:t>
            </w:r>
          </w:p>
        </w:tc>
      </w:tr>
      <w:tr>
        <w:tblPrEx>
          <w:tblCellMar>
            <w:top w:w="0" w:type="dxa"/>
            <w:left w:w="108" w:type="dxa"/>
            <w:bottom w:w="0" w:type="dxa"/>
            <w:right w:w="108" w:type="dxa"/>
          </w:tblCellMar>
        </w:tblPrEx>
        <w:trPr>
          <w:trHeight w:val="52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3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3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[01]人员支出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443.86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443.86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443.86</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443.86</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[30101]基本工资</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77.13</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77.13</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行政单位津贴补贴</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39.52</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39.52</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39.52</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39.52</w:t>
            </w:r>
          </w:p>
        </w:tc>
      </w:tr>
      <w:tr>
        <w:tblPrEx>
          <w:tblCellMar>
            <w:top w:w="0" w:type="dxa"/>
            <w:left w:w="108" w:type="dxa"/>
            <w:bottom w:w="0" w:type="dxa"/>
            <w:right w:w="108" w:type="dxa"/>
          </w:tblCellMar>
        </w:tblPrEx>
        <w:trPr>
          <w:trHeight w:val="8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行政单位年终一次性奖金</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[30103]奖金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保留津贴</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在职人员冬季取暖补贴</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女职工卫生费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[30101]基本工资</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125.58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125.58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125.58</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125.58</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事业单位绩效工资</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[30107]绩效工资</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[50501]工资福利支出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保留津贴</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在职人员冬季取暖补贴</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女职工卫生费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r>
      <w:tr>
        <w:tblPrEx>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晋档工资</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[30101]基本工资</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r>
      <w:tr>
        <w:tblPrEx>
          <w:tblCellMar>
            <w:top w:w="0" w:type="dxa"/>
            <w:left w:w="108" w:type="dxa"/>
            <w:bottom w:w="0" w:type="dxa"/>
            <w:right w:w="108" w:type="dxa"/>
          </w:tblCellMar>
        </w:tblPrEx>
        <w:trPr>
          <w:trHeight w:val="10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基本养老保险单位缴费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[2080505]机关事业单位基本养老保险缴费支出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[30108]机关事业单位基本养老保险缴费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w:t>
            </w:r>
          </w:p>
        </w:tc>
      </w:tr>
      <w:tr>
        <w:tblPrEx>
          <w:tblCellMar>
            <w:top w:w="0" w:type="dxa"/>
            <w:left w:w="108" w:type="dxa"/>
            <w:bottom w:w="0" w:type="dxa"/>
            <w:right w:w="108" w:type="dxa"/>
          </w:tblCellMar>
        </w:tblPrEx>
        <w:trPr>
          <w:trHeight w:val="11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基本医疗保险（含原职工生育保险）</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[2101101]行政单位医疗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[30110]职工基本医疗保险缴费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行政单位工伤保险</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[2089999]其他社会保障和就业支出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[30112]其他社会保障缴费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[2089999]其他社会保障和就业支出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[30112]其他社会保障缴费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基本养老保险单位缴费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[2080505]机关事业单位基本养老保险缴费支出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[30108]机关事业单位基本养老保险缴费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24.50</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基本医疗保险（含原职工生育保险）</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[2101102]事业单位医疗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[30110]职工基本医疗保险缴费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事业单位工伤保险</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[2089999]其他社会保障和就业支出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[30112]其他社会保障缴费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[2089999]其他社会保障和就业支出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[30112]其他社会保障缴费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住房公积金（行政）</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[30113]住房公积金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[50103]住房公积金</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住房公积金（事业）</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[30113]住房公积金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[50103]住房公积金</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独生子女父母奖励</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[2100799]其他计划生育事务支出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[30309]奖励金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[50901]社会福利和救助</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退休人员住宅取暖补贴</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[30302]退休费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[50905]离退休费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[02]公用支出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在职人员一般公用经费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[30201]办公费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在职人员一般公用经费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[31002]办公设备购置</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[50306]设备购置</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22.70</w:t>
            </w:r>
          </w:p>
        </w:tc>
      </w:tr>
      <w:tr>
        <w:tblPrEx>
          <w:tblCellMar>
            <w:top w:w="0" w:type="dxa"/>
            <w:left w:w="108" w:type="dxa"/>
            <w:bottom w:w="0" w:type="dxa"/>
            <w:right w:w="108" w:type="dxa"/>
          </w:tblCellMar>
        </w:tblPrEx>
        <w:trPr>
          <w:trHeight w:val="10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行政参公单位在职人员公务交通补贴</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[30239]其他交通费用</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工会经费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[30228]工会经费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职工福利费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[30229]福利费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[03]其他运转类项目</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166.60</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追加办公经费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[30201]办公费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r>
      <w:tr>
        <w:tblPrEx>
          <w:tblCellMar>
            <w:top w:w="0" w:type="dxa"/>
            <w:left w:w="108" w:type="dxa"/>
            <w:bottom w:w="0" w:type="dxa"/>
            <w:right w:w="108" w:type="dxa"/>
          </w:tblCellMar>
        </w:tblPrEx>
        <w:trPr>
          <w:trHeight w:val="10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涉案涉税涉纪财务价格鉴定费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[2010408]物价管理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[30201]办公费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价格调控管理费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[2010408]物价管理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[30201]办公费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r>
      <w:tr>
        <w:tblPrEx>
          <w:tblCellMar>
            <w:top w:w="0" w:type="dxa"/>
            <w:left w:w="108" w:type="dxa"/>
            <w:bottom w:w="0" w:type="dxa"/>
            <w:right w:w="108" w:type="dxa"/>
          </w:tblCellMar>
        </w:tblPrEx>
        <w:trPr>
          <w:trHeight w:val="17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重点工程、转型项目建设、扩权强县、招商引资等经费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[2010402]一般行政管理事务</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CellMar>
            <w:top w:w="0" w:type="dxa"/>
            <w:left w:w="108" w:type="dxa"/>
            <w:bottom w:w="0" w:type="dxa"/>
            <w:right w:w="108" w:type="dxa"/>
          </w:tblCellMar>
        </w:tblPrEx>
        <w:trPr>
          <w:trHeight w:val="11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预发职工2020年度目标责任考核奖</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[30103]奖金</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[04]特定目标类项目</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1773.74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1773.74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1773.74</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1773.74</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天然气安装补贴</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[30399]其他对个人和家庭的补助</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[50999]其他对个人和家庭补助</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成本监审政府购买服务费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[30227]委托业务费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[50205]委托业务费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tblPrEx>
          <w:tblCellMar>
            <w:top w:w="0" w:type="dxa"/>
            <w:left w:w="108" w:type="dxa"/>
            <w:bottom w:w="0" w:type="dxa"/>
            <w:right w:w="108" w:type="dxa"/>
          </w:tblCellMar>
        </w:tblPrEx>
        <w:trPr>
          <w:trHeight w:val="14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社会粮食统计及检查、粮食安全检查及清仓查库经费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[2220101]行政运行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价格监测经费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[2010408]物价管理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粮食测报及原粮调查及市场监督管理和“四无粮食”检查等</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[2220101]行政运行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粮食供需平衡调查</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[2220105]信息统计</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1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推动新型城镇化建设示范县城专项经费（收回资金重新安排）</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r>
      <w:tr>
        <w:tblPrEx>
          <w:tblCellMar>
            <w:top w:w="0" w:type="dxa"/>
            <w:left w:w="108" w:type="dxa"/>
            <w:bottom w:w="0" w:type="dxa"/>
            <w:right w:w="108" w:type="dxa"/>
          </w:tblCellMar>
        </w:tblPrEx>
        <w:trPr>
          <w:trHeight w:val="11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重点工程项目展示版面制作经费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r>
      <w:tr>
        <w:tblPrEx>
          <w:tblCellMar>
            <w:top w:w="0" w:type="dxa"/>
            <w:left w:w="108" w:type="dxa"/>
            <w:bottom w:w="0" w:type="dxa"/>
            <w:right w:w="108" w:type="dxa"/>
          </w:tblCellMar>
        </w:tblPrEx>
        <w:trPr>
          <w:trHeight w:val="12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专项规划编制经费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[2010404]战略规划与实施</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395.00</w:t>
            </w:r>
          </w:p>
        </w:tc>
      </w:tr>
      <w:tr>
        <w:tblPrEx>
          <w:tblCellMar>
            <w:top w:w="0" w:type="dxa"/>
            <w:left w:w="108" w:type="dxa"/>
            <w:bottom w:w="0" w:type="dxa"/>
            <w:right w:w="108" w:type="dxa"/>
          </w:tblCellMar>
        </w:tblPrEx>
        <w:trPr>
          <w:trHeight w:val="112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推进新型城镇化建设示范县城专项经费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上年</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前期课题经费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[2010404]战略规划与实施</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r>
      <w:tr>
        <w:tblPrEx>
          <w:tblCellMar>
            <w:top w:w="0" w:type="dxa"/>
            <w:left w:w="108" w:type="dxa"/>
            <w:bottom w:w="0" w:type="dxa"/>
            <w:right w:w="108" w:type="dxa"/>
          </w:tblCellMar>
        </w:tblPrEx>
        <w:trPr>
          <w:trHeight w:val="112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推进城乡融合发展试点县工作专项经费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r>
      <w:tr>
        <w:tblPrEx>
          <w:tblCellMar>
            <w:top w:w="0" w:type="dxa"/>
            <w:left w:w="108" w:type="dxa"/>
            <w:bottom w:w="0" w:type="dxa"/>
            <w:right w:w="108" w:type="dxa"/>
          </w:tblCellMar>
        </w:tblPrEx>
        <w:trPr>
          <w:trHeight w:val="15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推进城乡融合发展试点县工作专项经费（收回资金重新安排）</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r>
      <w:tr>
        <w:tblPrEx>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前期课题经费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[2010404]战略规划与实施</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县级成品粮储备经费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[2220499]其他粮油储备支出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粮食质检站运行经费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[2220499]其他粮油储备支出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tblPrEx>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申请政策资金争取工作经费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编制费用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[2010404]战略规划与实施</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企业投资项目委托第三方评估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[30227]委托业务费</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[50205]委托业务费</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救灾物资管理经费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《阳城县乡村振兴战略规划产业规划（2018—2022年）》前期费用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w:t>
            </w:r>
          </w:p>
        </w:tc>
      </w:tr>
      <w:tr>
        <w:tblPrEx>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春节粮油及主要副食品价格补贴</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疫情防控物资经费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388.00</w:t>
            </w:r>
          </w:p>
        </w:tc>
      </w:tr>
      <w:tr>
        <w:tblPrEx>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前期课题经费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[2010405]战略规划与实施</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201.24</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201.24</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县级成品粮储备经费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[2220499]其他粮油储备支出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219.40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219.40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219.40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219.40</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236001</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阳城县发展和改革局</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粮食质检站运行经费</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[2220499]其他粮油储备支出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237.56</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237.56</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237.56</w:t>
            </w:r>
          </w:p>
        </w:tc>
      </w:tr>
    </w:tbl>
    <w:p/>
    <w:p/>
    <w:p/>
    <w:p/>
    <w:p/>
    <w:p/>
    <w:p/>
    <w:p/>
    <w:p/>
    <w:p/>
    <w:tbl>
      <w:tblPr>
        <w:tblStyle w:val="4"/>
        <w:tblW w:w="13110" w:type="dxa"/>
        <w:tblInd w:w="93" w:type="dxa"/>
        <w:shd w:val="clear" w:color="auto" w:fill="auto"/>
        <w:tblLayout w:type="autofit"/>
        <w:tblCellMar>
          <w:top w:w="0" w:type="dxa"/>
          <w:left w:w="108" w:type="dxa"/>
          <w:bottom w:w="0" w:type="dxa"/>
          <w:right w:w="108" w:type="dxa"/>
        </w:tblCellMar>
      </w:tblPr>
      <w:tblGrid>
        <w:gridCol w:w="1770"/>
        <w:gridCol w:w="2064"/>
        <w:gridCol w:w="1545"/>
        <w:gridCol w:w="870"/>
        <w:gridCol w:w="945"/>
        <w:gridCol w:w="870"/>
        <w:gridCol w:w="1005"/>
        <w:gridCol w:w="705"/>
        <w:gridCol w:w="900"/>
        <w:gridCol w:w="1020"/>
        <w:gridCol w:w="1416"/>
      </w:tblGrid>
      <w:tr>
        <w:tblPrEx>
          <w:tblCellMar>
            <w:top w:w="0" w:type="dxa"/>
            <w:left w:w="108" w:type="dxa"/>
            <w:bottom w:w="0" w:type="dxa"/>
            <w:right w:w="108" w:type="dxa"/>
          </w:tblCellMar>
        </w:tblPrEx>
        <w:trPr>
          <w:trHeight w:val="489" w:hRule="atLeast"/>
        </w:trPr>
        <w:tc>
          <w:tcPr>
            <w:tcW w:w="13110"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2"/>
                <w:szCs w:val="32"/>
                <w:u w:val="none"/>
              </w:rPr>
            </w:pPr>
            <w:r>
              <w:rPr>
                <w:rFonts w:hint="eastAsia" w:ascii="华文中宋" w:hAnsi="华文中宋" w:eastAsia="华文中宋" w:cs="华文中宋"/>
                <w:b/>
                <w:bCs/>
                <w:i w:val="0"/>
                <w:iCs w:val="0"/>
                <w:color w:val="000000"/>
                <w:kern w:val="0"/>
                <w:sz w:val="32"/>
                <w:szCs w:val="32"/>
                <w:u w:val="none"/>
                <w:lang w:val="en-US" w:eastAsia="zh-CN" w:bidi="ar"/>
              </w:rPr>
              <w:t>预算支出项目分类明细表</w:t>
            </w:r>
          </w:p>
        </w:tc>
      </w:tr>
      <w:tr>
        <w:tblPrEx>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CellMar>
            <w:top w:w="0" w:type="dxa"/>
            <w:left w:w="108" w:type="dxa"/>
            <w:bottom w:w="0" w:type="dxa"/>
            <w:right w:w="108" w:type="dxa"/>
          </w:tblCellMar>
        </w:tblPrEx>
        <w:trPr>
          <w:trHeight w:val="450" w:hRule="atLeast"/>
        </w:trPr>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功能科目编码</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功能科目名称</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43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CellMar>
            <w:top w:w="0" w:type="dxa"/>
            <w:left w:w="108" w:type="dxa"/>
            <w:bottom w:w="0" w:type="dxa"/>
            <w:right w:w="108" w:type="dxa"/>
          </w:tblCellMar>
        </w:tblPrEx>
        <w:trPr>
          <w:trHeight w:val="450" w:hRule="atLeast"/>
        </w:trPr>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基本支出小计</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人员类</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公用经费项目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项目支出小计</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其他运转公用类</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特定目标类</w:t>
            </w:r>
          </w:p>
        </w:tc>
      </w:tr>
      <w:tr>
        <w:tblPrEx>
          <w:tblCellMar>
            <w:top w:w="0" w:type="dxa"/>
            <w:left w:w="108" w:type="dxa"/>
            <w:bottom w:w="0" w:type="dxa"/>
            <w:right w:w="108" w:type="dxa"/>
          </w:tblCellMar>
        </w:tblPrEx>
        <w:trPr>
          <w:trHeight w:val="970" w:hRule="atLeast"/>
        </w:trPr>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人员类小计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工资福利支出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对个人和家庭补助支出</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1,773.74</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1,773.74</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1,773.74</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1,773.74</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1,684.74</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发展与改革事务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1,684.74</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2010401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2010402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2010404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战略规划与实施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651.50</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2010408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物价管理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2010450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2010499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其他发展与改革事务支出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1,032.44</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20899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2089999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21007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计划生育事务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2100799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其他计划生育事务支出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89.00</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22201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粮油物资事务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2220101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2220105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信息统计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22204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粮油储备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2220499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其他粮油储备支出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w:t>
            </w:r>
          </w:p>
        </w:tc>
      </w:tr>
    </w:tbl>
    <w:p/>
    <w:tbl>
      <w:tblPr>
        <w:tblStyle w:val="4"/>
        <w:tblW w:w="5000" w:type="pct"/>
        <w:tblInd w:w="0" w:type="dxa"/>
        <w:shd w:val="clear" w:color="auto" w:fill="auto"/>
        <w:tblLayout w:type="autofit"/>
        <w:tblCellMar>
          <w:top w:w="0" w:type="dxa"/>
          <w:left w:w="108" w:type="dxa"/>
          <w:bottom w:w="0" w:type="dxa"/>
          <w:right w:w="108" w:type="dxa"/>
        </w:tblCellMar>
      </w:tblPr>
      <w:tblGrid>
        <w:gridCol w:w="1116"/>
        <w:gridCol w:w="1479"/>
        <w:gridCol w:w="1436"/>
        <w:gridCol w:w="1142"/>
        <w:gridCol w:w="1641"/>
        <w:gridCol w:w="1667"/>
        <w:gridCol w:w="1358"/>
        <w:gridCol w:w="451"/>
        <w:gridCol w:w="641"/>
        <w:gridCol w:w="757"/>
        <w:gridCol w:w="757"/>
        <w:gridCol w:w="938"/>
        <w:gridCol w:w="791"/>
      </w:tblGrid>
      <w:tr>
        <w:tblPrEx>
          <w:tblCellMar>
            <w:top w:w="0" w:type="dxa"/>
            <w:left w:w="108" w:type="dxa"/>
            <w:bottom w:w="0" w:type="dxa"/>
            <w:right w:w="108" w:type="dxa"/>
          </w:tblCellMar>
        </w:tblPrEx>
        <w:trPr>
          <w:trHeight w:val="600"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人员类及运转类公用预算支出明细表</w:t>
            </w:r>
          </w:p>
        </w:tc>
      </w:tr>
      <w:tr>
        <w:tblPrEx>
          <w:tblCellMar>
            <w:top w:w="0" w:type="dxa"/>
            <w:left w:w="108" w:type="dxa"/>
            <w:bottom w:w="0" w:type="dxa"/>
            <w:right w:w="108" w:type="dxa"/>
          </w:tblCellMar>
        </w:tblPrEx>
        <w:trPr>
          <w:trHeight w:val="270" w:hRule="atLeast"/>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单位编码</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预算资金来源</w:t>
            </w: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支出功能科目</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部门经济科目</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政府经济科目</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分配下达级次</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是否政府采购</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预算总计</w:t>
            </w:r>
          </w:p>
        </w:tc>
        <w:tc>
          <w:tcPr>
            <w:tcW w:w="8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政府预算资金</w:t>
            </w:r>
          </w:p>
        </w:tc>
      </w:tr>
      <w:tr>
        <w:tblPrEx>
          <w:tblCellMar>
            <w:top w:w="0" w:type="dxa"/>
            <w:left w:w="108" w:type="dxa"/>
            <w:bottom w:w="0" w:type="dxa"/>
            <w:right w:w="108" w:type="dxa"/>
          </w:tblCellMar>
        </w:tblPrEx>
        <w:trPr>
          <w:trHeight w:val="300"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政府预算资金合计</w:t>
            </w:r>
          </w:p>
        </w:tc>
        <w:tc>
          <w:tcPr>
            <w:tcW w:w="331" w:type="pct"/>
            <w:tcBorders>
              <w:top w:val="nil"/>
              <w:left w:val="nil"/>
              <w:bottom w:val="nil"/>
              <w:right w:val="nil"/>
            </w:tcBorders>
            <w:shd w:val="clear" w:color="auto" w:fill="auto"/>
            <w:noWrap/>
            <w:vAlign w:val="bottom"/>
          </w:tcPr>
          <w:p>
            <w:pPr>
              <w:rPr>
                <w:rFonts w:hint="eastAsia" w:ascii="Calibri" w:hAnsi="Calibri" w:eastAsia="宋体" w:cs="Calibri"/>
                <w:i w:val="0"/>
                <w:iCs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一般公共预算合计</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财政拨款资金</w:t>
            </w:r>
          </w:p>
        </w:tc>
      </w:tr>
      <w:tr>
        <w:tblPrEx>
          <w:tblCellMar>
            <w:top w:w="0" w:type="dxa"/>
            <w:left w:w="108" w:type="dxa"/>
            <w:bottom w:w="0" w:type="dxa"/>
            <w:right w:w="108" w:type="dxa"/>
          </w:tblCellMar>
        </w:tblPrEx>
        <w:trPr>
          <w:trHeight w:val="27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496.01</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[01]人员支出</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443.86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443.86</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443.86</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443.86</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[30101]基本工资</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77.13</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77.13</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77.13</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77.13</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行政单位津贴补贴</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39.52</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39.52</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行政单位年终一次性奖金</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[30103]奖金</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保留津贴</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在职人员冬季取暖补贴</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女职工卫生费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基本工资</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[30101]基本工资</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125.58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125.58</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125.58</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125.58</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事业单位绩效工资</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[30107]绩效工资</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[50501]工资福利支出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保留津贴</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在职人员冬季取暖补贴</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女职工卫生费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晋档工资</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[30101]基本工资</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基本养老保险单位缴费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[2080505]机关事业单位基本养老保险缴费支出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[30108]机关事业单位基本养老保险缴费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基本医疗保险（含原职工生育保险）</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[2101101]行政单位医疗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[30110]职工基本医疗保险缴费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行政单位工伤保险</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[2089999]其他社会保障和就业支出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[30112]其他社会保障缴费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[2089999]其他社会保障和就业支出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[30112]其他社会保障缴费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基本养老保险单位缴费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[2080505]机关事业单位基本养老保险缴费支出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[30108]机关事业单位基本养老保险缴费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24.50</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基本医疗保险（含原职工生育保险）</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[2101102]事业单位医疗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[30110]职工基本医疗保险缴费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事业单位工伤保险</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[2089999]其他社会保障和就业支出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[30112]其他社会保障缴费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[2089999]其他社会保障和就业支出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[30112]其他社会保障缴费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住房公积金（行政）</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[30113]住房公积金</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[50103]住房公积金</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住房公积金（事业）</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[30113]住房公积金</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[50103]住房公积金</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独生子女父母奖励</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[2100799]其他计划生育事务支出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[30309]奖励金</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[50901]社会福利和救助</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退休人员住宅取暖补贴</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[30302]退休费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[50905]离退休费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[02]公用支出</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52.15</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在职人员一般公用经费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[30201]办公费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在职人员一般公用经费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[31002]办公设备购置</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[50306]设备购置</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22.70</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行政参公单位在职人员公务交通补贴</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[30239]其他交通费用</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[30228]工会经费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r>
      <w:tr>
        <w:tblPrEx>
          <w:tblCellMar>
            <w:top w:w="0" w:type="dxa"/>
            <w:left w:w="108" w:type="dxa"/>
            <w:bottom w:w="0" w:type="dxa"/>
            <w:right w:w="108" w:type="dxa"/>
          </w:tblCellMar>
        </w:tblPrEx>
        <w:trPr>
          <w:trHeight w:val="5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职工福利费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[30229]福利费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r>
    </w:tbl>
    <w:p/>
    <w:tbl>
      <w:tblPr>
        <w:tblStyle w:val="4"/>
        <w:tblW w:w="5000" w:type="pct"/>
        <w:tblInd w:w="0" w:type="dxa"/>
        <w:shd w:val="clear" w:color="auto" w:fill="auto"/>
        <w:tblLayout w:type="autofit"/>
        <w:tblCellMar>
          <w:top w:w="0" w:type="dxa"/>
          <w:left w:w="108" w:type="dxa"/>
          <w:bottom w:w="0" w:type="dxa"/>
          <w:right w:w="108" w:type="dxa"/>
        </w:tblCellMar>
      </w:tblPr>
      <w:tblGrid>
        <w:gridCol w:w="756"/>
        <w:gridCol w:w="646"/>
        <w:gridCol w:w="921"/>
        <w:gridCol w:w="1519"/>
        <w:gridCol w:w="1354"/>
        <w:gridCol w:w="555"/>
        <w:gridCol w:w="1208"/>
        <w:gridCol w:w="1208"/>
        <w:gridCol w:w="993"/>
        <w:gridCol w:w="396"/>
        <w:gridCol w:w="590"/>
        <w:gridCol w:w="428"/>
        <w:gridCol w:w="396"/>
        <w:gridCol w:w="801"/>
        <w:gridCol w:w="801"/>
        <w:gridCol w:w="801"/>
        <w:gridCol w:w="801"/>
      </w:tblGrid>
      <w:tr>
        <w:tblPrEx>
          <w:tblCellMar>
            <w:top w:w="0" w:type="dxa"/>
            <w:left w:w="108" w:type="dxa"/>
            <w:bottom w:w="0" w:type="dxa"/>
            <w:right w:w="108" w:type="dxa"/>
          </w:tblCellMar>
        </w:tblPrEx>
        <w:trPr>
          <w:trHeight w:val="820" w:hRule="atLeast"/>
        </w:trPr>
        <w:tc>
          <w:tcPr>
            <w:tcW w:w="5000" w:type="pct"/>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其他运转类公用及特定目标类资金明细表</w:t>
            </w:r>
          </w:p>
        </w:tc>
      </w:tr>
      <w:tr>
        <w:tblPrEx>
          <w:shd w:val="clear" w:color="auto" w:fill="auto"/>
          <w:tblCellMar>
            <w:top w:w="0" w:type="dxa"/>
            <w:left w:w="108" w:type="dxa"/>
            <w:bottom w:w="0" w:type="dxa"/>
            <w:right w:w="108" w:type="dxa"/>
          </w:tblCellMar>
        </w:tblPrEx>
        <w:trPr>
          <w:trHeight w:val="600" w:hRule="atLeast"/>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一级项目</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单位名称/二级项目</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项目资金管理处室</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功能科目编码名称</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部门经济科目编码名称</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政府经济科目编码名称</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项目层次</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预算来源</w:t>
            </w:r>
          </w:p>
        </w:tc>
        <w:tc>
          <w:tcPr>
            <w:tcW w:w="1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项目分配下达级次</w:t>
            </w:r>
          </w:p>
        </w:tc>
        <w:tc>
          <w:tcPr>
            <w:tcW w:w="1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分配状态</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预算总计</w:t>
            </w:r>
          </w:p>
        </w:tc>
        <w:tc>
          <w:tcPr>
            <w:tcW w:w="7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r>
      <w:tr>
        <w:tblPrEx>
          <w:tblCellMar>
            <w:top w:w="0" w:type="dxa"/>
            <w:left w:w="108" w:type="dxa"/>
            <w:bottom w:w="0" w:type="dxa"/>
            <w:right w:w="108" w:type="dxa"/>
          </w:tblCellMar>
        </w:tblPrEx>
        <w:trPr>
          <w:trHeight w:val="54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政府预算资金合计</w:t>
            </w:r>
          </w:p>
        </w:tc>
        <w:tc>
          <w:tcPr>
            <w:tcW w:w="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一般公共预算资金</w:t>
            </w:r>
          </w:p>
        </w:tc>
      </w:tr>
      <w:tr>
        <w:tblPrEx>
          <w:tblCellMar>
            <w:top w:w="0" w:type="dxa"/>
            <w:left w:w="108" w:type="dxa"/>
            <w:bottom w:w="0" w:type="dxa"/>
            <w:right w:w="108" w:type="dxa"/>
          </w:tblCellMar>
        </w:tblPrEx>
        <w:trPr>
          <w:trHeight w:val="780" w:hRule="atLeast"/>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一般公共预算合计</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财政拨款资金</w:t>
            </w:r>
          </w:p>
        </w:tc>
      </w:tr>
      <w:tr>
        <w:tblPrEx>
          <w:tblCellMar>
            <w:top w:w="0" w:type="dxa"/>
            <w:left w:w="108" w:type="dxa"/>
            <w:bottom w:w="0" w:type="dxa"/>
            <w:right w:w="108" w:type="dxa"/>
          </w:tblCellMar>
        </w:tblPrEx>
        <w:trPr>
          <w:trHeight w:val="27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r>
      <w:tr>
        <w:tblPrEx>
          <w:tblCellMar>
            <w:top w:w="0" w:type="dxa"/>
            <w:left w:w="108" w:type="dxa"/>
            <w:bottom w:w="0" w:type="dxa"/>
            <w:right w:w="108" w:type="dxa"/>
          </w:tblCellMar>
        </w:tblPrEx>
        <w:trPr>
          <w:trHeight w:val="27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r>
      <w:tr>
        <w:tblPrEx>
          <w:tblCellMar>
            <w:top w:w="0" w:type="dxa"/>
            <w:left w:w="108" w:type="dxa"/>
            <w:bottom w:w="0" w:type="dxa"/>
            <w:right w:w="108" w:type="dxa"/>
          </w:tblCellMar>
        </w:tblPrEx>
        <w:trPr>
          <w:trHeight w:val="5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r>
      <w:tr>
        <w:tblPrEx>
          <w:tblCellMar>
            <w:top w:w="0" w:type="dxa"/>
            <w:left w:w="108" w:type="dxa"/>
            <w:bottom w:w="0" w:type="dxa"/>
            <w:right w:w="108" w:type="dxa"/>
          </w:tblCellMar>
        </w:tblPrEx>
        <w:trPr>
          <w:trHeight w:val="7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236001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阳城县发展和改革局</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1940.34</w:t>
            </w:r>
          </w:p>
        </w:tc>
      </w:tr>
      <w:tr>
        <w:tblPrEx>
          <w:tblCellMar>
            <w:top w:w="0" w:type="dxa"/>
            <w:left w:w="108" w:type="dxa"/>
            <w:bottom w:w="0" w:type="dxa"/>
            <w:right w:w="108" w:type="dxa"/>
          </w:tblCellMar>
        </w:tblPrEx>
        <w:trPr>
          <w:trHeight w:val="9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预留民生支出提标及政府办实事资金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天然气安装补贴</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天然气安装补贴</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CellMar>
            <w:top w:w="0" w:type="dxa"/>
            <w:left w:w="108" w:type="dxa"/>
            <w:bottom w:w="0" w:type="dxa"/>
            <w:right w:w="108" w:type="dxa"/>
          </w:tblCellMar>
        </w:tblPrEx>
        <w:trPr>
          <w:trHeight w:val="13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预算业务股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[30399]其他对个人和家庭的补助</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[50999]其他对个人和家庭补助</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CellMar>
            <w:top w:w="0" w:type="dxa"/>
            <w:left w:w="108" w:type="dxa"/>
            <w:bottom w:w="0" w:type="dxa"/>
            <w:right w:w="108" w:type="dxa"/>
          </w:tblCellMar>
        </w:tblPrEx>
        <w:trPr>
          <w:trHeight w:val="5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统计调查专项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成本监审政府购买服务费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成本监审政府购买服务费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tblPrEx>
          <w:tblCellMar>
            <w:top w:w="0" w:type="dxa"/>
            <w:left w:w="108" w:type="dxa"/>
            <w:bottom w:w="0" w:type="dxa"/>
            <w:right w:w="108" w:type="dxa"/>
          </w:tblCellMar>
        </w:tblPrEx>
        <w:trPr>
          <w:trHeight w:val="9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[30227]委托业务费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[50205]委托业务费</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tblPrEx>
          <w:tblCellMar>
            <w:top w:w="0" w:type="dxa"/>
            <w:left w:w="108" w:type="dxa"/>
            <w:bottom w:w="0" w:type="dxa"/>
            <w:right w:w="108" w:type="dxa"/>
          </w:tblCellMar>
        </w:tblPrEx>
        <w:trPr>
          <w:trHeight w:val="8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统计调查专项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社会粮食统计及检查、粮食安全检查及清仓查库经费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社会粮食统计及检查、粮食安全检查及清仓查库经费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9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[2220101]行政运行</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5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统计调查专项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价格监测经费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价格监测经费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r>
      <w:tr>
        <w:tblPrEx>
          <w:tblCellMar>
            <w:top w:w="0" w:type="dxa"/>
            <w:left w:w="108" w:type="dxa"/>
            <w:bottom w:w="0" w:type="dxa"/>
            <w:right w:w="108" w:type="dxa"/>
          </w:tblCellMar>
        </w:tblPrEx>
        <w:trPr>
          <w:trHeight w:val="8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[2010408]物价管理</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w:t>
            </w:r>
          </w:p>
        </w:tc>
      </w:tr>
      <w:tr>
        <w:tblPrEx>
          <w:tblCellMar>
            <w:top w:w="0" w:type="dxa"/>
            <w:left w:w="108" w:type="dxa"/>
            <w:bottom w:w="0" w:type="dxa"/>
            <w:right w:w="108" w:type="dxa"/>
          </w:tblCellMar>
        </w:tblPrEx>
        <w:trPr>
          <w:trHeight w:val="11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统计调查专项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粮食测报及原粮调查及市场监督管理和“四无粮食”检查等</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粮食测报及原粮调查及市场监督管理和“四无粮食”检查等</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8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[2220101]行政运行</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5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统计调查专项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粮食供需平衡调查</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粮食供需平衡调查</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9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[2220105]信息统计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CellMar>
            <w:top w:w="0" w:type="dxa"/>
            <w:left w:w="108" w:type="dxa"/>
            <w:bottom w:w="0" w:type="dxa"/>
            <w:right w:w="108" w:type="dxa"/>
          </w:tblCellMar>
        </w:tblPrEx>
        <w:trPr>
          <w:trHeight w:val="11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城镇建设与发展专项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推动新型城镇化建设示范县城专项经费（收回资金重新安排）</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推动新型城镇化建设示范县城专项经费（收回资金重新安排）</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r>
      <w:tr>
        <w:tblPrEx>
          <w:tblCellMar>
            <w:top w:w="0" w:type="dxa"/>
            <w:left w:w="108" w:type="dxa"/>
            <w:bottom w:w="0" w:type="dxa"/>
            <w:right w:w="108" w:type="dxa"/>
          </w:tblCellMar>
        </w:tblPrEx>
        <w:trPr>
          <w:trHeight w:val="9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r>
      <w:tr>
        <w:tblPrEx>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城镇建设与发展专项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重点工程项目展示版面制作经费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重点工程项目展示版面制作经费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r>
      <w:tr>
        <w:tblPrEx>
          <w:tblCellMar>
            <w:top w:w="0" w:type="dxa"/>
            <w:left w:w="108" w:type="dxa"/>
            <w:bottom w:w="0" w:type="dxa"/>
            <w:right w:w="108" w:type="dxa"/>
          </w:tblCellMar>
        </w:tblPrEx>
        <w:trPr>
          <w:trHeight w:val="10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城镇建设与发展专项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专项规划编制经费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专项规划编制经费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395.00</w:t>
            </w:r>
          </w:p>
        </w:tc>
      </w:tr>
      <w:tr>
        <w:tblPrEx>
          <w:tblCellMar>
            <w:top w:w="0" w:type="dxa"/>
            <w:left w:w="108" w:type="dxa"/>
            <w:bottom w:w="0" w:type="dxa"/>
            <w:right w:w="108" w:type="dxa"/>
          </w:tblCellMar>
        </w:tblPrEx>
        <w:trPr>
          <w:trHeight w:val="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[2010404]战略规划与实施</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395.00</w:t>
            </w:r>
          </w:p>
        </w:tc>
      </w:tr>
      <w:tr>
        <w:tblPrEx>
          <w:tblCellMar>
            <w:top w:w="0" w:type="dxa"/>
            <w:left w:w="108" w:type="dxa"/>
            <w:bottom w:w="0" w:type="dxa"/>
            <w:right w:w="108" w:type="dxa"/>
          </w:tblCellMar>
        </w:tblPrEx>
        <w:trPr>
          <w:trHeight w:val="8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城镇建设与发展专项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推进新型城镇化建设示范县城专项经费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推进新型城镇化建设示范县城专项经费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CellMar>
            <w:top w:w="0" w:type="dxa"/>
            <w:left w:w="108" w:type="dxa"/>
            <w:bottom w:w="0" w:type="dxa"/>
            <w:right w:w="108" w:type="dxa"/>
          </w:tblCellMar>
        </w:tblPrEx>
        <w:trPr>
          <w:trHeight w:val="8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CellMar>
            <w:top w:w="0" w:type="dxa"/>
            <w:left w:w="108" w:type="dxa"/>
            <w:bottom w:w="0" w:type="dxa"/>
            <w:right w:w="108" w:type="dxa"/>
          </w:tblCellMar>
        </w:tblPrEx>
        <w:trPr>
          <w:trHeight w:val="5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城镇建设与发展专项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前期课题经费（收回资金重新安排）</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上年</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前期课题经费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r>
      <w:tr>
        <w:tblPrEx>
          <w:tblCellMar>
            <w:top w:w="0" w:type="dxa"/>
            <w:left w:w="108" w:type="dxa"/>
            <w:bottom w:w="0" w:type="dxa"/>
            <w:right w:w="108" w:type="dxa"/>
          </w:tblCellMar>
        </w:tblPrEx>
        <w:trPr>
          <w:trHeight w:val="10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[2010404]战略规划与实施</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r>
      <w:tr>
        <w:tblPrEx>
          <w:tblCellMar>
            <w:top w:w="0" w:type="dxa"/>
            <w:left w:w="108" w:type="dxa"/>
            <w:bottom w:w="0" w:type="dxa"/>
            <w:right w:w="108" w:type="dxa"/>
          </w:tblCellMar>
        </w:tblPrEx>
        <w:trPr>
          <w:trHeight w:val="8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城镇建设与发展专项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推进城乡融合发展试点县工作专项经费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推进城乡融合发展试点县工作专项经费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r>
      <w:tr>
        <w:tblPrEx>
          <w:tblCellMar>
            <w:top w:w="0" w:type="dxa"/>
            <w:left w:w="108" w:type="dxa"/>
            <w:bottom w:w="0" w:type="dxa"/>
            <w:right w:w="108" w:type="dxa"/>
          </w:tblCellMar>
        </w:tblPrEx>
        <w:trPr>
          <w:trHeight w:val="9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r>
      <w:tr>
        <w:tblPrEx>
          <w:tblCellMar>
            <w:top w:w="0" w:type="dxa"/>
            <w:left w:w="108" w:type="dxa"/>
            <w:bottom w:w="0" w:type="dxa"/>
            <w:right w:w="108" w:type="dxa"/>
          </w:tblCellMar>
        </w:tblPrEx>
        <w:trPr>
          <w:trHeight w:val="10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城镇建设与发展专项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推进城乡融合发展试点县工作专项经费（收回资金重新安排）</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推进城乡融合发展试点县工作专项经费（收回资金重新安排）</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r>
      <w:tr>
        <w:tblPrEx>
          <w:tblCellMar>
            <w:top w:w="0" w:type="dxa"/>
            <w:left w:w="108" w:type="dxa"/>
            <w:bottom w:w="0" w:type="dxa"/>
            <w:right w:w="108" w:type="dxa"/>
          </w:tblCellMar>
        </w:tblPrEx>
        <w:trPr>
          <w:trHeight w:val="5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r>
      <w:tr>
        <w:tblPrEx>
          <w:tblCellMar>
            <w:top w:w="0" w:type="dxa"/>
            <w:left w:w="108" w:type="dxa"/>
            <w:bottom w:w="0" w:type="dxa"/>
            <w:right w:w="108" w:type="dxa"/>
          </w:tblCellMar>
        </w:tblPrEx>
        <w:trPr>
          <w:trHeight w:val="5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城镇建设与发展专项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前期课题经费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前期课题经费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r>
      <w:tr>
        <w:tblPrEx>
          <w:tblCellMar>
            <w:top w:w="0" w:type="dxa"/>
            <w:left w:w="108" w:type="dxa"/>
            <w:bottom w:w="0" w:type="dxa"/>
            <w:right w:w="108" w:type="dxa"/>
          </w:tblCellMar>
        </w:tblPrEx>
        <w:trPr>
          <w:trHeight w:val="10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[2010404]战略规划与实施</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r>
      <w:tr>
        <w:tblPrEx>
          <w:tblCellMar>
            <w:top w:w="0" w:type="dxa"/>
            <w:left w:w="108" w:type="dxa"/>
            <w:bottom w:w="0" w:type="dxa"/>
            <w:right w:w="108" w:type="dxa"/>
          </w:tblCellMar>
        </w:tblPrEx>
        <w:trPr>
          <w:trHeight w:val="5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粮食事务专项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县级成品粮储备经费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县级成品粮储备经费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r>
      <w:tr>
        <w:tblPrEx>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[2220499]其他粮油储备支出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r>
      <w:tr>
        <w:tblPrEx>
          <w:tblCellMar>
            <w:top w:w="0" w:type="dxa"/>
            <w:left w:w="108" w:type="dxa"/>
            <w:bottom w:w="0" w:type="dxa"/>
            <w:right w:w="108" w:type="dxa"/>
          </w:tblCellMar>
        </w:tblPrEx>
        <w:trPr>
          <w:trHeight w:val="5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粮食事务专项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粮食质检站运行经费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粮食质检站运行经费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tblPrEx>
          <w:tblCellMar>
            <w:top w:w="0" w:type="dxa"/>
            <w:left w:w="108" w:type="dxa"/>
            <w:bottom w:w="0" w:type="dxa"/>
            <w:right w:w="108" w:type="dxa"/>
          </w:tblCellMar>
        </w:tblPrEx>
        <w:trPr>
          <w:trHeight w:val="112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[2220499]其他粮油储备支出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tblPrEx>
          <w:tblCellMar>
            <w:top w:w="0" w:type="dxa"/>
            <w:left w:w="108" w:type="dxa"/>
            <w:bottom w:w="0" w:type="dxa"/>
            <w:right w:w="108" w:type="dxa"/>
          </w:tblCellMar>
        </w:tblPrEx>
        <w:trPr>
          <w:trHeight w:val="4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城镇建设与发展专项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申请政策资金争取工作经费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申请政策资金争取工作经费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tblPrEx>
          <w:tblCellMar>
            <w:top w:w="0" w:type="dxa"/>
            <w:left w:w="108" w:type="dxa"/>
            <w:bottom w:w="0" w:type="dxa"/>
            <w:right w:w="108" w:type="dxa"/>
          </w:tblCellMar>
        </w:tblPrEx>
        <w:trPr>
          <w:trHeight w:val="13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tblPrEx>
          <w:tblCellMar>
            <w:top w:w="0" w:type="dxa"/>
            <w:left w:w="108" w:type="dxa"/>
            <w:bottom w:w="0" w:type="dxa"/>
            <w:right w:w="108" w:type="dxa"/>
          </w:tblCellMar>
        </w:tblPrEx>
        <w:trPr>
          <w:trHeight w:val="4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城镇建设与发展专项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编制费用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Fonts w:hint="eastAsia" w:ascii="宋体" w:hAnsi="宋体" w:cs="宋体"/>
                <w:i w:val="0"/>
                <w:iCs w:val="0"/>
                <w:color w:val="000000"/>
                <w:kern w:val="0"/>
                <w:sz w:val="18"/>
                <w:szCs w:val="18"/>
                <w:u w:val="none"/>
                <w:lang w:val="en-US" w:eastAsia="zh-CN" w:bidi="ar"/>
              </w:rPr>
              <w:t>“十四五”规划</w:t>
            </w:r>
            <w:r>
              <w:rPr>
                <w:rFonts w:hint="eastAsia" w:ascii="宋体" w:hAnsi="宋体" w:eastAsia="宋体" w:cs="宋体"/>
                <w:i w:val="0"/>
                <w:iCs w:val="0"/>
                <w:color w:val="000000"/>
                <w:kern w:val="0"/>
                <w:sz w:val="18"/>
                <w:szCs w:val="18"/>
                <w:u w:val="none"/>
                <w:lang w:val="en-US" w:eastAsia="zh-CN" w:bidi="ar"/>
              </w:rPr>
              <w:t>编制费用</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CellMar>
            <w:top w:w="0" w:type="dxa"/>
            <w:left w:w="108" w:type="dxa"/>
            <w:bottom w:w="0" w:type="dxa"/>
            <w:right w:w="108" w:type="dxa"/>
          </w:tblCellMar>
        </w:tblPrEx>
        <w:trPr>
          <w:trHeight w:val="13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[2010404]战略规划与实施</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城镇建设与发展专项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企业投资项目委托第三方评估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企业投资项目委托第三方评估</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tblPrEx>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[30227]委托业务费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[50205]委托业务费</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tblPrEx>
          <w:tblCellMar>
            <w:top w:w="0" w:type="dxa"/>
            <w:left w:w="108" w:type="dxa"/>
            <w:bottom w:w="0" w:type="dxa"/>
            <w:right w:w="108" w:type="dxa"/>
          </w:tblCellMar>
        </w:tblPrEx>
        <w:trPr>
          <w:trHeight w:val="4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物资储备专项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救灾物资管理经费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救灾物资管理经费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CellMar>
            <w:top w:w="0" w:type="dxa"/>
            <w:left w:w="108" w:type="dxa"/>
            <w:bottom w:w="0" w:type="dxa"/>
            <w:right w:w="108" w:type="dxa"/>
          </w:tblCellMar>
        </w:tblPrEx>
        <w:trPr>
          <w:trHeight w:val="13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CellMar>
            <w:top w:w="0" w:type="dxa"/>
            <w:left w:w="108" w:type="dxa"/>
            <w:bottom w:w="0" w:type="dxa"/>
            <w:right w:w="108" w:type="dxa"/>
          </w:tblCellMar>
        </w:tblPrEx>
        <w:trPr>
          <w:trHeight w:val="112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乡村振兴专项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《阳城县乡村振兴战略规划产业规划（2018—2022年）》前期费用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《阳城县乡村振兴战略规划产业规划（2018—2022年）》前期费用</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w:t>
            </w:r>
          </w:p>
        </w:tc>
      </w:tr>
      <w:tr>
        <w:tblPrEx>
          <w:tblCellMar>
            <w:top w:w="0" w:type="dxa"/>
            <w:left w:w="108" w:type="dxa"/>
            <w:bottom w:w="0" w:type="dxa"/>
            <w:right w:w="108" w:type="dxa"/>
          </w:tblCellMar>
        </w:tblPrEx>
        <w:trPr>
          <w:trHeight w:val="13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w:t>
            </w:r>
          </w:p>
        </w:tc>
      </w:tr>
      <w:tr>
        <w:tblPrEx>
          <w:tblCellMar>
            <w:top w:w="0" w:type="dxa"/>
            <w:left w:w="108" w:type="dxa"/>
            <w:bottom w:w="0" w:type="dxa"/>
            <w:right w:w="108" w:type="dxa"/>
          </w:tblCellMar>
        </w:tblPrEx>
        <w:trPr>
          <w:trHeight w:val="4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预留民生支出提标及政府办实事资金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春节粮油及主要副食品价格补贴</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春节粮油及主要副食品价格补贴</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r>
      <w:tr>
        <w:tblPrEx>
          <w:tblCellMar>
            <w:top w:w="0" w:type="dxa"/>
            <w:left w:w="108" w:type="dxa"/>
            <w:bottom w:w="0" w:type="dxa"/>
            <w:right w:w="108" w:type="dxa"/>
          </w:tblCellMar>
        </w:tblPrEx>
        <w:trPr>
          <w:trHeight w:val="13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r>
      <w:tr>
        <w:tblPrEx>
          <w:tblCellMar>
            <w:top w:w="0" w:type="dxa"/>
            <w:left w:w="108" w:type="dxa"/>
            <w:bottom w:w="0" w:type="dxa"/>
            <w:right w:w="108" w:type="dxa"/>
          </w:tblCellMar>
        </w:tblPrEx>
        <w:trPr>
          <w:trHeight w:val="27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公共卫生专项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疫情防控物资经费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疫情防控物资经费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388.00</w:t>
            </w:r>
          </w:p>
        </w:tc>
      </w:tr>
      <w:tr>
        <w:tblPrEx>
          <w:tblCellMar>
            <w:top w:w="0" w:type="dxa"/>
            <w:left w:w="108" w:type="dxa"/>
            <w:bottom w:w="0" w:type="dxa"/>
            <w:right w:w="108" w:type="dxa"/>
          </w:tblCellMar>
        </w:tblPrEx>
        <w:trPr>
          <w:trHeight w:val="13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[2010499]其他发展与改革事务支出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388.00</w:t>
            </w:r>
          </w:p>
        </w:tc>
      </w:tr>
      <w:tr>
        <w:tblPrEx>
          <w:tblCellMar>
            <w:top w:w="0" w:type="dxa"/>
            <w:left w:w="108" w:type="dxa"/>
            <w:bottom w:w="0" w:type="dxa"/>
            <w:right w:w="108" w:type="dxa"/>
          </w:tblCellMar>
        </w:tblPrEx>
        <w:trPr>
          <w:trHeight w:val="4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其他经费补助类项目</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其他经费补助类项目</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追加办公经费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[2010450]事业运行</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[30201]办公费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r>
      <w:tr>
        <w:tblPrEx>
          <w:tblCellMar>
            <w:top w:w="0" w:type="dxa"/>
            <w:left w:w="108" w:type="dxa"/>
            <w:bottom w:w="0" w:type="dxa"/>
            <w:right w:w="108" w:type="dxa"/>
          </w:tblCellMar>
        </w:tblPrEx>
        <w:trPr>
          <w:trHeight w:val="4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单位运转经费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单位运转经费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涉案涉税涉纪财务价格鉴定费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[2010408]物价管理</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[30201]办公费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CellMar>
            <w:top w:w="0" w:type="dxa"/>
            <w:left w:w="108" w:type="dxa"/>
            <w:bottom w:w="0" w:type="dxa"/>
            <w:right w:w="108" w:type="dxa"/>
          </w:tblCellMar>
        </w:tblPrEx>
        <w:trPr>
          <w:trHeight w:val="4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单位运转经费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单位运转经费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价格调控管理费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[2010408]物价管理</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[30201]办公费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47.00</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专项业务工作经费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专项业务工作经费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重点工程、转型项目建设、扩权强县、招商引资等经费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CellMar>
            <w:top w:w="0" w:type="dxa"/>
            <w:left w:w="108" w:type="dxa"/>
            <w:bottom w:w="0" w:type="dxa"/>
            <w:right w:w="108" w:type="dxa"/>
          </w:tblCellMar>
        </w:tblPrEx>
        <w:trPr>
          <w:trHeight w:val="13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[2010402]一般行政管理事务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CellMar>
            <w:top w:w="0" w:type="dxa"/>
            <w:left w:w="108" w:type="dxa"/>
            <w:bottom w:w="0" w:type="dxa"/>
            <w:right w:w="108" w:type="dxa"/>
          </w:tblCellMar>
        </w:tblPrEx>
        <w:trPr>
          <w:trHeight w:val="6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其他经费补助类项目（待分配）</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其他经费补助类项目（待分配）</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预发职工2020年度目标责任考核奖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r>
      <w:tr>
        <w:tblPrEx>
          <w:tblCellMar>
            <w:top w:w="0" w:type="dxa"/>
            <w:left w:w="108" w:type="dxa"/>
            <w:bottom w:w="0" w:type="dxa"/>
            <w:right w:w="108" w:type="dxa"/>
          </w:tblCellMar>
        </w:tblPrEx>
        <w:trPr>
          <w:trHeight w:val="9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行财股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[2010401]行政运行</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[30103]奖金</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年初本级支出</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w:t>
            </w:r>
          </w:p>
        </w:tc>
        <w:tc>
          <w:tcPr>
            <w:tcW w:w="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已分配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w:t>
            </w:r>
          </w:p>
        </w:tc>
      </w:tr>
    </w:tbl>
    <w:p/>
    <w:p/>
    <w:p/>
    <w:p/>
    <w:p/>
    <w:p/>
    <w:p/>
    <w:p/>
    <w:p/>
    <w:p/>
    <w:p/>
    <w:p>
      <w:r>
        <w:object>
          <v:shape id="_x0000_i1027" o:spt="75" type="#_x0000_t75" style="height:317.65pt;width:697.7pt;" o:ole="t" filled="f" o:preferrelative="t" stroked="f" coordsize="21600,21600">
            <v:path/>
            <v:fill on="f" focussize="0,0"/>
            <v:stroke on="f"/>
            <v:imagedata r:id="rId9" o:title=""/>
            <o:lock v:ext="edit" aspectratio="f"/>
            <w10:wrap type="none"/>
            <w10:anchorlock/>
          </v:shape>
          <o:OLEObject Type="Embed" ProgID="" ShapeID="_x0000_i1027" DrawAspect="Content" ObjectID="_1468075727" r:id="rId8">
            <o:LockedField>false</o:LockedField>
          </o:OLEObject>
        </w:object>
      </w:r>
    </w:p>
    <w:p/>
    <w:p/>
    <w:p/>
    <w:p/>
    <w:p/>
    <w:p/>
    <w:p>
      <w:pPr>
        <w:rPr>
          <w:rFonts w:hint="eastAsia" w:eastAsia="宋体"/>
          <w:lang w:eastAsia="zh-CN"/>
        </w:rPr>
        <w:sectPr>
          <w:pgSz w:w="16838" w:h="11906" w:orient="landscape"/>
          <w:pgMar w:top="1633" w:right="1440" w:bottom="1519" w:left="1440" w:header="851" w:footer="992" w:gutter="0"/>
          <w:cols w:space="425" w:num="1"/>
          <w:docGrid w:type="lines" w:linePitch="312" w:charSpace="0"/>
        </w:sectPr>
      </w:pPr>
    </w:p>
    <w:tbl>
      <w:tblPr>
        <w:tblStyle w:val="4"/>
        <w:tblW w:w="4998" w:type="pct"/>
        <w:tblInd w:w="0" w:type="dxa"/>
        <w:shd w:val="clear" w:color="auto" w:fill="auto"/>
        <w:tblLayout w:type="autofit"/>
        <w:tblCellMar>
          <w:top w:w="0" w:type="dxa"/>
          <w:left w:w="108" w:type="dxa"/>
          <w:bottom w:w="0" w:type="dxa"/>
          <w:right w:w="108" w:type="dxa"/>
        </w:tblCellMar>
      </w:tblPr>
      <w:tblGrid>
        <w:gridCol w:w="1714"/>
        <w:gridCol w:w="995"/>
        <w:gridCol w:w="2274"/>
        <w:gridCol w:w="968"/>
        <w:gridCol w:w="1347"/>
        <w:gridCol w:w="1668"/>
      </w:tblGrid>
      <w:tr>
        <w:tblPrEx>
          <w:tblCellMar>
            <w:top w:w="0" w:type="dxa"/>
            <w:left w:w="108" w:type="dxa"/>
            <w:bottom w:w="0" w:type="dxa"/>
            <w:right w:w="108" w:type="dxa"/>
          </w:tblCellMar>
        </w:tblPrEx>
        <w:trPr>
          <w:trHeight w:val="300" w:hRule="atLeast"/>
        </w:trPr>
        <w:tc>
          <w:tcPr>
            <w:tcW w:w="956"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55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26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40"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5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2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2"/>
                <w:szCs w:val="32"/>
                <w:u w:val="none"/>
              </w:rPr>
            </w:pPr>
            <w:r>
              <w:rPr>
                <w:rFonts w:hint="eastAsia" w:ascii="华文中宋" w:hAnsi="华文中宋" w:eastAsia="华文中宋" w:cs="华文中宋"/>
                <w:b/>
                <w:bCs/>
                <w:i w:val="0"/>
                <w:iCs w:val="0"/>
                <w:color w:val="000000"/>
                <w:kern w:val="0"/>
                <w:sz w:val="32"/>
                <w:szCs w:val="32"/>
                <w:u w:val="none"/>
                <w:lang w:val="en-US" w:eastAsia="zh-CN" w:bidi="ar"/>
              </w:rPr>
              <w:t>2021年财政拨款收支总表</w:t>
            </w:r>
          </w:p>
        </w:tc>
      </w:tr>
      <w:tr>
        <w:tblPrEx>
          <w:tblCellMar>
            <w:top w:w="0" w:type="dxa"/>
            <w:left w:w="108" w:type="dxa"/>
            <w:bottom w:w="0" w:type="dxa"/>
            <w:right w:w="108" w:type="dxa"/>
          </w:tblCellMar>
        </w:tblPrEx>
        <w:trPr>
          <w:trHeight w:val="255" w:hRule="atLeast"/>
        </w:trPr>
        <w:tc>
          <w:tcPr>
            <w:tcW w:w="95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55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26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54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75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927"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420" w:hRule="atLeast"/>
        </w:trPr>
        <w:tc>
          <w:tcPr>
            <w:tcW w:w="1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收入</w:t>
            </w:r>
          </w:p>
        </w:tc>
        <w:tc>
          <w:tcPr>
            <w:tcW w:w="348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w:t>
            </w:r>
          </w:p>
        </w:tc>
      </w:tr>
      <w:tr>
        <w:tblPrEx>
          <w:tblCellMar>
            <w:top w:w="0" w:type="dxa"/>
            <w:left w:w="108" w:type="dxa"/>
            <w:bottom w:w="0" w:type="dxa"/>
            <w:right w:w="108" w:type="dxa"/>
          </w:tblCellMar>
        </w:tblPrEx>
        <w:trPr>
          <w:trHeight w:val="420" w:hRule="atLeast"/>
        </w:trPr>
        <w:tc>
          <w:tcPr>
            <w:tcW w:w="9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12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22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r>
      <w:tr>
        <w:tblPrEx>
          <w:tblCellMar>
            <w:top w:w="0" w:type="dxa"/>
            <w:left w:w="108" w:type="dxa"/>
            <w:bottom w:w="0" w:type="dxa"/>
            <w:right w:w="108" w:type="dxa"/>
          </w:tblCellMar>
        </w:tblPrEx>
        <w:trPr>
          <w:trHeight w:val="420" w:hRule="atLeast"/>
        </w:trPr>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w:t>
            </w: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2,282.83</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2,282.83</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4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二、纳入预算管理的政府性基金</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外交支出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科学技术支出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45.86</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社会保险基金支出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18.66</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节能环保支出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资源勘探工业信息等支出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商业服务业等支出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援助其他地区支出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自然资源海洋气象等支出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粮油物资储备支出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89.00</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89.00</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灾害防治及应急管理支出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预备费</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转移性支出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债务还本支出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债务付息支出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债务发行费用支出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抗疫特别国债安排的支出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2,436.35</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tbl>
      <w:tblPr>
        <w:tblStyle w:val="4"/>
        <w:tblW w:w="4997" w:type="pct"/>
        <w:tblInd w:w="0" w:type="dxa"/>
        <w:shd w:val="clear" w:color="auto" w:fill="auto"/>
        <w:tblLayout w:type="autofit"/>
        <w:tblCellMar>
          <w:top w:w="0" w:type="dxa"/>
          <w:left w:w="108" w:type="dxa"/>
          <w:bottom w:w="0" w:type="dxa"/>
          <w:right w:w="108" w:type="dxa"/>
        </w:tblCellMar>
      </w:tblPr>
      <w:tblGrid>
        <w:gridCol w:w="1096"/>
        <w:gridCol w:w="4176"/>
        <w:gridCol w:w="1215"/>
        <w:gridCol w:w="1239"/>
        <w:gridCol w:w="1239"/>
      </w:tblGrid>
      <w:tr>
        <w:tblPrEx>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2"/>
                <w:szCs w:val="32"/>
                <w:u w:val="none"/>
              </w:rPr>
            </w:pPr>
            <w:r>
              <w:rPr>
                <w:rFonts w:hint="eastAsia" w:ascii="华文中宋" w:hAnsi="华文中宋" w:eastAsia="华文中宋" w:cs="华文中宋"/>
                <w:b/>
                <w:bCs/>
                <w:i w:val="0"/>
                <w:iCs w:val="0"/>
                <w:color w:val="000000"/>
                <w:kern w:val="0"/>
                <w:sz w:val="32"/>
                <w:szCs w:val="32"/>
                <w:u w:val="none"/>
                <w:lang w:val="en-US" w:eastAsia="zh-CN" w:bidi="ar"/>
              </w:rPr>
              <w:t>2021年一般预算支出预算表</w:t>
            </w:r>
          </w:p>
        </w:tc>
      </w:tr>
      <w:tr>
        <w:tblPrEx>
          <w:tblCellMar>
            <w:top w:w="0" w:type="dxa"/>
            <w:left w:w="108" w:type="dxa"/>
            <w:bottom w:w="0" w:type="dxa"/>
            <w:right w:w="108" w:type="dxa"/>
          </w:tblCellMar>
        </w:tblPrEx>
        <w:trPr>
          <w:trHeight w:val="300" w:hRule="atLeast"/>
        </w:trPr>
        <w:tc>
          <w:tcPr>
            <w:tcW w:w="61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2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9"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450" w:hRule="atLeast"/>
        </w:trPr>
        <w:tc>
          <w:tcPr>
            <w:tcW w:w="29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2021年预算数</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2,436.35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496.01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1,940.34</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2,282.83</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1,851.34</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04</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发展与改革事务</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2,282.83</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1,851.34</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01</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行政运行</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24.60</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02</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一般行政管理事务</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04</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战略规划与实施</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651.50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651.50</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08</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物价管理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50</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事业运行</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255.79</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99</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其他发展与改革事务支出</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1,032.44</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1,032.44</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45.86</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05</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行政事业单位养老支出</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05</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机关事业单位基本养老保险缴费支出</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44.61</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99</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其他社会保障和就业支出</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99</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其他社会保障和就业支出</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07</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计划生育事务</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99</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其他计划生育事务支出</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11</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行政事业单位医疗</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01</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行政单位医疗</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02</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事业单位医疗</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89.00</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01</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粮油物资事务</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01</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行政运行</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05</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信息统计</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04</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粮油储备</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r>
      <w:tr>
        <w:tblPrEx>
          <w:tblCellMar>
            <w:top w:w="0" w:type="dxa"/>
            <w:left w:w="108" w:type="dxa"/>
            <w:bottom w:w="0" w:type="dxa"/>
            <w:right w:w="108" w:type="dxa"/>
          </w:tblCellMar>
        </w:tblPrEx>
        <w:trPr>
          <w:trHeight w:val="450" w:hRule="atLeast"/>
        </w:trPr>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99</w:t>
            </w:r>
          </w:p>
        </w:tc>
        <w:tc>
          <w:tcPr>
            <w:tcW w:w="2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其他粮油储备支出</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r>
    </w:tbl>
    <w:p>
      <w:pPr>
        <w:rPr>
          <w:rFonts w:hint="eastAsia" w:eastAsia="宋体"/>
          <w:lang w:eastAsia="zh-CN"/>
        </w:rPr>
      </w:pPr>
    </w:p>
    <w:tbl>
      <w:tblPr>
        <w:tblStyle w:val="4"/>
        <w:tblW w:w="8835" w:type="dxa"/>
        <w:tblInd w:w="93" w:type="dxa"/>
        <w:shd w:val="clear" w:color="auto" w:fill="auto"/>
        <w:tblLayout w:type="autofit"/>
        <w:tblCellMar>
          <w:top w:w="0" w:type="dxa"/>
          <w:left w:w="108" w:type="dxa"/>
          <w:bottom w:w="0" w:type="dxa"/>
          <w:right w:w="108" w:type="dxa"/>
        </w:tblCellMar>
      </w:tblPr>
      <w:tblGrid>
        <w:gridCol w:w="5646"/>
        <w:gridCol w:w="1389"/>
        <w:gridCol w:w="1800"/>
      </w:tblGrid>
      <w:tr>
        <w:tblPrEx>
          <w:tblCellMar>
            <w:top w:w="0" w:type="dxa"/>
            <w:left w:w="108" w:type="dxa"/>
            <w:bottom w:w="0" w:type="dxa"/>
            <w:right w:w="108" w:type="dxa"/>
          </w:tblCellMar>
        </w:tblPrEx>
        <w:trPr>
          <w:trHeight w:val="720" w:hRule="atLeast"/>
        </w:trPr>
        <w:tc>
          <w:tcPr>
            <w:tcW w:w="8835"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一般公共预算安排基本支出分经济科目表</w:t>
            </w:r>
          </w:p>
        </w:tc>
      </w:tr>
      <w:tr>
        <w:tblPrEx>
          <w:shd w:val="clear" w:color="auto" w:fill="auto"/>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经济科目名称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tbl>
      <w:tblPr>
        <w:tblStyle w:val="4"/>
        <w:tblW w:w="8520" w:type="dxa"/>
        <w:tblInd w:w="93" w:type="dxa"/>
        <w:shd w:val="clear" w:color="auto" w:fill="auto"/>
        <w:tblLayout w:type="autofit"/>
        <w:tblCellMar>
          <w:top w:w="0" w:type="dxa"/>
          <w:left w:w="108" w:type="dxa"/>
          <w:bottom w:w="0" w:type="dxa"/>
          <w:right w:w="108" w:type="dxa"/>
        </w:tblCellMar>
      </w:tblPr>
      <w:tblGrid>
        <w:gridCol w:w="4920"/>
        <w:gridCol w:w="3600"/>
      </w:tblGrid>
      <w:tr>
        <w:tblPrEx>
          <w:tblCellMar>
            <w:top w:w="0" w:type="dxa"/>
            <w:left w:w="108" w:type="dxa"/>
            <w:bottom w:w="0" w:type="dxa"/>
            <w:right w:w="108" w:type="dxa"/>
          </w:tblCellMar>
        </w:tblPrEx>
        <w:trPr>
          <w:trHeight w:val="420" w:hRule="atLeast"/>
        </w:trPr>
        <w:tc>
          <w:tcPr>
            <w:tcW w:w="4920"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360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65"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2"/>
                <w:szCs w:val="32"/>
                <w:u w:val="none"/>
              </w:rPr>
            </w:pPr>
            <w:r>
              <w:rPr>
                <w:rFonts w:hint="eastAsia" w:ascii="华文中宋" w:hAnsi="华文中宋" w:eastAsia="华文中宋" w:cs="华文中宋"/>
                <w:b/>
                <w:bCs/>
                <w:i w:val="0"/>
                <w:iCs w:val="0"/>
                <w:color w:val="000000"/>
                <w:kern w:val="0"/>
                <w:sz w:val="32"/>
                <w:szCs w:val="32"/>
                <w:u w:val="none"/>
                <w:lang w:val="en-US" w:eastAsia="zh-CN" w:bidi="ar"/>
              </w:rPr>
              <w:t>2021年机关运行经费预算财政拨款情况统计表</w:t>
            </w:r>
          </w:p>
        </w:tc>
      </w:tr>
      <w:tr>
        <w:tblPrEx>
          <w:shd w:val="clear" w:color="auto" w:fill="auto"/>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2021年预算数</w:t>
            </w:r>
          </w:p>
        </w:tc>
      </w:tr>
      <w:tr>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191.06</w:t>
            </w:r>
          </w:p>
        </w:tc>
      </w:tr>
      <w:tr>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阳城县发展和改革局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191.06</w:t>
            </w:r>
          </w:p>
        </w:tc>
      </w:tr>
    </w:tbl>
    <w:p>
      <w:pPr>
        <w:rPr>
          <w:rFonts w:hint="eastAsia" w:eastAsia="宋体"/>
          <w:lang w:eastAsia="zh-CN"/>
        </w:rPr>
      </w:pPr>
    </w:p>
    <w:p>
      <w:pPr>
        <w:tabs>
          <w:tab w:val="left" w:pos="2918"/>
        </w:tabs>
        <w:bidi w:val="0"/>
        <w:jc w:val="left"/>
        <w:rPr>
          <w:rFonts w:hint="eastAsia" w:cs="Times New Roman"/>
          <w:kern w:val="2"/>
          <w:sz w:val="21"/>
          <w:szCs w:val="21"/>
          <w:lang w:val="en-US" w:eastAsia="zh-CN" w:bidi="ar-SA"/>
        </w:rPr>
      </w:pPr>
      <w:r>
        <w:rPr>
          <w:rFonts w:hint="eastAsia" w:cs="Times New Roman"/>
          <w:kern w:val="2"/>
          <w:sz w:val="21"/>
          <w:szCs w:val="21"/>
          <w:lang w:val="en-US" w:eastAsia="zh-CN" w:bidi="ar-SA"/>
        </w:rPr>
        <w:tab/>
      </w: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pPr>
    </w:p>
    <w:p>
      <w:pPr>
        <w:tabs>
          <w:tab w:val="left" w:pos="2918"/>
        </w:tabs>
        <w:bidi w:val="0"/>
        <w:jc w:val="left"/>
        <w:rPr>
          <w:rFonts w:hint="eastAsia" w:cs="Times New Roman"/>
          <w:kern w:val="2"/>
          <w:sz w:val="21"/>
          <w:szCs w:val="21"/>
          <w:lang w:val="en-US" w:eastAsia="zh-CN" w:bidi="ar-SA"/>
        </w:rPr>
        <w:sectPr>
          <w:pgSz w:w="11906" w:h="16838"/>
          <w:pgMar w:top="1440" w:right="1519" w:bottom="1440" w:left="1633" w:header="851" w:footer="992" w:gutter="0"/>
          <w:cols w:space="425" w:num="1"/>
          <w:docGrid w:type="lines" w:linePitch="312" w:charSpace="0"/>
        </w:sectPr>
      </w:pPr>
    </w:p>
    <w:p>
      <w:pPr>
        <w:tabs>
          <w:tab w:val="left" w:pos="2918"/>
        </w:tabs>
        <w:bidi w:val="0"/>
        <w:jc w:val="left"/>
        <w:rPr>
          <w:rFonts w:hint="eastAsia" w:cs="Times New Roman"/>
          <w:kern w:val="2"/>
          <w:sz w:val="21"/>
          <w:szCs w:val="21"/>
          <w:lang w:val="en-US" w:eastAsia="zh-CN" w:bidi="ar-SA"/>
        </w:rPr>
      </w:pPr>
      <w:r>
        <w:rPr>
          <w:rFonts w:hint="eastAsia" w:cs="Times New Roman"/>
          <w:kern w:val="2"/>
          <w:sz w:val="21"/>
          <w:szCs w:val="21"/>
          <w:lang w:val="en-US" w:eastAsia="zh-CN" w:bidi="ar-SA"/>
        </w:rPr>
        <w:object>
          <v:shape id="_x0000_i1028" o:spt="75" type="#_x0000_t75" style="height:350.55pt;width:697.65pt;" o:ole="t" filled="f" o:preferrelative="t" stroked="f" coordsize="21600,21600">
            <v:path/>
            <v:fill on="f" focussize="0,0"/>
            <v:stroke on="f"/>
            <v:imagedata r:id="rId11" o:title=""/>
            <o:lock v:ext="edit" aspectratio="f"/>
            <w10:wrap type="none"/>
            <w10:anchorlock/>
          </v:shape>
          <o:OLEObject Type="Embed" ProgID="" ShapeID="_x0000_i1028" DrawAspect="Content" ObjectID="_1468075728" r:id="rId10">
            <o:LockedField>false</o:LockedField>
          </o:OLEObject>
        </w:object>
      </w:r>
    </w:p>
    <w:p>
      <w:pPr>
        <w:bidi w:val="0"/>
        <w:rPr>
          <w:rFonts w:hint="eastAsia" w:ascii="Times New Roman" w:hAnsi="Times New Roman" w:eastAsia="宋体" w:cs="Times New Roman"/>
          <w:kern w:val="2"/>
          <w:sz w:val="21"/>
          <w:szCs w:val="21"/>
          <w:lang w:val="en-US" w:eastAsia="zh-CN" w:bidi="ar-SA"/>
        </w:rPr>
      </w:pPr>
    </w:p>
    <w:p>
      <w:pPr>
        <w:bidi w:val="0"/>
        <w:rPr>
          <w:rFonts w:hint="eastAsia"/>
          <w:lang w:val="en-US" w:eastAsia="zh-CN"/>
        </w:rPr>
      </w:pPr>
    </w:p>
    <w:p>
      <w:pPr>
        <w:bidi w:val="0"/>
        <w:rPr>
          <w:rFonts w:hint="eastAsia"/>
          <w:lang w:val="en-US" w:eastAsia="zh-CN"/>
        </w:rPr>
      </w:pPr>
    </w:p>
    <w:p>
      <w:pPr>
        <w:bidi w:val="0"/>
        <w:ind w:firstLine="507" w:firstLineChars="0"/>
        <w:jc w:val="left"/>
        <w:rPr>
          <w:rFonts w:hint="eastAsia"/>
          <w:lang w:val="en-US" w:eastAsia="zh-CN"/>
        </w:rPr>
      </w:pPr>
    </w:p>
    <w:p>
      <w:pPr>
        <w:bidi w:val="0"/>
        <w:ind w:firstLine="507" w:firstLineChars="0"/>
        <w:jc w:val="left"/>
        <w:rPr>
          <w:rFonts w:hint="eastAsia"/>
          <w:lang w:val="en-US" w:eastAsia="zh-CN"/>
        </w:rPr>
      </w:pPr>
    </w:p>
    <w:tbl>
      <w:tblPr>
        <w:tblStyle w:val="4"/>
        <w:tblW w:w="5000" w:type="pct"/>
        <w:tblInd w:w="0" w:type="dxa"/>
        <w:shd w:val="clear" w:color="auto" w:fill="auto"/>
        <w:tblLayout w:type="autofit"/>
        <w:tblCellMar>
          <w:top w:w="0" w:type="dxa"/>
          <w:left w:w="108" w:type="dxa"/>
          <w:bottom w:w="0" w:type="dxa"/>
          <w:right w:w="108" w:type="dxa"/>
        </w:tblCellMar>
      </w:tblPr>
      <w:tblGrid>
        <w:gridCol w:w="1751"/>
        <w:gridCol w:w="1507"/>
        <w:gridCol w:w="949"/>
        <w:gridCol w:w="950"/>
        <w:gridCol w:w="1072"/>
        <w:gridCol w:w="1072"/>
        <w:gridCol w:w="1769"/>
        <w:gridCol w:w="950"/>
        <w:gridCol w:w="1072"/>
        <w:gridCol w:w="1460"/>
        <w:gridCol w:w="1622"/>
      </w:tblGrid>
      <w:tr>
        <w:tblPrEx>
          <w:tblCellMar>
            <w:top w:w="0" w:type="dxa"/>
            <w:left w:w="108" w:type="dxa"/>
            <w:bottom w:w="0" w:type="dxa"/>
            <w:right w:w="108" w:type="dxa"/>
          </w:tblCellMar>
        </w:tblPrEx>
        <w:trPr>
          <w:trHeight w:val="740"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行政事业单位“三公”经费支出预算表</w:t>
            </w:r>
          </w:p>
        </w:tc>
      </w:tr>
      <w:tr>
        <w:tblPrEx>
          <w:shd w:val="clear" w:color="auto" w:fill="auto"/>
          <w:tblCellMar>
            <w:top w:w="0" w:type="dxa"/>
            <w:left w:w="108" w:type="dxa"/>
            <w:bottom w:w="0" w:type="dxa"/>
            <w:right w:w="108" w:type="dxa"/>
          </w:tblCellMar>
        </w:tblPrEx>
        <w:trPr>
          <w:trHeight w:val="285" w:hRule="atLeast"/>
        </w:trPr>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单位代码</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单位名称</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三公经费控制数</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因公出国经费控制数</w:t>
            </w:r>
          </w:p>
        </w:tc>
        <w:tc>
          <w:tcPr>
            <w:tcW w:w="317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“三公”支出预算数</w:t>
            </w:r>
          </w:p>
        </w:tc>
      </w:tr>
      <w:tr>
        <w:tblPrEx>
          <w:tblCellMar>
            <w:top w:w="0" w:type="dxa"/>
            <w:left w:w="108" w:type="dxa"/>
            <w:bottom w:w="0" w:type="dxa"/>
            <w:right w:w="108" w:type="dxa"/>
          </w:tblCellMar>
        </w:tblPrEx>
        <w:trPr>
          <w:trHeight w:val="285" w:hRule="atLeast"/>
        </w:trPr>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7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公共预算资金</w:t>
            </w:r>
          </w:p>
        </w:tc>
      </w:tr>
      <w:tr>
        <w:tblPrEx>
          <w:tblCellMar>
            <w:top w:w="0" w:type="dxa"/>
            <w:left w:w="108" w:type="dxa"/>
            <w:bottom w:w="0" w:type="dxa"/>
            <w:right w:w="108" w:type="dxa"/>
          </w:tblCellMar>
        </w:tblPrEx>
        <w:trPr>
          <w:trHeight w:val="285" w:hRule="atLeast"/>
        </w:trPr>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因公出国（境）经费</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公务接待费</w:t>
            </w:r>
          </w:p>
        </w:tc>
        <w:tc>
          <w:tcPr>
            <w:tcW w:w="14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公务用车费</w:t>
            </w:r>
          </w:p>
        </w:tc>
      </w:tr>
      <w:tr>
        <w:tblPrEx>
          <w:tblCellMar>
            <w:top w:w="0" w:type="dxa"/>
            <w:left w:w="108" w:type="dxa"/>
            <w:bottom w:w="0" w:type="dxa"/>
            <w:right w:w="108" w:type="dxa"/>
          </w:tblCellMar>
        </w:tblPrEx>
        <w:trPr>
          <w:trHeight w:val="855" w:hRule="atLeast"/>
        </w:trPr>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公务用车运行维护费</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公务用车购置费</w:t>
            </w:r>
          </w:p>
        </w:tc>
      </w:tr>
      <w:tr>
        <w:tblPrEx>
          <w:tblCellMar>
            <w:top w:w="0" w:type="dxa"/>
            <w:left w:w="108" w:type="dxa"/>
            <w:bottom w:w="0" w:type="dxa"/>
            <w:right w:w="108" w:type="dxa"/>
          </w:tblCellMar>
        </w:tblPrEx>
        <w:trPr>
          <w:trHeight w:val="285" w:hRule="atLeast"/>
        </w:trPr>
        <w:tc>
          <w:tcPr>
            <w:tcW w:w="618" w:type="pc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78" w:type="pc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78" w:type="pc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24" w:type="pc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78" w:type="pc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540"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236001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发展和改革局</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Calibri" w:hAnsi="Calibri" w:eastAsia="宋体" w:cs="Calibri"/>
                <w:i w:val="0"/>
                <w:iCs w:val="0"/>
                <w:color w:val="000000"/>
                <w:sz w:val="22"/>
                <w:szCs w:val="22"/>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eastAsia="宋体" w:cs="Calibri"/>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eastAsia="宋体" w:cs="Calibri"/>
                <w:i w:val="0"/>
                <w:iCs w:val="0"/>
                <w:color w:val="000000"/>
                <w:sz w:val="22"/>
                <w:szCs w:val="22"/>
                <w:u w:val="none"/>
              </w:rPr>
            </w:pPr>
          </w:p>
        </w:tc>
      </w:tr>
    </w:tbl>
    <w:p>
      <w:pPr>
        <w:bidi w:val="0"/>
        <w:ind w:firstLine="507" w:firstLineChars="0"/>
        <w:jc w:val="left"/>
        <w:rPr>
          <w:rFonts w:hint="eastAsia"/>
          <w:lang w:val="en-US" w:eastAsia="zh-CN"/>
        </w:rPr>
      </w:pPr>
    </w:p>
    <w:p>
      <w:pPr>
        <w:bidi w:val="0"/>
        <w:ind w:firstLine="507" w:firstLineChars="0"/>
        <w:jc w:val="left"/>
        <w:rPr>
          <w:rFonts w:hint="eastAsia"/>
          <w:lang w:val="en-US" w:eastAsia="zh-CN"/>
        </w:rPr>
      </w:pPr>
    </w:p>
    <w:p>
      <w:pPr>
        <w:bidi w:val="0"/>
        <w:ind w:firstLine="507" w:firstLineChars="0"/>
        <w:jc w:val="left"/>
        <w:rPr>
          <w:rFonts w:hint="eastAsia"/>
          <w:lang w:val="en-US" w:eastAsia="zh-CN"/>
        </w:rPr>
      </w:pPr>
    </w:p>
    <w:p>
      <w:pPr>
        <w:bidi w:val="0"/>
        <w:ind w:firstLine="507" w:firstLineChars="0"/>
        <w:jc w:val="left"/>
        <w:rPr>
          <w:rFonts w:hint="eastAsia"/>
          <w:lang w:val="en-US" w:eastAsia="zh-CN"/>
        </w:rPr>
      </w:pPr>
    </w:p>
    <w:p>
      <w:pPr>
        <w:bidi w:val="0"/>
        <w:ind w:firstLine="507" w:firstLineChars="0"/>
        <w:jc w:val="left"/>
        <w:rPr>
          <w:rFonts w:hint="eastAsia"/>
          <w:lang w:val="en-US" w:eastAsia="zh-CN"/>
        </w:rPr>
      </w:pPr>
    </w:p>
    <w:p>
      <w:pPr>
        <w:bidi w:val="0"/>
        <w:ind w:firstLine="507" w:firstLineChars="0"/>
        <w:jc w:val="left"/>
        <w:rPr>
          <w:rFonts w:hint="eastAsia"/>
          <w:lang w:val="en-US" w:eastAsia="zh-CN"/>
        </w:rPr>
      </w:pPr>
    </w:p>
    <w:p>
      <w:pPr>
        <w:bidi w:val="0"/>
        <w:ind w:firstLine="507" w:firstLineChars="0"/>
        <w:jc w:val="left"/>
        <w:rPr>
          <w:rFonts w:hint="eastAsia"/>
          <w:lang w:val="en-US" w:eastAsia="zh-CN"/>
        </w:rPr>
      </w:pPr>
    </w:p>
    <w:p>
      <w:pPr>
        <w:bidi w:val="0"/>
        <w:ind w:firstLine="507" w:firstLineChars="0"/>
        <w:jc w:val="left"/>
        <w:rPr>
          <w:rFonts w:hint="eastAsia"/>
          <w:lang w:val="en-US" w:eastAsia="zh-CN"/>
        </w:rPr>
        <w:sectPr>
          <w:pgSz w:w="16838" w:h="11906" w:orient="landscape"/>
          <w:pgMar w:top="1633" w:right="1440" w:bottom="1519" w:left="1440" w:header="851" w:footer="992" w:gutter="0"/>
          <w:cols w:space="425" w:num="1"/>
          <w:docGrid w:type="lines" w:linePitch="312" w:charSpace="0"/>
        </w:sectPr>
      </w:pPr>
    </w:p>
    <w:p>
      <w:pPr>
        <w:spacing w:line="420" w:lineRule="auto"/>
        <w:ind w:firstLine="482" w:firstLineChars="200"/>
        <w:jc w:val="left"/>
        <w:rPr>
          <w:rFonts w:ascii="宋体" w:hAnsi="宋体"/>
          <w:b/>
          <w:bCs/>
          <w:sz w:val="24"/>
          <w:szCs w:val="24"/>
        </w:rPr>
      </w:pPr>
      <w:r>
        <w:rPr>
          <w:rFonts w:hint="eastAsia" w:ascii="宋体" w:hAnsi="宋体"/>
          <w:b/>
          <w:bCs/>
          <w:sz w:val="24"/>
          <w:szCs w:val="24"/>
          <w:lang w:eastAsia="zh-CN"/>
        </w:rPr>
        <w:t>第三部分</w:t>
      </w:r>
      <w:r>
        <w:rPr>
          <w:rFonts w:hint="eastAsia" w:ascii="宋体" w:hAnsi="宋体"/>
          <w:b/>
          <w:bCs/>
          <w:sz w:val="24"/>
          <w:szCs w:val="24"/>
          <w:lang w:val="en-US" w:eastAsia="zh-CN"/>
        </w:rPr>
        <w:t xml:space="preserve">  </w:t>
      </w:r>
      <w:r>
        <w:rPr>
          <w:rFonts w:hint="eastAsia" w:ascii="宋体" w:hAnsi="宋体"/>
          <w:b/>
          <w:bCs/>
          <w:sz w:val="24"/>
          <w:szCs w:val="24"/>
        </w:rPr>
        <w:t>2021年度部门预算情况说明</w:t>
      </w:r>
    </w:p>
    <w:p>
      <w:pPr>
        <w:spacing w:line="420" w:lineRule="auto"/>
        <w:ind w:firstLine="465"/>
        <w:jc w:val="left"/>
        <w:rPr>
          <w:rFonts w:hint="eastAsia" w:ascii="宋体" w:hAnsi="宋体"/>
          <w:sz w:val="24"/>
          <w:szCs w:val="24"/>
        </w:rPr>
      </w:pPr>
      <w:r>
        <w:rPr>
          <w:rFonts w:hint="eastAsia" w:ascii="宋体" w:hAnsi="宋体"/>
          <w:sz w:val="24"/>
          <w:szCs w:val="24"/>
        </w:rPr>
        <w:t>一</w:t>
      </w:r>
      <w:r>
        <w:rPr>
          <w:rFonts w:hint="eastAsia" w:ascii="宋体" w:hAnsi="宋体"/>
          <w:sz w:val="24"/>
          <w:szCs w:val="24"/>
          <w:lang w:eastAsia="zh-CN"/>
        </w:rPr>
        <w:t>、</w:t>
      </w:r>
      <w:r>
        <w:rPr>
          <w:rFonts w:hint="eastAsia" w:ascii="宋体" w:hAnsi="宋体"/>
          <w:sz w:val="24"/>
          <w:szCs w:val="24"/>
        </w:rPr>
        <w:t>收入预算情况说明</w:t>
      </w:r>
    </w:p>
    <w:p>
      <w:pPr>
        <w:spacing w:line="420" w:lineRule="auto"/>
        <w:ind w:firstLine="465"/>
        <w:jc w:val="left"/>
        <w:rPr>
          <w:rFonts w:hint="eastAsia" w:ascii="宋体" w:hAnsi="宋体"/>
          <w:sz w:val="24"/>
          <w:szCs w:val="24"/>
        </w:rPr>
      </w:pPr>
      <w:r>
        <w:rPr>
          <w:rFonts w:hint="eastAsia" w:ascii="宋体" w:hAnsi="宋体"/>
          <w:sz w:val="24"/>
          <w:szCs w:val="24"/>
        </w:rPr>
        <w:t>阳城县发展和改革局2021年收入预算资金</w:t>
      </w:r>
      <w:r>
        <w:rPr>
          <w:rFonts w:ascii="宋体" w:hAnsi="宋体"/>
          <w:sz w:val="24"/>
          <w:szCs w:val="24"/>
        </w:rPr>
        <w:t>2436.35</w:t>
      </w:r>
      <w:r>
        <w:rPr>
          <w:rFonts w:hint="eastAsia" w:ascii="宋体" w:hAnsi="宋体"/>
          <w:sz w:val="24"/>
          <w:szCs w:val="24"/>
        </w:rPr>
        <w:t>万元。其中：公共财政预算资金收入</w:t>
      </w:r>
      <w:r>
        <w:rPr>
          <w:rFonts w:ascii="宋体" w:hAnsi="宋体"/>
          <w:sz w:val="24"/>
          <w:szCs w:val="24"/>
        </w:rPr>
        <w:t>2436.35</w:t>
      </w:r>
      <w:r>
        <w:rPr>
          <w:rFonts w:hint="eastAsia" w:ascii="宋体" w:hAnsi="宋体"/>
          <w:sz w:val="24"/>
          <w:szCs w:val="24"/>
        </w:rPr>
        <w:t>万元。</w:t>
      </w:r>
    </w:p>
    <w:p>
      <w:pPr>
        <w:spacing w:line="420" w:lineRule="auto"/>
        <w:ind w:firstLine="465"/>
        <w:jc w:val="left"/>
        <w:rPr>
          <w:rFonts w:hint="eastAsia" w:ascii="宋体" w:hAnsi="宋体"/>
          <w:sz w:val="24"/>
          <w:szCs w:val="24"/>
        </w:rPr>
      </w:pPr>
      <w:r>
        <w:rPr>
          <w:rFonts w:hint="eastAsia" w:ascii="宋体" w:hAnsi="宋体"/>
          <w:sz w:val="24"/>
          <w:szCs w:val="24"/>
        </w:rPr>
        <w:t>二</w:t>
      </w:r>
      <w:r>
        <w:rPr>
          <w:rFonts w:hint="eastAsia" w:ascii="宋体" w:hAnsi="宋体"/>
          <w:sz w:val="24"/>
          <w:szCs w:val="24"/>
          <w:lang w:eastAsia="zh-CN"/>
        </w:rPr>
        <w:t>、</w:t>
      </w:r>
      <w:r>
        <w:rPr>
          <w:rFonts w:hint="eastAsia" w:ascii="宋体" w:hAnsi="宋体"/>
          <w:sz w:val="24"/>
          <w:szCs w:val="24"/>
        </w:rPr>
        <w:t>支出预算说明</w:t>
      </w:r>
    </w:p>
    <w:p>
      <w:pPr>
        <w:spacing w:line="420" w:lineRule="auto"/>
        <w:ind w:firstLine="465"/>
        <w:jc w:val="left"/>
        <w:rPr>
          <w:rFonts w:hint="eastAsia" w:ascii="宋体" w:hAnsi="宋体"/>
          <w:sz w:val="24"/>
          <w:szCs w:val="24"/>
        </w:rPr>
      </w:pPr>
      <w:r>
        <w:rPr>
          <w:rFonts w:hint="eastAsia" w:ascii="宋体" w:hAnsi="宋体"/>
          <w:sz w:val="24"/>
          <w:szCs w:val="24"/>
        </w:rPr>
        <w:t>1、基本支出</w:t>
      </w:r>
      <w:r>
        <w:rPr>
          <w:rFonts w:ascii="宋体" w:hAnsi="宋体"/>
          <w:sz w:val="24"/>
          <w:szCs w:val="24"/>
        </w:rPr>
        <w:t>496.01</w:t>
      </w:r>
      <w:r>
        <w:rPr>
          <w:rFonts w:hint="eastAsia" w:ascii="宋体" w:hAnsi="宋体"/>
          <w:sz w:val="24"/>
          <w:szCs w:val="24"/>
        </w:rPr>
        <w:t>万元，其中：人员支出</w:t>
      </w:r>
      <w:r>
        <w:rPr>
          <w:rFonts w:ascii="宋体" w:hAnsi="宋体"/>
          <w:sz w:val="24"/>
          <w:szCs w:val="24"/>
        </w:rPr>
        <w:t>443.86</w:t>
      </w:r>
      <w:r>
        <w:rPr>
          <w:rFonts w:hint="eastAsia" w:ascii="宋体" w:hAnsi="宋体"/>
          <w:sz w:val="24"/>
          <w:szCs w:val="24"/>
        </w:rPr>
        <w:t>万元，公用经费支出</w:t>
      </w:r>
      <w:r>
        <w:rPr>
          <w:rFonts w:ascii="宋体" w:hAnsi="宋体"/>
          <w:sz w:val="24"/>
          <w:szCs w:val="24"/>
        </w:rPr>
        <w:t>52.15</w:t>
      </w:r>
      <w:r>
        <w:rPr>
          <w:rFonts w:hint="eastAsia" w:ascii="宋体" w:hAnsi="宋体"/>
          <w:sz w:val="24"/>
          <w:szCs w:val="24"/>
        </w:rPr>
        <w:t>万元。基本支出系按2020年底实有人员工资标准和公用经费定额标准核定。</w:t>
      </w:r>
    </w:p>
    <w:p>
      <w:pPr>
        <w:spacing w:line="420" w:lineRule="auto"/>
        <w:ind w:firstLine="465"/>
        <w:jc w:val="left"/>
        <w:rPr>
          <w:rFonts w:hint="eastAsia" w:ascii="宋体" w:hAnsi="宋体"/>
          <w:sz w:val="24"/>
          <w:szCs w:val="24"/>
        </w:rPr>
      </w:pPr>
      <w:r>
        <w:rPr>
          <w:rFonts w:hint="eastAsia" w:ascii="宋体" w:hAnsi="宋体"/>
          <w:sz w:val="24"/>
          <w:szCs w:val="24"/>
        </w:rPr>
        <w:t>2、项目支出1940.34万元，其中：其他运转公用类支出166.6万元，特定目标类支出</w:t>
      </w:r>
      <w:r>
        <w:rPr>
          <w:rFonts w:ascii="宋体" w:hAnsi="宋体"/>
          <w:sz w:val="24"/>
          <w:szCs w:val="24"/>
        </w:rPr>
        <w:t>1773.74</w:t>
      </w:r>
      <w:r>
        <w:rPr>
          <w:rFonts w:hint="eastAsia" w:ascii="宋体" w:hAnsi="宋体"/>
          <w:sz w:val="24"/>
          <w:szCs w:val="24"/>
        </w:rPr>
        <w:t>万元。</w:t>
      </w:r>
    </w:p>
    <w:p>
      <w:pPr>
        <w:spacing w:line="420" w:lineRule="auto"/>
        <w:ind w:firstLine="465"/>
        <w:jc w:val="left"/>
        <w:rPr>
          <w:rFonts w:hint="eastAsia" w:ascii="宋体" w:hAnsi="宋体"/>
          <w:sz w:val="24"/>
          <w:szCs w:val="24"/>
          <w:lang w:val="en-US" w:eastAsia="zh-CN"/>
        </w:rPr>
      </w:pPr>
      <w:r>
        <w:rPr>
          <w:rFonts w:hint="eastAsia" w:ascii="宋体" w:hAnsi="宋体"/>
          <w:sz w:val="24"/>
          <w:szCs w:val="24"/>
        </w:rPr>
        <w:t>其他运转公用类支出</w:t>
      </w:r>
      <w:r>
        <w:rPr>
          <w:rFonts w:hint="eastAsia" w:ascii="宋体" w:hAnsi="宋体"/>
          <w:sz w:val="24"/>
          <w:szCs w:val="24"/>
          <w:lang w:val="en-US" w:eastAsia="zh-CN"/>
        </w:rPr>
        <w:t>:</w:t>
      </w:r>
      <w:r>
        <w:rPr>
          <w:rFonts w:hint="eastAsia" w:ascii="宋体" w:hAnsi="宋体"/>
          <w:sz w:val="24"/>
          <w:szCs w:val="24"/>
        </w:rPr>
        <w:t>追加办公经费35万元；涉案涉税涉纪财务价格鉴定费30万元；价格调控管理费47万元；重点工程、转型项目建设、扩权强县、招商引资等经费30万元；预发职工2020年度目标责任考核奖24.6万元。</w:t>
      </w:r>
    </w:p>
    <w:p>
      <w:pPr>
        <w:spacing w:line="420" w:lineRule="auto"/>
        <w:ind w:firstLine="465"/>
        <w:jc w:val="left"/>
        <w:rPr>
          <w:rFonts w:hint="eastAsia" w:ascii="宋体" w:hAnsi="宋体"/>
          <w:sz w:val="24"/>
          <w:szCs w:val="24"/>
        </w:rPr>
      </w:pPr>
      <w:r>
        <w:rPr>
          <w:rFonts w:hint="eastAsia" w:ascii="宋体" w:hAnsi="宋体"/>
          <w:sz w:val="24"/>
          <w:szCs w:val="24"/>
        </w:rPr>
        <w:t>特定目标类支出</w:t>
      </w:r>
      <w:r>
        <w:rPr>
          <w:rFonts w:hint="eastAsia" w:ascii="宋体" w:hAnsi="宋体"/>
          <w:sz w:val="24"/>
          <w:szCs w:val="24"/>
          <w:lang w:val="en-US" w:eastAsia="zh-CN"/>
        </w:rPr>
        <w:t>:</w:t>
      </w:r>
      <w:r>
        <w:rPr>
          <w:rFonts w:hint="eastAsia" w:ascii="宋体" w:hAnsi="宋体"/>
          <w:sz w:val="24"/>
          <w:szCs w:val="24"/>
        </w:rPr>
        <w:t>天然气安装补贴100万元；成本监审政府购买服务费15万元；社会粮食统计及检查、粮食安全检查及清仓查库经费5万元；价格监测经费0.8万元；粮食测报及原粮调查及市场监督管理和“四无粮食”检查等5万元；粮食供需平衡调查5万元；推动新型城镇化建设示范县城专项经费（收回资金重新安排）155万元；重点工程项目展示版面制作经费15.29万元；</w:t>
      </w:r>
      <w:r>
        <w:rPr>
          <w:rFonts w:hint="eastAsia" w:ascii="宋体" w:hAnsi="宋体"/>
          <w:sz w:val="24"/>
          <w:szCs w:val="24"/>
          <w:lang w:eastAsia="zh-CN"/>
        </w:rPr>
        <w:t>“十四五”规划</w:t>
      </w:r>
      <w:r>
        <w:rPr>
          <w:rFonts w:hint="eastAsia" w:ascii="宋体" w:hAnsi="宋体"/>
          <w:sz w:val="24"/>
          <w:szCs w:val="24"/>
        </w:rPr>
        <w:t>专项规划编制经费395万元；推进新型城镇化建设示范县城专项经费20万元；上年</w:t>
      </w:r>
      <w:r>
        <w:rPr>
          <w:rFonts w:hint="eastAsia" w:ascii="宋体" w:hAnsi="宋体"/>
          <w:sz w:val="24"/>
          <w:szCs w:val="24"/>
          <w:lang w:eastAsia="zh-CN"/>
        </w:rPr>
        <w:t>“十四五”规划</w:t>
      </w:r>
      <w:r>
        <w:rPr>
          <w:rFonts w:hint="eastAsia" w:ascii="宋体" w:hAnsi="宋体"/>
          <w:sz w:val="24"/>
          <w:szCs w:val="24"/>
        </w:rPr>
        <w:t>前期课题经费6.5万元；推进城乡融合发展试点县工作专项经费25万元；推进城乡融合发展试点县工作专项经费（收回资金重新安排）12.5万元；</w:t>
      </w:r>
      <w:r>
        <w:rPr>
          <w:rFonts w:hint="eastAsia" w:ascii="宋体" w:hAnsi="宋体"/>
          <w:sz w:val="24"/>
          <w:szCs w:val="24"/>
          <w:lang w:eastAsia="zh-CN"/>
        </w:rPr>
        <w:t>“十四五”规划</w:t>
      </w:r>
      <w:r>
        <w:rPr>
          <w:rFonts w:hint="eastAsia" w:ascii="宋体" w:hAnsi="宋体"/>
          <w:sz w:val="24"/>
          <w:szCs w:val="24"/>
        </w:rPr>
        <w:t>前期课题经费150万元；县级成品粮储备经费66万元；粮食质检站运行经费8万元；申请政策资金争取工作经费50万元；</w:t>
      </w:r>
      <w:r>
        <w:rPr>
          <w:rFonts w:hint="eastAsia" w:ascii="宋体" w:hAnsi="宋体"/>
          <w:sz w:val="24"/>
          <w:szCs w:val="24"/>
          <w:lang w:eastAsia="zh-CN"/>
        </w:rPr>
        <w:t>“十四五”规划</w:t>
      </w:r>
      <w:r>
        <w:rPr>
          <w:rFonts w:hint="eastAsia" w:ascii="宋体" w:hAnsi="宋体"/>
          <w:sz w:val="24"/>
          <w:szCs w:val="24"/>
        </w:rPr>
        <w:t>编制费用100万元；企业投资项目委托第三方评估8万元；救灾物资管理经费10万元；《阳城县乡村振兴战略规划产业规划（2018—2022年）》前期费用33.65万元；春节粮油及主要副食品价格补贴200万元；疫情防控物资经费388万元。</w:t>
      </w:r>
    </w:p>
    <w:p>
      <w:pPr>
        <w:spacing w:line="420" w:lineRule="auto"/>
        <w:ind w:firstLine="465"/>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w:t>
      </w:r>
      <w:r>
        <w:rPr>
          <w:rFonts w:hint="eastAsia" w:ascii="宋体" w:hAnsi="宋体"/>
          <w:sz w:val="24"/>
          <w:szCs w:val="24"/>
        </w:rPr>
        <w:t>一般公共预算“三公</w:t>
      </w:r>
      <w:r>
        <w:rPr>
          <w:rFonts w:hint="eastAsia" w:ascii="宋体" w:hAnsi="宋体"/>
          <w:sz w:val="24"/>
          <w:szCs w:val="24"/>
          <w:lang w:eastAsia="zh-CN"/>
        </w:rPr>
        <w:t>”</w:t>
      </w:r>
      <w:r>
        <w:rPr>
          <w:rFonts w:hint="eastAsia" w:ascii="宋体" w:hAnsi="宋体"/>
          <w:sz w:val="24"/>
          <w:szCs w:val="24"/>
        </w:rPr>
        <w:t>经费预算说明</w:t>
      </w:r>
    </w:p>
    <w:p>
      <w:pPr>
        <w:spacing w:line="420" w:lineRule="auto"/>
        <w:ind w:firstLine="465"/>
        <w:jc w:val="left"/>
        <w:rPr>
          <w:rFonts w:hint="eastAsia" w:ascii="宋体" w:hAnsi="宋体"/>
          <w:sz w:val="24"/>
          <w:szCs w:val="24"/>
        </w:rPr>
      </w:pPr>
      <w:r>
        <w:rPr>
          <w:rFonts w:hint="eastAsia" w:ascii="宋体" w:hAnsi="宋体"/>
          <w:sz w:val="24"/>
          <w:szCs w:val="24"/>
        </w:rPr>
        <w:t>2021年我单位“三公”经费预算数为</w:t>
      </w:r>
      <w:r>
        <w:rPr>
          <w:rFonts w:hint="eastAsia" w:ascii="宋体" w:hAnsi="宋体"/>
          <w:sz w:val="24"/>
          <w:szCs w:val="24"/>
          <w:lang w:val="en-US" w:eastAsia="zh-CN"/>
        </w:rPr>
        <w:t>4.8万</w:t>
      </w:r>
      <w:r>
        <w:rPr>
          <w:rFonts w:hint="eastAsia" w:ascii="宋体" w:hAnsi="宋体"/>
          <w:sz w:val="24"/>
          <w:szCs w:val="24"/>
        </w:rPr>
        <w:t>元，其中：因公出国（境）费0元；公务接待费</w:t>
      </w:r>
      <w:r>
        <w:rPr>
          <w:rFonts w:hint="eastAsia" w:ascii="宋体" w:hAnsi="宋体"/>
          <w:sz w:val="24"/>
          <w:szCs w:val="24"/>
          <w:lang w:val="en-US" w:eastAsia="zh-CN"/>
        </w:rPr>
        <w:t>3万</w:t>
      </w:r>
      <w:r>
        <w:rPr>
          <w:rFonts w:hint="eastAsia" w:ascii="宋体" w:hAnsi="宋体"/>
          <w:sz w:val="24"/>
          <w:szCs w:val="24"/>
        </w:rPr>
        <w:t>元；公务用车购置费0元，公务用车运行费</w:t>
      </w:r>
      <w:r>
        <w:rPr>
          <w:rFonts w:hint="eastAsia" w:ascii="宋体" w:hAnsi="宋体"/>
          <w:sz w:val="24"/>
          <w:szCs w:val="24"/>
          <w:lang w:val="en-US" w:eastAsia="zh-CN"/>
        </w:rPr>
        <w:t>1.8万</w:t>
      </w:r>
      <w:r>
        <w:rPr>
          <w:rFonts w:hint="eastAsia" w:ascii="宋体" w:hAnsi="宋体"/>
          <w:sz w:val="24"/>
          <w:szCs w:val="24"/>
        </w:rPr>
        <w:t>元。</w:t>
      </w:r>
    </w:p>
    <w:p>
      <w:pPr>
        <w:spacing w:line="420" w:lineRule="auto"/>
        <w:ind w:firstLine="465"/>
        <w:jc w:val="left"/>
        <w:rPr>
          <w:rFonts w:hint="eastAsia" w:ascii="宋体" w:hAnsi="宋体"/>
          <w:b/>
          <w:bCs/>
          <w:sz w:val="24"/>
          <w:szCs w:val="24"/>
        </w:rPr>
      </w:pPr>
      <w:r>
        <w:rPr>
          <w:rFonts w:hint="eastAsia" w:ascii="宋体" w:hAnsi="宋体"/>
          <w:b/>
          <w:bCs/>
          <w:sz w:val="24"/>
          <w:szCs w:val="24"/>
        </w:rPr>
        <w:t>四、名词解释</w:t>
      </w:r>
    </w:p>
    <w:p>
      <w:pPr>
        <w:spacing w:line="420" w:lineRule="auto"/>
        <w:ind w:firstLine="465"/>
        <w:jc w:val="left"/>
        <w:rPr>
          <w:rFonts w:hint="default" w:ascii="宋体" w:hAnsi="宋体"/>
          <w:sz w:val="24"/>
          <w:szCs w:val="24"/>
          <w:lang w:val="en-US" w:eastAsia="zh-CN"/>
        </w:rPr>
      </w:pPr>
      <w:r>
        <w:rPr>
          <w:rFonts w:hint="default" w:ascii="宋体" w:hAnsi="宋体"/>
          <w:sz w:val="24"/>
          <w:szCs w:val="24"/>
          <w:lang w:val="en-US" w:eastAsia="zh-CN"/>
        </w:rPr>
        <w:t>一、基本支出：指为保障机构正常运转、完成日常工作任务而发生的人员支出和公用支出。　</w:t>
      </w:r>
    </w:p>
    <w:p>
      <w:pPr>
        <w:spacing w:line="420" w:lineRule="auto"/>
        <w:ind w:firstLine="465"/>
        <w:jc w:val="left"/>
        <w:rPr>
          <w:rFonts w:hint="default" w:ascii="宋体" w:hAnsi="宋体"/>
          <w:sz w:val="24"/>
          <w:szCs w:val="24"/>
          <w:lang w:val="en-US" w:eastAsia="zh-CN"/>
        </w:rPr>
      </w:pPr>
      <w:r>
        <w:rPr>
          <w:rFonts w:hint="default" w:ascii="宋体" w:hAnsi="宋体"/>
          <w:sz w:val="24"/>
          <w:szCs w:val="24"/>
          <w:lang w:val="en-US" w:eastAsia="zh-CN"/>
        </w:rPr>
        <w:t>二、项目支出：指在基本支出之外为完成特定行政任务和事业发展目标所发生的支出。</w:t>
      </w:r>
    </w:p>
    <w:p>
      <w:pPr>
        <w:spacing w:line="420" w:lineRule="auto"/>
        <w:ind w:firstLine="465"/>
        <w:jc w:val="left"/>
        <w:rPr>
          <w:rFonts w:hint="default" w:ascii="宋体" w:hAnsi="宋体"/>
          <w:sz w:val="24"/>
          <w:szCs w:val="24"/>
          <w:lang w:val="en-US" w:eastAsia="zh-CN"/>
        </w:rPr>
      </w:pPr>
      <w:r>
        <w:rPr>
          <w:rFonts w:hint="default" w:ascii="宋体" w:hAnsi="宋体"/>
          <w:sz w:val="24"/>
          <w:szCs w:val="24"/>
          <w:lang w:val="en-US" w:eastAsia="zh-CN"/>
        </w:rPr>
        <w:t>三、“三公”经费：纳入财政预决算管理的“三公”经费，指用财政拨款安排的因公出国（境）费、公务用车购置及运行费和公务接待费。其中：因公出国（境）费反映单位因公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　</w:t>
      </w:r>
    </w:p>
    <w:p>
      <w:pPr>
        <w:spacing w:line="420" w:lineRule="auto"/>
        <w:ind w:firstLine="465"/>
        <w:jc w:val="left"/>
        <w:rPr>
          <w:rFonts w:hint="default" w:ascii="宋体" w:hAnsi="宋体"/>
          <w:sz w:val="24"/>
          <w:szCs w:val="24"/>
          <w:lang w:val="en-US" w:eastAsia="zh-CN"/>
        </w:rPr>
      </w:pPr>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YmNjMjYyZGFlNDNkNmM3ZDc1OWQyODAwMTY2YjgifQ=="/>
  </w:docVars>
  <w:rsids>
    <w:rsidRoot w:val="00172A27"/>
    <w:rsid w:val="011162A6"/>
    <w:rsid w:val="03240AA3"/>
    <w:rsid w:val="03BE182F"/>
    <w:rsid w:val="09B32492"/>
    <w:rsid w:val="0E295BD1"/>
    <w:rsid w:val="0EE55714"/>
    <w:rsid w:val="19DA21F8"/>
    <w:rsid w:val="1EB7612C"/>
    <w:rsid w:val="25AE6263"/>
    <w:rsid w:val="29191A15"/>
    <w:rsid w:val="2D302054"/>
    <w:rsid w:val="2D4D16D4"/>
    <w:rsid w:val="2E5455CA"/>
    <w:rsid w:val="2FB26A88"/>
    <w:rsid w:val="306227C0"/>
    <w:rsid w:val="33260D24"/>
    <w:rsid w:val="3491268D"/>
    <w:rsid w:val="364B0321"/>
    <w:rsid w:val="364D07B9"/>
    <w:rsid w:val="40983871"/>
    <w:rsid w:val="442D4226"/>
    <w:rsid w:val="45860E8B"/>
    <w:rsid w:val="47D61C22"/>
    <w:rsid w:val="4EE63417"/>
    <w:rsid w:val="516E1FA5"/>
    <w:rsid w:val="54234ADD"/>
    <w:rsid w:val="5DD27B6E"/>
    <w:rsid w:val="6171498D"/>
    <w:rsid w:val="642E6B65"/>
    <w:rsid w:val="66C3350D"/>
    <w:rsid w:val="67037C0C"/>
    <w:rsid w:val="698D5791"/>
    <w:rsid w:val="733B362A"/>
    <w:rsid w:val="7B786428"/>
    <w:rsid w:val="7C5A0879"/>
    <w:rsid w:val="DFEF6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12938</Words>
  <Characters>19743</Characters>
  <Lines>0</Lines>
  <Paragraphs>0</Paragraphs>
  <TotalTime>16</TotalTime>
  <ScaleCrop>false</ScaleCrop>
  <LinksUpToDate>false</LinksUpToDate>
  <CharactersWithSpaces>20447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2021-05-10T09:39:00Z</dcterms:created>
  <dc:creator>Administrator</dc:creator>
  <cp:lastModifiedBy>fg310</cp:lastModifiedBy>
  <cp:lastPrinted>2021-05-10T11:49:00Z</cp:lastPrinted>
  <dcterms:modified xsi:type="dcterms:W3CDTF">2025-09-28T15:45:25Z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01C4E9FE694B4BC595760101D028421B_13</vt:lpwstr>
  </property>
</Properties>
</file>