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1E239">
      <w:pPr>
        <w:pStyle w:val="4"/>
        <w:keepNext w:val="0"/>
        <w:keepLines w:val="0"/>
        <w:widowControl/>
        <w:suppressLineNumbers w:val="0"/>
        <w:autoSpaceDE w:val="0"/>
        <w:autoSpaceDN/>
        <w:spacing w:line="555" w:lineRule="atLeast"/>
        <w:jc w:val="center"/>
      </w:pPr>
      <w:r>
        <w:rPr>
          <w:rFonts w:ascii="方正小标宋简体" w:hAnsi="方正小标宋简体" w:eastAsia="方正小标宋简体" w:cs="方正小标宋简体"/>
          <w:sz w:val="43"/>
          <w:szCs w:val="43"/>
        </w:rPr>
        <w:t>关于</w:t>
      </w:r>
      <w:r>
        <w:rPr>
          <w:rFonts w:hint="default" w:ascii="方正小标宋简体" w:hAnsi="方正小标宋简体" w:eastAsia="方正小标宋简体" w:cs="方正小标宋简体"/>
          <w:sz w:val="43"/>
          <w:szCs w:val="43"/>
        </w:rPr>
        <w:t>“7·29”一般高处坠落事故调查</w:t>
      </w:r>
    </w:p>
    <w:p w14:paraId="165044FE">
      <w:pPr>
        <w:pStyle w:val="4"/>
        <w:keepNext w:val="0"/>
        <w:keepLines w:val="0"/>
        <w:widowControl/>
        <w:suppressLineNumbers w:val="0"/>
        <w:autoSpaceDE w:val="0"/>
        <w:autoSpaceDN/>
        <w:spacing w:line="555" w:lineRule="atLeast"/>
        <w:jc w:val="center"/>
      </w:pPr>
      <w:r>
        <w:rPr>
          <w:rFonts w:hint="default" w:ascii="方正小标宋简体" w:hAnsi="方正小标宋简体" w:eastAsia="方正小标宋简体" w:cs="方正小标宋简体"/>
          <w:sz w:val="43"/>
          <w:szCs w:val="43"/>
        </w:rPr>
        <w:t>处理情况的报告</w:t>
      </w:r>
    </w:p>
    <w:p w14:paraId="688ADC40">
      <w:pPr>
        <w:pStyle w:val="4"/>
        <w:keepNext w:val="0"/>
        <w:keepLines w:val="0"/>
        <w:widowControl/>
        <w:suppressLineNumbers w:val="0"/>
        <w:autoSpaceDE w:val="0"/>
        <w:autoSpaceDN/>
        <w:spacing w:line="555" w:lineRule="atLeast"/>
        <w:ind w:left="0" w:firstLine="645"/>
      </w:pPr>
      <w:r>
        <w:rPr>
          <w:rFonts w:ascii="仿宋" w:hAnsi="仿宋" w:eastAsia="仿宋" w:cs="仿宋"/>
          <w:sz w:val="31"/>
          <w:szCs w:val="31"/>
        </w:rPr>
        <w:t> </w:t>
      </w:r>
    </w:p>
    <w:p w14:paraId="3945544E">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2026年7月29日，阳城山西省交通新技术发展有限公司发生一起一般高处坠落生产安全事故。事故发生后，按照《中华人民共和国安全生产法》《生产安全事故报告和调查处理条例》《山西省安全生产条例》规定，经阳城县人民政府批准，成立了事故调查组，同步邀请纪检监察机关、公安、工会、交通等单位参与。事故调查组按照“科学严谨、依法依规、实事求是、注重实效”和“四不放过”的原则，经过现场勘查、调查取证，查明了事故经过和原因，认定了事故性质，针对暴露出的问题提出了整改和防范措施。</w:t>
      </w:r>
    </w:p>
    <w:p w14:paraId="2F2571DC">
      <w:pPr>
        <w:pStyle w:val="4"/>
        <w:keepNext w:val="0"/>
        <w:keepLines w:val="0"/>
        <w:widowControl/>
        <w:suppressLineNumbers w:val="0"/>
        <w:autoSpaceDE w:val="0"/>
        <w:autoSpaceDN/>
        <w:spacing w:line="555" w:lineRule="atLeast"/>
        <w:ind w:left="0" w:firstLine="645"/>
      </w:pPr>
      <w:r>
        <w:rPr>
          <w:rFonts w:ascii="黑体" w:hAnsi="宋体" w:eastAsia="黑体" w:cs="黑体"/>
          <w:sz w:val="31"/>
          <w:szCs w:val="31"/>
        </w:rPr>
        <w:t>一、</w:t>
      </w:r>
      <w:r>
        <w:rPr>
          <w:rFonts w:hint="eastAsia" w:ascii="黑体" w:hAnsi="宋体" w:eastAsia="黑体" w:cs="黑体"/>
          <w:sz w:val="31"/>
          <w:szCs w:val="31"/>
        </w:rPr>
        <w:t>事故基本情况</w:t>
      </w:r>
    </w:p>
    <w:p w14:paraId="3BD87535">
      <w:pPr>
        <w:pStyle w:val="4"/>
        <w:keepNext w:val="0"/>
        <w:keepLines w:val="0"/>
        <w:widowControl/>
        <w:suppressLineNumbers w:val="0"/>
        <w:autoSpaceDE w:val="0"/>
        <w:autoSpaceDN/>
        <w:spacing w:line="555" w:lineRule="atLeast"/>
        <w:ind w:left="0" w:firstLine="645"/>
      </w:pPr>
      <w:r>
        <w:rPr>
          <w:rStyle w:val="7"/>
          <w:rFonts w:ascii="楷体" w:hAnsi="楷体" w:eastAsia="楷体" w:cs="楷体"/>
          <w:b/>
          <w:bCs/>
          <w:sz w:val="31"/>
          <w:szCs w:val="31"/>
        </w:rPr>
        <w:t>（一）项目参建单位情况</w:t>
      </w:r>
    </w:p>
    <w:p w14:paraId="79A292FD">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建设单位（项目业主）：晋城高速公路管理有限公司（以下简称“晋城管理公司”）法定代表人和亮，统一社会信用代码91140500MA0L09HX9N。经营范围主要为晋阳、晋济、环城、高沁、阳翼高速公路的经营和管理（不含施工）等。</w:t>
      </w:r>
    </w:p>
    <w:p w14:paraId="68FE87CB">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设计单位：山西省交通规划勘察设计院有限公司（以下简称“规划设计公司”）法定代表人董建兴，类型为有限责任公司（非自然人投资或控股的法人独资），统一社会信用代码：91140000405702035A，具有公路行业甲级、市政行业（道路工程）专业甲级资质。</w:t>
      </w:r>
    </w:p>
    <w:p w14:paraId="112C93CC">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监理单位：山西交通建设监理咨询集团有限公司（以下简称“监理咨询公司”）统一社会信用代码：91140000110029517U，具有公路水运工程监理企业资质证书和公路工程甲级资质。</w:t>
      </w:r>
    </w:p>
    <w:p w14:paraId="26DCE32C">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施工单位：山西省交通新技术发展有限公司（以下简称“新技术公司”）统一社会信用代码：911400001100322499。主营业务包含桥梁隧道加固、桥梁附件产品制造、地质灾害治理与岩土工程、交安机电设施、特种路面铺装、节能环保工程等业务。</w:t>
      </w:r>
    </w:p>
    <w:p w14:paraId="11FE917D">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劳务分包单位：山西锦润建筑工程有限公司（以下简称“锦润公司”）统一社会信用代码：91149900MAC8JM210A，经营范围主要为建筑物拆除作业、施工专业作业、公路管理与养护等。</w:t>
      </w:r>
    </w:p>
    <w:p w14:paraId="6F2D48A9">
      <w:pPr>
        <w:pStyle w:val="4"/>
        <w:keepNext w:val="0"/>
        <w:keepLines w:val="0"/>
        <w:widowControl/>
        <w:suppressLineNumbers w:val="0"/>
        <w:autoSpaceDE w:val="0"/>
        <w:autoSpaceDN/>
        <w:spacing w:line="555" w:lineRule="atLeast"/>
        <w:ind w:left="0" w:firstLine="645"/>
      </w:pPr>
      <w:r>
        <w:rPr>
          <w:rFonts w:hint="eastAsia" w:ascii="仿宋" w:hAnsi="仿宋" w:eastAsia="仿宋" w:cs="仿宋"/>
          <w:b w:val="0"/>
          <w:bCs w:val="0"/>
          <w:sz w:val="31"/>
          <w:szCs w:val="31"/>
        </w:rPr>
        <w:t>桥检车租赁单位：</w:t>
      </w:r>
      <w:r>
        <w:rPr>
          <w:rFonts w:hint="eastAsia" w:ascii="仿宋" w:hAnsi="仿宋" w:eastAsia="仿宋" w:cs="仿宋"/>
          <w:sz w:val="31"/>
          <w:szCs w:val="31"/>
        </w:rPr>
        <w:t>洛阳硕达机械设备租赁有限公司（以下简称“硕达公司”）法定代表人宁跃杰，统一社会信用代码：9140300MA456BUA4Q，经营范围主要为建筑工程机械与设备租赁等。</w:t>
      </w:r>
    </w:p>
    <w:p w14:paraId="67DC65B0">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（二）</w:t>
      </w:r>
      <w:r>
        <w:rPr>
          <w:rFonts w:hint="eastAsia" w:ascii="楷体" w:hAnsi="楷体" w:eastAsia="楷体" w:cs="楷体"/>
          <w:b/>
          <w:bCs/>
          <w:sz w:val="31"/>
          <w:szCs w:val="31"/>
        </w:rPr>
        <w:t>桥检车</w:t>
      </w:r>
      <w:r>
        <w:rPr>
          <w:rStyle w:val="7"/>
          <w:rFonts w:hint="eastAsia" w:ascii="楷体" w:hAnsi="楷体" w:eastAsia="楷体" w:cs="楷体"/>
          <w:b/>
          <w:bCs/>
          <w:sz w:val="31"/>
          <w:szCs w:val="31"/>
        </w:rPr>
        <w:t>情况租赁情况</w:t>
      </w:r>
    </w:p>
    <w:p w14:paraId="7FE449D4">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锦润公司与洛阳硕达机械设备租赁有限公司以口头约定的方式租赁桥梁检测车（以下简称“桥检车”）并配套司机和操作员。</w:t>
      </w:r>
    </w:p>
    <w:p w14:paraId="2581C9BA">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硕达公司的法定代表人宁跃杰同时为洛阳市涵迪汽车销售服务有限公司的法定代表人。宁跃杰通过硕达公司承接桥梁检测车租赁业务，桥梁检测车司机和操作员为涵迪公司员工。</w:t>
      </w:r>
    </w:p>
    <w:p w14:paraId="30699F00">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（三）事发项目情况</w:t>
      </w:r>
    </w:p>
    <w:p w14:paraId="04653A26">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项目名称：山西交通控股集团有限公司2026年政府还贷高速公路养护工程（土建）设计施工总承包（TJZCB1标段）。（以下简称“该项目”）</w:t>
      </w:r>
    </w:p>
    <w:p w14:paraId="5C0D0AE1">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2026年2月，山西交通控股集团有限公司（以下简称“交控集团”）与相关方签订该项目框架合同。2026年4月19日，山西省交通新技术发展有限公司正式发文设立该项目（晋城分公司桥梁、隧道、路基项目）项目部。2026年5月11日，山西省交通新技术发展有限公司与山西锦润建筑工程有限公司签订了劳务服务协议。2026年5月17日，该项目配套编制的《晋城高速公路管理有限公司2026年桥梁病害处治专项工程施工方案—桥梁检测车施工方案》由总监理工程师韩爱国审核后，由新技术公司高级专员（分管技术）宁京审批通过。</w:t>
      </w:r>
    </w:p>
    <w:p w14:paraId="193AB0C5">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（四）事发现场情况</w:t>
      </w:r>
    </w:p>
    <w:p w14:paraId="35B6D5B3">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经事故组实地勘验，事故发生地点位于阳城县町店镇S86晋运高速阳城至晋城方向蒿峪芦苇河大桥入口57米处。桥面宽度10.25m，桥梁横坡2%、纵坡3%，纵坡朝向晋城方向为下坡；涉事T梁跨径50m，梁体编号：左13</w:t>
      </w:r>
      <w:r>
        <w:rPr>
          <w:rFonts w:hint="eastAsia" w:ascii="仿宋" w:hAnsi="仿宋" w:eastAsia="仿宋" w:cs="仿宋"/>
          <w:sz w:val="31"/>
          <w:szCs w:val="31"/>
        </w:rPr>
        <w:noBreakHyphen/>
      </w:r>
      <w:r>
        <w:rPr>
          <w:rFonts w:hint="eastAsia" w:ascii="仿宋" w:hAnsi="仿宋" w:eastAsia="仿宋" w:cs="仿宋"/>
          <w:sz w:val="31"/>
          <w:szCs w:val="31"/>
        </w:rPr>
        <w:t>3；T梁底边至翼板底部垂直高度2.5m；作业点至桥底地面坠落基准面高度为17.5m。</w:t>
      </w:r>
    </w:p>
    <w:p w14:paraId="702861A2">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（五）人员死亡情况</w:t>
      </w:r>
    </w:p>
    <w:p w14:paraId="3A650497">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赵某武，男，汉族，山西省高平市人，锦润公司劳务人员。</w:t>
      </w:r>
    </w:p>
    <w:p w14:paraId="7A3E9DEA">
      <w:pPr>
        <w:pStyle w:val="4"/>
        <w:keepNext w:val="0"/>
        <w:keepLines w:val="0"/>
        <w:widowControl/>
        <w:suppressLineNumbers w:val="0"/>
        <w:autoSpaceDE w:val="0"/>
        <w:autoSpaceDN/>
        <w:spacing w:line="555" w:lineRule="atLeast"/>
        <w:ind w:left="0" w:firstLine="645"/>
      </w:pPr>
      <w:r>
        <w:rPr>
          <w:rFonts w:hint="eastAsia" w:ascii="黑体" w:hAnsi="宋体" w:eastAsia="黑体" w:cs="黑体"/>
          <w:sz w:val="31"/>
          <w:szCs w:val="31"/>
        </w:rPr>
        <w:t>二、事故经过及应急处置情况</w:t>
      </w:r>
    </w:p>
    <w:p w14:paraId="35DF0DCA">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（一）事故发生经过</w:t>
      </w:r>
    </w:p>
    <w:p w14:paraId="29222F64">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2026年7月29日上午8时许，桥检车司机刘某沛和操作手刘某抵达S86晋运高速阳翼段阳城至晋城方向蒿峪芦苇河大桥作业点后，完成桥检车展开作业，将工作平台调整至作业区域邻近位置，进行施工前准备工作。</w:t>
      </w:r>
    </w:p>
    <w:p w14:paraId="252DE2B3">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10时30分，赵某武（死者）、刘某、秦某国等3名人员进入桥检车工作平台，开始作业。</w:t>
      </w:r>
    </w:p>
    <w:p w14:paraId="043E35EA">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11时30分，操作手刘某将工作平台移动至T型桥梁（编号：左13-3）梁体底面位置，桥检车工作平台底部至T梁翼板底部作业点高差为3.7m，赵某武在工作平台内部无法直接触及作业点位，便摘除安全带挂钩，踩在便携式金属梯上实施作业，秦某国在平台内扶着便携式金属梯，并提醒其不要摘开安全带挂钩，赵某武未听从其意见。</w:t>
      </w:r>
    </w:p>
    <w:p w14:paraId="154C23AA">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11时45分左右，桥检车在无人员操作的状态下发生自主水平位移，工作平台碰撞桥墩盖梁，此时赵某武安全带挂钩已摘除，整个身体已超出平台护栏的保护高度，工作平台受碰撞产生的惯性作用，赵某武从工作平台便携式金属梯上坠落至桥底。</w:t>
      </w:r>
    </w:p>
    <w:p w14:paraId="1B71CAC6">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（二）事故应急救援情况</w:t>
      </w:r>
    </w:p>
    <w:p w14:paraId="04F0EF32">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事故发生后，现场工人立即拨打120急救电话并向上级汇报。</w:t>
      </w:r>
    </w:p>
    <w:p w14:paraId="09732198">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12时05分左右，120急救车辆抵达事发点桥面，因无法救援，12时48分绕行经蒿峪村无名小路至事发桥底事故现场，经医护人员确认赵某武已无自主呼吸及心跳，现场宣告其死亡。</w:t>
      </w:r>
    </w:p>
    <w:p w14:paraId="4C0B7CBC">
      <w:pPr>
        <w:pStyle w:val="4"/>
        <w:keepNext w:val="0"/>
        <w:keepLines w:val="0"/>
        <w:widowControl/>
        <w:suppressLineNumbers w:val="0"/>
        <w:autoSpaceDE w:val="0"/>
        <w:autoSpaceDN/>
        <w:spacing w:line="555" w:lineRule="atLeast"/>
        <w:ind w:left="0" w:firstLine="645"/>
      </w:pPr>
      <w:r>
        <w:rPr>
          <w:rFonts w:hint="eastAsia" w:ascii="黑体" w:hAnsi="宋体" w:eastAsia="黑体" w:cs="黑体"/>
          <w:sz w:val="31"/>
          <w:szCs w:val="31"/>
        </w:rPr>
        <w:t>三、事故原因及性质</w:t>
      </w:r>
    </w:p>
    <w:p w14:paraId="0C60037C">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（一）直接原因</w:t>
      </w:r>
    </w:p>
    <w:p w14:paraId="55362566">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1.在桥检车工作平台上，赵某武违规摘除安全带挂钩，并踩踏便携式金属梯进行高处作业，身体重心超出平台护栏保护范围。当桥检车发生非预期水平位移引发碰撞时，赵某武因失去安全带束缚及平台护栏的有效围挡，从梯上坠落至桥底，违反《坠落防护装备的选择、使用和维护》（GB23468-2025）第4.3.1.1条相关规定，属于违章作业行为，是造成此次事故发生的直接原因。</w:t>
      </w:r>
    </w:p>
    <w:p w14:paraId="225C6B22">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2.桥检车安全保护设施失效，在无人操作的工况下液压系统偶发故障自主发生水平位移，工作平台碰撞桥墩盖梁。</w:t>
      </w:r>
    </w:p>
    <w:p w14:paraId="68EF1D28">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（二）间接原因</w:t>
      </w:r>
    </w:p>
    <w:p w14:paraId="2D765621">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1.桥检车设备设计存在缺陷。涉事桥检车制动装置可靠性不足，在无人操作工况下自主发生水平位移，不符合《生产设备安全卫生设计总则》（GB5083-2023）第5.6.2.7条要求；设备发生非正常位移时未触发声光报警警示，不符合该标准第5.6.1条d项规定；设备非移动作业工况下未设置专用安全停止锁定装置，不符合该标准第5.6.5.1条规定，设备本身存在设计缺陷。</w:t>
      </w:r>
    </w:p>
    <w:p w14:paraId="23402B32">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2.设备技术配置存在缺陷。桥检车工作平台未配置监控系统，不符合《生产设备安全卫生设计总则》（GB5083-2023）第5.6.2.4条要求；设备二回转顶部横梁未按照《YTZ511JQJ11D522HP产品使用保养说明书》（2017年2月版）第七章第二节第二项要求安装视频监控，设备技术配置存在缺失。</w:t>
      </w:r>
    </w:p>
    <w:p w14:paraId="651A18F1">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3.阳城山西省交通新技术发展有限公司安全生产主体责任落实不到位；高处作业安全管理制度执行不严，作业审批、现场监护流于形式。</w:t>
      </w:r>
    </w:p>
    <w:p w14:paraId="70F809F3">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（三）事故的性质</w:t>
      </w:r>
    </w:p>
    <w:p w14:paraId="0EDB9A8E">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经调查认定，</w:t>
      </w:r>
      <w:r>
        <w:rPr>
          <w:rStyle w:val="7"/>
          <w:rFonts w:hint="eastAsia" w:ascii="仿宋" w:hAnsi="仿宋" w:eastAsia="仿宋" w:cs="仿宋"/>
          <w:b/>
          <w:bCs/>
          <w:sz w:val="31"/>
          <w:szCs w:val="31"/>
        </w:rPr>
        <w:t>本起事故是一起因作业人员违章作业，桥梁检测车无人操作的工况下液压系统偶发故障自主发生水平位移导致作业人员高处坠落以及相关单位安全生产主体责任落实不到位，造成的一般生产安全责任事故。</w:t>
      </w:r>
    </w:p>
    <w:p w14:paraId="3E04215F">
      <w:pPr>
        <w:pStyle w:val="4"/>
        <w:keepNext w:val="0"/>
        <w:keepLines w:val="0"/>
        <w:widowControl/>
        <w:suppressLineNumbers w:val="0"/>
        <w:autoSpaceDE w:val="0"/>
        <w:autoSpaceDN/>
        <w:spacing w:line="555" w:lineRule="atLeast"/>
        <w:ind w:left="0" w:firstLine="645"/>
      </w:pPr>
      <w:r>
        <w:rPr>
          <w:rFonts w:hint="eastAsia" w:ascii="黑体" w:hAnsi="宋体" w:eastAsia="黑体" w:cs="黑体"/>
          <w:sz w:val="31"/>
          <w:szCs w:val="31"/>
        </w:rPr>
        <w:t>四、责任分析及处理建议</w:t>
      </w:r>
    </w:p>
    <w:p w14:paraId="5D39D682">
      <w:pPr>
        <w:pStyle w:val="2"/>
        <w:keepNext w:val="0"/>
        <w:keepLines w:val="0"/>
        <w:widowControl/>
        <w:suppressLineNumbers w:val="0"/>
      </w:pPr>
      <w:r>
        <w:rPr>
          <w:rStyle w:val="7"/>
          <w:rFonts w:hint="eastAsia" w:ascii="楷体" w:hAnsi="楷体" w:eastAsia="楷体" w:cs="楷体"/>
          <w:b/>
          <w:sz w:val="31"/>
          <w:szCs w:val="31"/>
        </w:rPr>
        <w:t>（一）对事故有关责任人员的处理建议</w:t>
      </w:r>
    </w:p>
    <w:p w14:paraId="74F1CF09">
      <w:pPr>
        <w:pStyle w:val="4"/>
        <w:keepNext w:val="0"/>
        <w:keepLines w:val="0"/>
        <w:widowControl/>
        <w:suppressLineNumbers w:val="0"/>
        <w:autoSpaceDE w:val="0"/>
        <w:autoSpaceDN/>
        <w:spacing w:line="555" w:lineRule="atLeast"/>
        <w:ind w:left="0" w:firstLine="645"/>
      </w:pPr>
      <w:r>
        <w:rPr>
          <w:rStyle w:val="7"/>
          <w:rFonts w:hint="eastAsia" w:ascii="仿宋" w:hAnsi="仿宋" w:eastAsia="仿宋" w:cs="仿宋"/>
          <w:b/>
          <w:bCs/>
          <w:i w:val="0"/>
          <w:iCs w:val="0"/>
          <w:sz w:val="31"/>
          <w:szCs w:val="31"/>
        </w:rPr>
        <w:t>1.</w:t>
      </w:r>
      <w:r>
        <w:rPr>
          <w:rFonts w:hint="eastAsia" w:ascii="仿宋" w:hAnsi="仿宋" w:eastAsia="仿宋" w:cs="仿宋"/>
          <w:sz w:val="31"/>
          <w:szCs w:val="31"/>
        </w:rPr>
        <w:t>赵某武因其违章作业，导致高处坠落死亡，鉴于其在事故中死亡，免予追究相关责任。</w:t>
      </w:r>
    </w:p>
    <w:p w14:paraId="0F47586A">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2.王某军，晋城高速公路管理公司副总经理，对所分管的公路养护工作监管不力，责令其向晋城高速公路管理公司作出深刻检查。</w:t>
      </w:r>
    </w:p>
    <w:p w14:paraId="288FDC69">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3.冯某红，晋城高速公路管理公司阳城养护工区主任，对施工现场高风险作业环节监管缺位，建议由晋城高速公路管理公司给予其诫勉。</w:t>
      </w:r>
    </w:p>
    <w:p w14:paraId="3A388BF0">
      <w:pPr>
        <w:pStyle w:val="4"/>
        <w:keepNext w:val="0"/>
        <w:keepLines w:val="0"/>
        <w:widowControl/>
        <w:suppressLineNumbers w:val="0"/>
        <w:ind w:left="0" w:firstLine="645"/>
      </w:pPr>
      <w:r>
        <w:rPr>
          <w:rFonts w:hint="eastAsia" w:ascii="仿宋" w:hAnsi="仿宋" w:eastAsia="仿宋" w:cs="仿宋"/>
          <w:sz w:val="31"/>
          <w:szCs w:val="31"/>
        </w:rPr>
        <w:t>4.宁某，新技术公司高级专员（事故发生时分管桥隧加固事业部），对分管业务领域安全生产责任落实不到位，建议由山西交通科学研究院集团有限公司按照有关规定，给予其行政警告处分。</w:t>
      </w:r>
    </w:p>
    <w:p w14:paraId="016B20BD">
      <w:pPr>
        <w:pStyle w:val="4"/>
        <w:keepNext w:val="0"/>
        <w:keepLines w:val="0"/>
        <w:widowControl/>
        <w:suppressLineNumbers w:val="0"/>
        <w:ind w:left="0" w:firstLine="645"/>
      </w:pPr>
      <w:r>
        <w:rPr>
          <w:rFonts w:hint="eastAsia" w:ascii="仿宋" w:hAnsi="仿宋" w:eastAsia="仿宋" w:cs="仿宋"/>
          <w:sz w:val="31"/>
          <w:szCs w:val="31"/>
        </w:rPr>
        <w:t>5.黄某，新技术公司桥隧加固事业部部长，未有效组织对作业现场高风险环节的监督检查，对项目部未履行Ⅲ级高处作业审批备案手续及现场违章作业行为失察。责令其向新技术公司作出深刻检查，并由山西省高速公路综合行政执法总队晋城支队对其处以1万元罚款。</w:t>
      </w:r>
    </w:p>
    <w:p w14:paraId="332BAE55">
      <w:pPr>
        <w:pStyle w:val="4"/>
        <w:keepNext w:val="0"/>
        <w:keepLines w:val="0"/>
        <w:widowControl/>
        <w:suppressLineNumbers w:val="0"/>
        <w:autoSpaceDE w:val="0"/>
        <w:autoSpaceDN/>
        <w:spacing w:line="555" w:lineRule="atLeast"/>
        <w:ind w:left="0" w:firstLine="645"/>
      </w:pPr>
      <w:r>
        <w:rPr>
          <w:rFonts w:hint="eastAsia" w:ascii="仿宋" w:hAnsi="仿宋" w:eastAsia="仿宋" w:cs="仿宋"/>
          <w:b w:val="0"/>
          <w:bCs w:val="0"/>
          <w:i w:val="0"/>
          <w:iCs w:val="0"/>
          <w:sz w:val="31"/>
          <w:szCs w:val="31"/>
        </w:rPr>
        <w:t>6.赵某，</w:t>
      </w:r>
      <w:r>
        <w:rPr>
          <w:rFonts w:hint="eastAsia" w:ascii="仿宋" w:hAnsi="仿宋" w:eastAsia="仿宋" w:cs="仿宋"/>
          <w:sz w:val="31"/>
          <w:szCs w:val="31"/>
        </w:rPr>
        <w:t>新技术公司本项目副总工程师；未严格履行项目副总工程师职责，对现场高风险作业环节技术把关不严，建议由山西省高速公路综合行政执法总队晋城支队对其处以</w:t>
      </w:r>
      <w:r>
        <w:rPr>
          <w:rFonts w:hint="eastAsia" w:ascii="仿宋" w:hAnsi="仿宋" w:eastAsia="仿宋" w:cs="仿宋"/>
          <w:sz w:val="31"/>
          <w:szCs w:val="31"/>
          <w:lang w:eastAsia="zh-CN"/>
        </w:rPr>
        <w:t>2025年度收入</w:t>
      </w:r>
      <w:r>
        <w:rPr>
          <w:rFonts w:hint="eastAsia" w:ascii="仿宋" w:hAnsi="仿宋" w:eastAsia="仿宋" w:cs="仿宋"/>
          <w:sz w:val="31"/>
          <w:szCs w:val="31"/>
        </w:rPr>
        <w:t>20%的罚款。</w:t>
      </w:r>
    </w:p>
    <w:p w14:paraId="452F624F">
      <w:pPr>
        <w:pStyle w:val="4"/>
        <w:keepNext w:val="0"/>
        <w:keepLines w:val="0"/>
        <w:widowControl/>
        <w:suppressLineNumbers w:val="0"/>
        <w:autoSpaceDE w:val="0"/>
        <w:autoSpaceDN/>
        <w:spacing w:line="555" w:lineRule="atLeast"/>
        <w:ind w:left="0" w:firstLine="645"/>
        <w:rPr>
          <w:rFonts w:hint="eastAsia" w:ascii="仿宋" w:hAnsi="仿宋" w:eastAsia="仿宋" w:cs="仿宋"/>
          <w:b w:val="0"/>
          <w:bCs w:val="0"/>
          <w:sz w:val="31"/>
          <w:szCs w:val="31"/>
        </w:rPr>
      </w:pPr>
      <w:r>
        <w:rPr>
          <w:rFonts w:hint="eastAsia" w:ascii="仿宋" w:hAnsi="仿宋" w:eastAsia="仿宋" w:cs="仿宋"/>
          <w:b w:val="0"/>
          <w:bCs w:val="0"/>
          <w:i w:val="0"/>
          <w:iCs w:val="0"/>
          <w:sz w:val="31"/>
          <w:szCs w:val="31"/>
        </w:rPr>
        <w:t>7.</w:t>
      </w:r>
      <w:r>
        <w:rPr>
          <w:rFonts w:hint="eastAsia" w:ascii="仿宋" w:hAnsi="仿宋" w:eastAsia="仿宋" w:cs="仿宋"/>
          <w:b w:val="0"/>
          <w:bCs w:val="0"/>
          <w:sz w:val="31"/>
          <w:szCs w:val="31"/>
        </w:rPr>
        <w:t>陈某</w:t>
      </w:r>
      <w:r>
        <w:rPr>
          <w:rFonts w:hint="eastAsia" w:ascii="仿宋" w:hAnsi="仿宋" w:eastAsia="仿宋" w:cs="仿宋"/>
          <w:sz w:val="31"/>
          <w:szCs w:val="31"/>
        </w:rPr>
        <w:t>军，新技术公司项目副经理，持有的资格证与任职职务不匹配，未严格履行项目副经理职责，未有效组织落实施</w:t>
      </w:r>
      <w:bookmarkStart w:id="0" w:name="_GoBack"/>
      <w:bookmarkEnd w:id="0"/>
      <w:r>
        <w:rPr>
          <w:rFonts w:hint="eastAsia" w:ascii="仿宋" w:hAnsi="仿宋" w:eastAsia="仿宋" w:cs="仿宋"/>
          <w:sz w:val="31"/>
          <w:szCs w:val="31"/>
        </w:rPr>
        <w:t>工现场安全生产责任制，建议由山西省高速公路综合行政执法总队晋城支队</w:t>
      </w:r>
      <w:r>
        <w:rPr>
          <w:rFonts w:hint="eastAsia" w:ascii="仿宋" w:hAnsi="仿宋" w:eastAsia="仿宋" w:cs="仿宋"/>
          <w:b w:val="0"/>
          <w:bCs w:val="0"/>
          <w:sz w:val="31"/>
          <w:szCs w:val="31"/>
        </w:rPr>
        <w:t>对其处以</w:t>
      </w:r>
      <w:r>
        <w:rPr>
          <w:rFonts w:hint="eastAsia" w:ascii="仿宋" w:hAnsi="仿宋" w:eastAsia="仿宋" w:cs="仿宋"/>
          <w:b w:val="0"/>
          <w:bCs w:val="0"/>
          <w:sz w:val="31"/>
          <w:szCs w:val="31"/>
          <w:lang w:eastAsia="zh-CN"/>
        </w:rPr>
        <w:t>2025年度收入</w:t>
      </w:r>
      <w:r>
        <w:rPr>
          <w:rFonts w:hint="eastAsia" w:ascii="仿宋" w:hAnsi="仿宋" w:eastAsia="仿宋" w:cs="仿宋"/>
          <w:b w:val="0"/>
          <w:bCs w:val="0"/>
          <w:sz w:val="31"/>
          <w:szCs w:val="31"/>
        </w:rPr>
        <w:t>20%的罚款。</w:t>
      </w:r>
    </w:p>
    <w:p w14:paraId="4A0213FB">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8.张某，新技术公司本项目专职安全员，未认真履行专职安全管理员职责，日常安全检查流于形式，未能及时发现并消除作业人员违章作业及设备安全隐患，建议由山西省高速公路综合行政执法总队晋城支队对其处以</w:t>
      </w:r>
      <w:r>
        <w:rPr>
          <w:rFonts w:hint="eastAsia" w:ascii="仿宋" w:hAnsi="仿宋" w:eastAsia="仿宋" w:cs="仿宋"/>
          <w:sz w:val="31"/>
          <w:szCs w:val="31"/>
          <w:lang w:eastAsia="zh-CN"/>
        </w:rPr>
        <w:t>2025年度收入</w:t>
      </w:r>
      <w:r>
        <w:rPr>
          <w:rFonts w:hint="eastAsia" w:ascii="仿宋" w:hAnsi="仿宋" w:eastAsia="仿宋" w:cs="仿宋"/>
          <w:sz w:val="31"/>
          <w:szCs w:val="31"/>
        </w:rPr>
        <w:t>30%的罚款。</w:t>
      </w:r>
    </w:p>
    <w:p w14:paraId="692B72B6">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9.李某东，锦润公司劳务分包项目经理，未严格履行项目经理职责，安全教育培训走过场、实效性缺失，建议由山西省高速公路综合行政执法总队晋城支队对其处以</w:t>
      </w:r>
      <w:r>
        <w:rPr>
          <w:rFonts w:hint="eastAsia" w:ascii="仿宋" w:hAnsi="仿宋" w:eastAsia="仿宋" w:cs="仿宋"/>
          <w:sz w:val="31"/>
          <w:szCs w:val="31"/>
          <w:lang w:eastAsia="zh-CN"/>
        </w:rPr>
        <w:t>2025年度收入</w:t>
      </w:r>
      <w:r>
        <w:rPr>
          <w:rFonts w:hint="eastAsia" w:ascii="仿宋" w:hAnsi="仿宋" w:eastAsia="仿宋" w:cs="仿宋"/>
          <w:sz w:val="31"/>
          <w:szCs w:val="31"/>
        </w:rPr>
        <w:t>30%的罚款。</w:t>
      </w:r>
    </w:p>
    <w:p w14:paraId="726D5D7A">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10.邢某良，锦润公司本项目带班长，对施工现场安全作业条件把关不严，对安全风险辨识不到位，对现场违章作业行为的检查与纠正工作不到位，建议由山西省高速公路综合行政执法总队晋城支队</w:t>
      </w:r>
      <w:r>
        <w:rPr>
          <w:rFonts w:hint="eastAsia" w:ascii="仿宋" w:hAnsi="仿宋" w:eastAsia="仿宋" w:cs="仿宋"/>
          <w:b w:val="0"/>
          <w:bCs w:val="0"/>
          <w:sz w:val="31"/>
          <w:szCs w:val="31"/>
        </w:rPr>
        <w:t>对其处以</w:t>
      </w:r>
      <w:r>
        <w:rPr>
          <w:rFonts w:hint="eastAsia" w:ascii="仿宋" w:hAnsi="仿宋" w:eastAsia="仿宋" w:cs="仿宋"/>
          <w:b w:val="0"/>
          <w:bCs w:val="0"/>
          <w:sz w:val="31"/>
          <w:szCs w:val="31"/>
          <w:lang w:eastAsia="zh-CN"/>
        </w:rPr>
        <w:t>2025年度收入</w:t>
      </w:r>
      <w:r>
        <w:rPr>
          <w:rFonts w:hint="eastAsia" w:ascii="仿宋" w:hAnsi="仿宋" w:eastAsia="仿宋" w:cs="仿宋"/>
          <w:b w:val="0"/>
          <w:bCs w:val="0"/>
          <w:sz w:val="31"/>
          <w:szCs w:val="31"/>
        </w:rPr>
        <w:t>20%的罚款。</w:t>
      </w:r>
    </w:p>
    <w:p w14:paraId="6E168016">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11.宁某杰，硕达公司法人，未按照《YTZ511JQJ11D522HP产品使用保养说明书》（2017年2月版）的规定安装监测监控系统，设备日常维护保养不到位，未签订专门的安全管理协议，设备租赁环节安全管理存在明显缺位。建议由山西省高速公路综合行政执法总队晋城支队对其处以2万元罚款。</w:t>
      </w:r>
    </w:p>
    <w:p w14:paraId="175B2DC9">
      <w:pPr>
        <w:pStyle w:val="4"/>
        <w:keepNext w:val="0"/>
        <w:keepLines w:val="0"/>
        <w:widowControl/>
        <w:suppressLineNumbers w:val="0"/>
        <w:autoSpaceDE w:val="0"/>
        <w:autoSpaceDN/>
        <w:spacing w:line="555" w:lineRule="atLeast"/>
        <w:ind w:left="0" w:firstLine="645"/>
      </w:pPr>
      <w:r>
        <w:rPr>
          <w:rFonts w:hint="eastAsia" w:ascii="仿宋" w:hAnsi="仿宋" w:eastAsia="仿宋" w:cs="仿宋"/>
          <w:b w:val="0"/>
          <w:bCs w:val="0"/>
          <w:sz w:val="31"/>
          <w:szCs w:val="31"/>
        </w:rPr>
        <w:t>12.</w:t>
      </w:r>
      <w:r>
        <w:rPr>
          <w:rFonts w:hint="eastAsia" w:ascii="仿宋" w:hAnsi="仿宋" w:eastAsia="仿宋" w:cs="仿宋"/>
          <w:sz w:val="31"/>
          <w:szCs w:val="31"/>
        </w:rPr>
        <w:t>关某昇，监理咨询公司晋城片区总监办负责人，未严格审核高处作业安全防护措施的针对性，对现场监理人员履职情况监督不到位，未能及时发现并纠正施工单位未履行高处作业审批手续及现场违章作业等问题，建议由山西省高速公路综合行政执法总队晋城支队对其处以</w:t>
      </w:r>
      <w:r>
        <w:rPr>
          <w:rFonts w:hint="eastAsia" w:ascii="仿宋" w:hAnsi="仿宋" w:eastAsia="仿宋" w:cs="仿宋"/>
          <w:sz w:val="31"/>
          <w:szCs w:val="31"/>
          <w:lang w:eastAsia="zh-CN"/>
        </w:rPr>
        <w:t>2025年度收入</w:t>
      </w:r>
      <w:r>
        <w:rPr>
          <w:rFonts w:hint="eastAsia" w:ascii="仿宋" w:hAnsi="仿宋" w:eastAsia="仿宋" w:cs="仿宋"/>
          <w:sz w:val="31"/>
          <w:szCs w:val="31"/>
        </w:rPr>
        <w:t>20%的罚款。</w:t>
      </w:r>
    </w:p>
    <w:p w14:paraId="3006743A">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13.赵某社，项目现场监理员，未严格履行现场监理员的职责，在巡视、旁站和检验过程中，未及时发现施工安全存在事故隐患，未能及时发现并纠正现场违章作业等问题，建议由山西省高速公路综合行政执法总队晋城支队</w:t>
      </w:r>
      <w:r>
        <w:rPr>
          <w:rFonts w:hint="eastAsia" w:ascii="仿宋" w:hAnsi="仿宋" w:eastAsia="仿宋" w:cs="仿宋"/>
          <w:b w:val="0"/>
          <w:bCs w:val="0"/>
          <w:sz w:val="31"/>
          <w:szCs w:val="31"/>
        </w:rPr>
        <w:t>对其处以</w:t>
      </w:r>
      <w:r>
        <w:rPr>
          <w:rFonts w:hint="eastAsia" w:ascii="仿宋" w:hAnsi="仿宋" w:eastAsia="仿宋" w:cs="仿宋"/>
          <w:b w:val="0"/>
          <w:bCs w:val="0"/>
          <w:sz w:val="31"/>
          <w:szCs w:val="31"/>
          <w:lang w:eastAsia="zh-CN"/>
        </w:rPr>
        <w:t>2025年度收入</w:t>
      </w:r>
      <w:r>
        <w:rPr>
          <w:rFonts w:hint="eastAsia" w:ascii="仿宋" w:hAnsi="仿宋" w:eastAsia="仿宋" w:cs="仿宋"/>
          <w:b w:val="0"/>
          <w:bCs w:val="0"/>
          <w:sz w:val="31"/>
          <w:szCs w:val="31"/>
        </w:rPr>
        <w:t>20%的罚款。</w:t>
      </w:r>
    </w:p>
    <w:p w14:paraId="51DEA888">
      <w:pPr>
        <w:pStyle w:val="4"/>
        <w:keepNext w:val="0"/>
        <w:keepLines w:val="0"/>
        <w:widowControl/>
        <w:suppressLineNumbers w:val="0"/>
        <w:autoSpaceDE w:val="0"/>
        <w:autoSpaceDN/>
        <w:spacing w:line="555" w:lineRule="atLeast"/>
        <w:ind w:left="0" w:firstLine="645"/>
      </w:pPr>
      <w:r>
        <w:rPr>
          <w:rStyle w:val="7"/>
          <w:rFonts w:hint="eastAsia" w:ascii="楷体" w:hAnsi="楷体" w:eastAsia="楷体" w:cs="楷体"/>
          <w:b/>
          <w:bCs/>
          <w:sz w:val="31"/>
          <w:szCs w:val="31"/>
        </w:rPr>
        <w:t>（二）对责任单位的处理建议</w:t>
      </w:r>
    </w:p>
    <w:p w14:paraId="305188C2">
      <w:pPr>
        <w:pStyle w:val="4"/>
        <w:keepNext w:val="0"/>
        <w:keepLines w:val="0"/>
        <w:widowControl/>
        <w:suppressLineNumbers w:val="0"/>
        <w:autoSpaceDE w:val="0"/>
        <w:autoSpaceDN/>
        <w:spacing w:line="555" w:lineRule="atLeast"/>
        <w:ind w:left="0" w:firstLine="645"/>
      </w:pPr>
      <w:r>
        <w:rPr>
          <w:rStyle w:val="7"/>
          <w:rFonts w:hint="eastAsia" w:ascii="仿宋" w:hAnsi="仿宋" w:eastAsia="仿宋" w:cs="仿宋"/>
          <w:b/>
          <w:bCs/>
          <w:sz w:val="31"/>
          <w:szCs w:val="31"/>
        </w:rPr>
        <w:t>1.山西省交通新技术发展有限公司</w:t>
      </w:r>
    </w:p>
    <w:p w14:paraId="0B69F9AC">
      <w:pPr>
        <w:pStyle w:val="4"/>
        <w:keepNext w:val="0"/>
        <w:keepLines w:val="0"/>
        <w:widowControl/>
        <w:suppressLineNumbers w:val="0"/>
        <w:autoSpaceDE w:val="0"/>
        <w:autoSpaceDN/>
        <w:spacing w:line="555" w:lineRule="atLeast"/>
        <w:ind w:left="0" w:firstLine="645"/>
      </w:pPr>
      <w:r>
        <w:rPr>
          <w:rFonts w:hint="eastAsia" w:ascii="仿宋" w:hAnsi="仿宋" w:eastAsia="仿宋" w:cs="仿宋"/>
          <w:b w:val="0"/>
          <w:bCs w:val="0"/>
          <w:sz w:val="31"/>
          <w:szCs w:val="31"/>
        </w:rPr>
        <w:t>依据《中华人民共和国安全生产法》第一百一十四条之规定，建议由阳城县应急管理局对该公司处以五十万元罚款。</w:t>
      </w:r>
    </w:p>
    <w:p w14:paraId="7A38544D">
      <w:pPr>
        <w:pStyle w:val="4"/>
        <w:keepNext w:val="0"/>
        <w:keepLines w:val="0"/>
        <w:widowControl/>
        <w:suppressLineNumbers w:val="0"/>
        <w:autoSpaceDE w:val="0"/>
        <w:autoSpaceDN/>
        <w:spacing w:line="555" w:lineRule="atLeast"/>
        <w:ind w:left="0" w:firstLine="645"/>
      </w:pPr>
      <w:r>
        <w:rPr>
          <w:rFonts w:hint="eastAsia" w:ascii="黑体" w:hAnsi="宋体" w:eastAsia="黑体" w:cs="黑体"/>
          <w:sz w:val="31"/>
          <w:szCs w:val="31"/>
        </w:rPr>
        <w:t>五、防范和整改措施建议</w:t>
      </w:r>
    </w:p>
    <w:p w14:paraId="3CE6D7A2">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（一）压实全员安全主体责任。健全全员安全生产责任制，传导安全压力，各单位负责人牵头研究安全问题，保障安全投入、培训与基础管理全部到位。</w:t>
      </w:r>
    </w:p>
    <w:p w14:paraId="635E3324">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（二）规范外包外租设备管理。依法签订安全管理协议，厘清双方安全责任，严格落实租赁设备进场验收与日常维保检查。</w:t>
      </w:r>
    </w:p>
    <w:p w14:paraId="1F363031">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三）深化风险分级管控与隐患治理。全面辨识桥梁检测、高处作业风险，优化专项施工方案；严控桥检车位移、平台稳定性等风险，严格执行Ⅲ级及以上高处作业“一事一审批、一岗一确认”；针对T梁结构制定安全带可靠挂点方案，无防护条件一律停工。</w:t>
      </w:r>
    </w:p>
    <w:p w14:paraId="1715080D">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四）提升设备本质安全水平。出租单位全面排查桥检车隐患，加装监控报警装置，完善双重防位移保护；建设单位把特种设备纳入联合验收，不合格设备禁止进场；T梁作业增设锚固挂点，平台内禁止使用无固定便携式金属梯；新建桥梁同步预留安全锚固点。</w:t>
      </w:r>
    </w:p>
    <w:p w14:paraId="5A402FE3">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（五）严格外包劳务安全管控。外包单位落实特种作业持证上岗，建立用工动态台账；强化现场带班人员停工处置权；总包单位将劳务人员统一纳入安全管理，杜绝形式化安全交底。</w:t>
      </w:r>
    </w:p>
    <w:p w14:paraId="4FD06F3A">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（六）强化监理全过程旁站监督。监理细化高风险作业旁站细则，严查防护用品、工具、作业环境；对未审批、防护不到位的作业立即停工并上报建设单位。</w:t>
      </w:r>
    </w:p>
    <w:p w14:paraId="7B299A25">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（七）补齐智慧监管短板。优化监管平台，新增桥下作业视频与人员定位预警，消除“重桥面、轻桥下”监管盲区，实现人员与设备动态监测告警。</w:t>
      </w:r>
    </w:p>
    <w:p w14:paraId="0E55A4EE">
      <w:pPr>
        <w:pStyle w:val="4"/>
        <w:keepNext w:val="0"/>
        <w:keepLines w:val="0"/>
        <w:widowControl/>
        <w:suppressLineNumbers w:val="0"/>
        <w:autoSpaceDE w:val="0"/>
        <w:autoSpaceDN/>
        <w:spacing w:line="555" w:lineRule="atLeast"/>
        <w:ind w:left="0" w:firstLine="645"/>
      </w:pPr>
      <w:r>
        <w:rPr>
          <w:rFonts w:hint="eastAsia" w:ascii="仿宋" w:hAnsi="仿宋" w:eastAsia="仿宋" w:cs="仿宋"/>
          <w:sz w:val="31"/>
          <w:szCs w:val="31"/>
        </w:rPr>
        <w:t>（八）强化安全教育与应急演练。针对高处作业、车辆操作开展专项实操培训，用事故案例提升培训实效，严查习惯性违章；常态化组织应急演练，提升现场管理人员履职能力。</w:t>
      </w:r>
    </w:p>
    <w:p w14:paraId="19878BD7">
      <w:pPr>
        <w:pStyle w:val="4"/>
        <w:keepNext w:val="0"/>
        <w:keepLines w:val="0"/>
        <w:widowControl/>
        <w:suppressLineNumbers w:val="0"/>
        <w:autoSpaceDE w:val="0"/>
        <w:autoSpaceDN/>
        <w:spacing w:line="555" w:lineRule="atLeast"/>
      </w:pPr>
      <w:r>
        <w:rPr>
          <w:rFonts w:hint="eastAsia" w:ascii="仿宋" w:hAnsi="仿宋" w:eastAsia="仿宋" w:cs="仿宋"/>
          <w:sz w:val="31"/>
          <w:szCs w:val="31"/>
        </w:rPr>
        <w:t> </w:t>
      </w:r>
    </w:p>
    <w:p w14:paraId="4B262E30">
      <w:pPr>
        <w:pStyle w:val="4"/>
        <w:keepNext w:val="0"/>
        <w:keepLines w:val="0"/>
        <w:widowControl/>
        <w:suppressLineNumbers w:val="0"/>
        <w:autoSpaceDE w:val="0"/>
        <w:autoSpaceDN/>
        <w:spacing w:line="555" w:lineRule="atLeast"/>
      </w:pPr>
      <w:r>
        <w:rPr>
          <w:rFonts w:hint="eastAsia" w:ascii="仿宋" w:hAnsi="仿宋" w:eastAsia="仿宋" w:cs="仿宋"/>
          <w:sz w:val="31"/>
          <w:szCs w:val="31"/>
        </w:rPr>
        <w:t> </w:t>
      </w:r>
    </w:p>
    <w:p w14:paraId="08302816">
      <w:pPr>
        <w:pStyle w:val="4"/>
        <w:keepNext w:val="0"/>
        <w:keepLines w:val="0"/>
        <w:widowControl/>
        <w:suppressLineNumbers w:val="0"/>
        <w:autoSpaceDE w:val="0"/>
        <w:autoSpaceDN/>
        <w:spacing w:line="555" w:lineRule="atLeast"/>
        <w:jc w:val="right"/>
      </w:pPr>
      <w:r>
        <w:rPr>
          <w:rFonts w:hint="eastAsia" w:ascii="仿宋" w:hAnsi="仿宋" w:eastAsia="仿宋" w:cs="仿宋"/>
          <w:sz w:val="31"/>
          <w:szCs w:val="31"/>
        </w:rPr>
        <w:t>阳城山西省交通新技术发展有限公司</w:t>
      </w:r>
    </w:p>
    <w:p w14:paraId="123F7DB3">
      <w:pPr>
        <w:pStyle w:val="4"/>
        <w:keepNext w:val="0"/>
        <w:keepLines w:val="0"/>
        <w:widowControl/>
        <w:suppressLineNumbers w:val="0"/>
        <w:autoSpaceDE w:val="0"/>
        <w:autoSpaceDN/>
        <w:spacing w:line="555" w:lineRule="atLeast"/>
        <w:jc w:val="right"/>
      </w:pPr>
      <w:r>
        <w:rPr>
          <w:rFonts w:hint="eastAsia" w:ascii="仿宋" w:hAnsi="仿宋" w:eastAsia="仿宋" w:cs="仿宋"/>
          <w:sz w:val="31"/>
          <w:szCs w:val="31"/>
        </w:rPr>
        <w:t>“7·29”一般高处坠落事故调查组</w:t>
      </w:r>
    </w:p>
    <w:p w14:paraId="0A4AD95B">
      <w:pPr>
        <w:pStyle w:val="4"/>
        <w:keepNext w:val="0"/>
        <w:keepLines w:val="0"/>
        <w:widowControl/>
        <w:suppressLineNumbers w:val="0"/>
        <w:autoSpaceDE w:val="0"/>
        <w:autoSpaceDN/>
        <w:spacing w:line="555" w:lineRule="atLeast"/>
        <w:jc w:val="center"/>
      </w:pPr>
      <w:r>
        <w:rPr>
          <w:rFonts w:hint="eastAsia" w:ascii="仿宋" w:hAnsi="仿宋" w:eastAsia="仿宋" w:cs="仿宋"/>
          <w:sz w:val="31"/>
          <w:szCs w:val="31"/>
        </w:rPr>
        <w:t>                       2026年10月</w:t>
      </w:r>
      <w:r>
        <w:rPr>
          <w:rFonts w:hint="eastAsia" w:ascii="仿宋" w:hAnsi="仿宋" w:eastAsia="仿宋" w:cs="仿宋"/>
          <w:sz w:val="31"/>
          <w:szCs w:val="31"/>
          <w:lang w:val="en-US" w:eastAsia="zh-CN"/>
        </w:rPr>
        <w:t>8</w:t>
      </w:r>
      <w:r>
        <w:rPr>
          <w:rFonts w:hint="eastAsia" w:ascii="仿宋" w:hAnsi="仿宋" w:eastAsia="仿宋" w:cs="仿宋"/>
          <w:sz w:val="31"/>
          <w:szCs w:val="31"/>
        </w:rPr>
        <w:t>日</w:t>
      </w:r>
    </w:p>
    <w:p w14:paraId="0783CDC9">
      <w:pPr>
        <w:pStyle w:val="4"/>
        <w:keepNext w:val="0"/>
        <w:keepLines w:val="0"/>
        <w:widowControl/>
        <w:suppressLineNumbers w:val="0"/>
      </w:pPr>
    </w:p>
    <w:p w14:paraId="320BFABE">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392520"/>
    <w:rsid w:val="19AF328C"/>
    <w:rsid w:val="1CAC2C99"/>
    <w:rsid w:val="2BEE6DA7"/>
    <w:rsid w:val="340547BA"/>
    <w:rsid w:val="5F4F7C7F"/>
    <w:rsid w:val="68E314BC"/>
    <w:rsid w:val="6BAD3DBF"/>
    <w:rsid w:val="7D7FBE60"/>
    <w:rsid w:val="7DAF25C3"/>
    <w:rsid w:val="BFC79B5C"/>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2"/>
    <w:basedOn w:val="1"/>
    <w:next w:val="1"/>
    <w:unhideWhenUsed/>
    <w:qFormat/>
    <w:uiPriority w:val="0"/>
    <w:pPr>
      <w:keepNext w:val="0"/>
      <w:keepLines w:val="0"/>
      <w:topLinePunct/>
      <w:spacing w:beforeLines="0" w:beforeAutospacing="0" w:afterLines="0" w:afterAutospacing="0" w:line="560" w:lineRule="exact"/>
      <w:ind w:firstLine="883" w:firstLineChars="200"/>
      <w:jc w:val="left"/>
      <w:outlineLvl w:val="1"/>
    </w:pPr>
    <w:rPr>
      <w:rFonts w:eastAsia="楷体"/>
      <w:b/>
    </w:rPr>
  </w:style>
  <w:style w:type="paragraph" w:styleId="3">
    <w:name w:val="heading 3"/>
    <w:basedOn w:val="1"/>
    <w:next w:val="1"/>
    <w:unhideWhenUsed/>
    <w:qFormat/>
    <w:uiPriority w:val="0"/>
    <w:pPr>
      <w:keepNext w:val="0"/>
      <w:keepLines w:val="0"/>
      <w:adjustRightInd w:val="0"/>
      <w:snapToGrid w:val="0"/>
      <w:spacing w:beforeLines="0" w:beforeAutospacing="0" w:afterLines="0" w:afterAutospacing="0" w:line="560" w:lineRule="exact"/>
      <w:outlineLvl w:val="2"/>
    </w:pPr>
    <w:rPr>
      <w:b/>
    </w:rPr>
  </w:style>
  <w:style w:type="character" w:default="1" w:styleId="6">
    <w:name w:val="Default Paragraph Font"/>
    <w:qFormat/>
    <w:uiPriority w:val="1"/>
  </w:style>
  <w:style w:type="table" w:default="1" w:styleId="5">
    <w:name w:val="Normal Table"/>
    <w:qFormat/>
    <w:uiPriority w:val="99"/>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4572</Words>
  <Characters>4912</Characters>
  <Paragraphs>33</Paragraphs>
  <TotalTime>14</TotalTime>
  <ScaleCrop>false</ScaleCrop>
  <LinksUpToDate>false</LinksUpToDate>
  <CharactersWithSpaces>4938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2026-10-25T02:54:00Z</dcterms:created>
  <dc:creator>23046RP50C</dc:creator>
  <cp:lastModifiedBy>嘻嘻嘻</cp:lastModifiedBy>
  <dcterms:modified xsi:type="dcterms:W3CDTF">2026-11-02T08:15:43Z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56c0c50d15fe46249ba9c272ef5be52f_21</vt:lpwstr>
  </property>
  <property fmtid="{D5CDD505-2E9C-101B-9397-08002B2CF9AE}" pid="3" name="KSOProductBuildVer">
    <vt:lpwstr>2052-12.1.0.28505</vt:lpwstr>
  </property>
  <property fmtid="{D5CDD505-2E9C-101B-9397-08002B2CF9AE}" pid="4" name="KSOTemplateDocerSaveRecord">
    <vt:lpwstr>eyJoZGlkIjoiMTE3YjJkOWRlZTk0YTczYzkyN2YyNDM1ZjE4YzdiZTAiLCJ1c2VySWQiOiI0NDIxMzkwMjUifQ==</vt:lpwstr>
  </property>
</Properties>
</file>