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D86D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eastAsia="zh-CN"/>
        </w:rPr>
      </w:pPr>
    </w:p>
    <w:p w14:paraId="3A0F7BE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eastAsia="zh-CN"/>
        </w:rPr>
        <w:t>阳城县民政局202</w:t>
      </w:r>
      <w:r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eastAsia="zh-CN"/>
        </w:rPr>
        <w:t>年政府信息公开工作</w:t>
      </w:r>
    </w:p>
    <w:p w14:paraId="0D2E4FAC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default" w:ascii="宋体" w:hAnsi="宋体"/>
          <w:snapToGrid/>
          <w:sz w:val="2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snapToGrid/>
          <w:color w:val="auto"/>
          <w:sz w:val="44"/>
          <w:szCs w:val="44"/>
          <w:shd w:val="clear" w:color="auto" w:fill="FFFFFF"/>
          <w:lang w:eastAsia="zh-CN"/>
        </w:rPr>
        <w:t>年度报告</w:t>
      </w:r>
    </w:p>
    <w:p w14:paraId="1DB86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textAlignment w:val="auto"/>
        <w:rPr>
          <w:rFonts w:hint="default" w:ascii="宋体" w:hAnsi="宋体"/>
          <w:snapToGrid/>
          <w:sz w:val="24"/>
        </w:rPr>
      </w:pPr>
      <w:bookmarkStart w:id="0" w:name="_GoBack"/>
      <w:bookmarkEnd w:id="0"/>
    </w:p>
    <w:p w14:paraId="39D2C7D2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一、总体情况</w:t>
      </w:r>
    </w:p>
    <w:p w14:paraId="069AE06C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仿宋_GB2312" w:hAnsi="仿宋_GB2312" w:eastAsia="仿宋_GB2312"/>
          <w:snapToGrid/>
          <w:sz w:val="24"/>
          <w:shd w:val="clear" w:color="auto" w:fill="FFFFFF"/>
          <w:lang w:eastAsia="zh-CN"/>
        </w:rPr>
      </w:pP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2025年，我局紧密围绕县委、县政府关于提升政务公开水平的决策部署，持续加强组织领导，健全工作机制。通过成立领导小组、完善相关制度，扎实做好工作的指导、监督与检查，确保各项规定落实到位。同时，进一步规范主动公开与依申请公开的范围及程序，严格做好信息报送、保密审查和动态更新发布等工作，切实保障政府信息公开的及时性、准确性和规范性。</w:t>
      </w:r>
    </w:p>
    <w:p w14:paraId="479647AC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（一）主动公开方面</w:t>
      </w:r>
    </w:p>
    <w:p w14:paraId="1A6135F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</w:pP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我局门户网站202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5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年共更新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102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条公开信息。其中部门工作更新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27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条、财政信息更新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2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条、法规文件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4条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和政策解读更新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3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条、提案办理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17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件、市场主体相关事项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2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条、养老服务领域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7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条、社会救助领域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30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条、权责清单1条。</w:t>
      </w:r>
    </w:p>
    <w:p w14:paraId="1B2A227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</w:pP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民政局政务新媒体有“阳城民政”微信公众号，202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5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年度共计公开信息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u w:val="none"/>
          <w:shd w:val="clear" w:color="auto" w:fill="FFFFFF"/>
          <w:lang w:val="en-US" w:eastAsia="zh-CN"/>
        </w:rPr>
        <w:t>330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条。</w:t>
      </w:r>
    </w:p>
    <w:p w14:paraId="4CF0462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（二）依申请公开方面</w:t>
      </w:r>
    </w:p>
    <w:p w14:paraId="6CCDE82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</w:pP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5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年，我局共接收政府信息公开申请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u w:val="none"/>
          <w:shd w:val="clear" w:color="auto" w:fill="FFFFFF"/>
          <w:lang w:val="en-US" w:eastAsia="zh-CN"/>
        </w:rPr>
        <w:t>0</w:t>
      </w:r>
      <w:r>
        <w:rPr>
          <w:rFonts w:hint="default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件</w:t>
      </w:r>
      <w:r>
        <w:rPr>
          <w:rFonts w:hint="eastAsia" w:ascii="仿宋_GB2312" w:hAnsi="仿宋_GB2312" w:eastAsia="仿宋_GB2312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。</w:t>
      </w:r>
    </w:p>
    <w:p w14:paraId="1875AC1A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（三）政府信息管理方面</w:t>
      </w:r>
      <w:r>
        <w:rPr>
          <w:rFonts w:hint="default" w:ascii="宋体" w:hAnsi="宋体"/>
          <w:b/>
          <w:snapToGrid/>
          <w:sz w:val="22"/>
        </w:rPr>
        <w:br w:type="textWrapping"/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  <w:lang w:eastAsia="zh-CN"/>
        </w:rPr>
        <w:t>严格执行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  <w:t>“三审三校”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  <w:lang w:eastAsia="zh-CN"/>
        </w:rPr>
        <w:t>审核机制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  <w:t>。</w:t>
      </w:r>
    </w:p>
    <w:p w14:paraId="4E6F39F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严把信息稿件初审关。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信息编撰人员要坚持专业标准，在撰写信息的同时即对稿件的选题、内容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、文字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等进行全面审阅，严格落实内容审核责任。</w:t>
      </w:r>
    </w:p>
    <w:p w14:paraId="3813FDE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强化内容专业复审关。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由信息内容涉及的业务股室负责人，在初审基础上对稿件进行深入复审，对稿件整体质量及初审意见进行复核与评估，形成复审结论。</w:t>
      </w:r>
    </w:p>
    <w:p w14:paraId="15EFE97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落实意识形态终审关。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由相关业务股室的分管领导对稿件进行最终审定。终审须综合考量初审、复审意见，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  <w:lang w:val="en-US" w:eastAsia="zh-CN"/>
        </w:rPr>
        <w:t>形成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稿件的最终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意见。</w:t>
      </w:r>
    </w:p>
    <w:p w14:paraId="4ECCA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</w:pPr>
      <w:r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  <w:t>引入技术辅助审核环节。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通过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智能校对系统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对稿件进行辅助审核，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0A0000" w:fill="FFFFFF"/>
        </w:rPr>
        <w:t>作为信息发布审核流程的固定前置环节，切实提升内容审核的效率和精准度。</w:t>
      </w:r>
    </w:p>
    <w:p w14:paraId="324A6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  <w:t>压实岗位责任与管理要求。</w:t>
      </w:r>
      <w:r>
        <w:rPr>
          <w:rFonts w:hint="eastAsia" w:ascii="仿宋_GB2312" w:hAnsi="仿宋_GB2312" w:eastAsia="仿宋_GB2312" w:cs="仿宋_GB2312"/>
          <w:snapToGrid/>
          <w:sz w:val="32"/>
          <w:szCs w:val="32"/>
        </w:rPr>
        <w:t>严格执行岗位责任制及责任追究机制，对未按程序和规定开展工作的行为予以及时纠正批评。强化对外宣传队伍专业化建设，重点围绕扩大对外宣传、提升舆情分析研判、加强舆论引导等方向开展常态化业务培训与学习，提升队伍综合素质与实战能力。</w:t>
      </w:r>
    </w:p>
    <w:p w14:paraId="0F6BF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snapToGrid/>
          <w:sz w:val="32"/>
          <w:szCs w:val="32"/>
        </w:rPr>
        <w:t>健全监管机制与闭环管理。</w:t>
      </w:r>
      <w:r>
        <w:rPr>
          <w:rFonts w:hint="eastAsia" w:ascii="仿宋_GB2312" w:hAnsi="仿宋_GB2312" w:eastAsia="仿宋_GB2312" w:cs="仿宋_GB2312"/>
          <w:snapToGrid/>
          <w:sz w:val="32"/>
          <w:szCs w:val="32"/>
        </w:rPr>
        <w:t>全面履行管理职责，从严落实“三审三校”制度，持续抓好信息发布导向和质量双重管控</w:t>
      </w:r>
      <w:r>
        <w:rPr>
          <w:rFonts w:hint="eastAsia" w:ascii="仿宋_GB2312" w:hAnsi="仿宋_GB2312" w:eastAsia="仿宋_GB2312" w:cs="仿宋_GB2312"/>
          <w:snapToGrid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sz w:val="32"/>
          <w:szCs w:val="32"/>
        </w:rPr>
        <w:t>对监管中发现的问题及时督促整改，确保各项制度执行到位、管理落到实处。</w:t>
      </w:r>
    </w:p>
    <w:p w14:paraId="7582385C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（四）政府信息公开平台建设方面</w:t>
      </w:r>
    </w:p>
    <w:p w14:paraId="5811E94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仿宋_GB2312" w:hAnsi="仿宋_GB2312" w:eastAsia="仿宋_GB2312"/>
          <w:snapToGrid/>
          <w:sz w:val="24"/>
          <w:shd w:val="clear" w:color="auto" w:fill="FFFFFF"/>
          <w:lang w:eastAsia="zh-CN"/>
        </w:rPr>
      </w:pPr>
      <w:r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一是规范提升政府门户网站民政专栏建设质量，确保各类信息及时发布。二是强化与政务媒体的协同联动，加大社会救助、养老服务、社区治理、殡葬改革等民政工作</w:t>
      </w:r>
      <w:r>
        <w:rPr>
          <w:rFonts w:hint="eastAsia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的</w:t>
      </w:r>
      <w:r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宣传力度，持续提升民政工作社会影响力和政策知晓度。</w:t>
      </w:r>
    </w:p>
    <w:p w14:paraId="4F7C7EE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二、主动公开政府信息情况</w:t>
      </w:r>
    </w:p>
    <w:tbl>
      <w:tblPr>
        <w:tblStyle w:val="5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3"/>
        <w:gridCol w:w="2353"/>
        <w:gridCol w:w="1816"/>
        <w:gridCol w:w="1932"/>
      </w:tblGrid>
      <w:tr w14:paraId="441BA7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454" w:type="dxa"/>
            <w:gridSpan w:val="4"/>
            <w:tcBorders>
              <w:top w:val="outset" w:color="000000" w:sz="6" w:space="0"/>
              <w:left w:val="outset" w:color="000000" w:sz="6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86C7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第二十条第（一）项</w:t>
            </w:r>
          </w:p>
        </w:tc>
      </w:tr>
      <w:tr w14:paraId="3E1255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BF29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117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本年制发件数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2F34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本年废止数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F619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现行有效件数</w:t>
            </w:r>
          </w:p>
        </w:tc>
      </w:tr>
      <w:tr w14:paraId="7954D9C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7D81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规章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17F9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CFCD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4B1E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7FCA10F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899B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行政规范性文件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7D98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0394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9897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  <w:tr w14:paraId="7C1CA1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454" w:type="dxa"/>
            <w:gridSpan w:val="4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D834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第二十条第（五）项</w:t>
            </w:r>
          </w:p>
        </w:tc>
      </w:tr>
      <w:tr w14:paraId="5D0E31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3BB4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E5D8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本年处理决定数量</w:t>
            </w:r>
          </w:p>
        </w:tc>
      </w:tr>
      <w:tr w14:paraId="765DEC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95A3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行政许可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0963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6961F36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454" w:type="dxa"/>
            <w:gridSpan w:val="4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1DA0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第二十条第（六）项</w:t>
            </w:r>
          </w:p>
        </w:tc>
      </w:tr>
      <w:tr w14:paraId="4F307D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94C1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A36A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本年处理决定数量</w:t>
            </w:r>
          </w:p>
        </w:tc>
      </w:tr>
      <w:tr w14:paraId="135D98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2408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行政处罚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9C68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528CC88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DCA3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行政强制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641A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4EB7E45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454" w:type="dxa"/>
            <w:gridSpan w:val="4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1087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第二十条第（八）项</w:t>
            </w:r>
          </w:p>
        </w:tc>
      </w:tr>
      <w:tr w14:paraId="50837A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7D49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8D4F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本年收费金额（单位：万元）</w:t>
            </w:r>
          </w:p>
        </w:tc>
      </w:tr>
      <w:tr w14:paraId="4AB57BD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3" w:type="dxa"/>
            <w:tcBorders>
              <w:top w:val="single" w:color="000000" w:sz="4" w:space="0"/>
              <w:left w:val="outset" w:color="000000" w:sz="6" w:space="0"/>
              <w:bottom w:val="outset" w:color="000000" w:sz="6" w:space="0"/>
              <w:right w:val="single" w:color="000000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72DE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行政事业性收费</w:t>
            </w:r>
          </w:p>
        </w:tc>
        <w:tc>
          <w:tcPr>
            <w:tcW w:w="6101" w:type="dxa"/>
            <w:gridSpan w:val="3"/>
            <w:tcBorders>
              <w:top w:val="single" w:color="000000" w:sz="4" w:space="0"/>
              <w:left w:val="single" w:color="000000" w:sz="4" w:space="0"/>
              <w:bottom w:val="outset" w:color="000000" w:sz="6" w:space="0"/>
              <w:right w:val="outset" w:color="000000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CB3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42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</w:tbl>
    <w:p w14:paraId="13EA9C24">
      <w:pPr>
        <w:keepNext w:val="0"/>
        <w:keepLines w:val="0"/>
        <w:pageBreakBefore w:val="0"/>
        <w:shd w:val="solid" w:color="FFFFFF" w:fill="auto"/>
        <w:kinsoku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仿宋_GB2312" w:hAnsi="仿宋_GB2312" w:eastAsia="仿宋_GB2312"/>
          <w:snapToGrid/>
          <w:sz w:val="24"/>
          <w:shd w:val="clear" w:color="auto" w:fill="FFFFFF"/>
          <w:lang w:eastAsia="zh-CN"/>
        </w:rPr>
      </w:pPr>
      <w:r>
        <w:rPr>
          <w:rFonts w:hint="default" w:ascii="黑体" w:hAnsi="黑体" w:eastAsia="黑体" w:cs="黑体"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三、收到和处理政府信息公开申请情况</w:t>
      </w:r>
    </w:p>
    <w:tbl>
      <w:tblPr>
        <w:tblStyle w:val="5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2"/>
        <w:gridCol w:w="1084"/>
        <w:gridCol w:w="987"/>
        <w:gridCol w:w="922"/>
        <w:gridCol w:w="740"/>
        <w:gridCol w:w="740"/>
        <w:gridCol w:w="759"/>
        <w:gridCol w:w="759"/>
        <w:gridCol w:w="740"/>
        <w:gridCol w:w="920"/>
      </w:tblGrid>
      <w:tr w14:paraId="335A74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vMerge w:val="restart"/>
            <w:tcBorders>
              <w:top w:val="outset" w:color="333333" w:sz="6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51F7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（本列数据的勾稽关系为：第一项加第二项之和，等于第三项加第四项之和）</w:t>
            </w:r>
          </w:p>
        </w:tc>
        <w:tc>
          <w:tcPr>
            <w:tcW w:w="5580" w:type="dxa"/>
            <w:gridSpan w:val="7"/>
            <w:tcBorders>
              <w:top w:val="outset" w:color="333333" w:sz="6" w:space="0"/>
              <w:left w:val="single" w:color="333333" w:sz="4" w:space="0"/>
              <w:bottom w:val="single" w:color="333333" w:sz="4" w:space="0"/>
              <w:right w:val="outset" w:color="333333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D9D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申请人情况</w:t>
            </w:r>
          </w:p>
        </w:tc>
      </w:tr>
      <w:tr w14:paraId="4B94F7A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AF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C028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自然人</w:t>
            </w:r>
          </w:p>
        </w:tc>
        <w:tc>
          <w:tcPr>
            <w:tcW w:w="3738" w:type="dxa"/>
            <w:gridSpan w:val="5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00C0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法人或其他组织</w:t>
            </w:r>
          </w:p>
        </w:tc>
        <w:tc>
          <w:tcPr>
            <w:tcW w:w="920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outset" w:color="333333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4F9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总计</w:t>
            </w:r>
          </w:p>
        </w:tc>
      </w:tr>
      <w:tr w14:paraId="4BA772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AB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22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63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07ED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商业</w:t>
            </w:r>
          </w:p>
          <w:p w14:paraId="76D4BA8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企业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9DC1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科研</w:t>
            </w:r>
          </w:p>
          <w:p w14:paraId="0F2A58B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u w:val="none"/>
                <w:shd w:val="clear" w:color="auto" w:fill="FFFFFF"/>
                <w:lang w:eastAsia="zh-CN"/>
              </w:rPr>
              <w:t>机构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3CAE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社会公益组织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62BC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法律服务机构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187B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其他</w:t>
            </w:r>
          </w:p>
        </w:tc>
        <w:tc>
          <w:tcPr>
            <w:tcW w:w="920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outset" w:color="333333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6FB2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napToGrid/>
                <w:sz w:val="24"/>
                <w:szCs w:val="24"/>
              </w:rPr>
            </w:pPr>
          </w:p>
        </w:tc>
      </w:tr>
      <w:tr w14:paraId="3C5D9EF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F850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一、本年新收政府信息公开申请数量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FEBB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AD24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0004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1496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38A8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E0B6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C839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  <w:tr w14:paraId="3F93754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23CE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二、上年结转政府信息公开申请数量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6EB9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1C60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F780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421D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DDFD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78BB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2BA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13938A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restart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6312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三、本年度办理结果</w:t>
            </w:r>
          </w:p>
        </w:tc>
        <w:tc>
          <w:tcPr>
            <w:tcW w:w="2071" w:type="dxa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6AF6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（一）予以公开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56C7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CA1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D84B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DFF4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8DBF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1A54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outset" w:color="333333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A0D5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10057E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1C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B95F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（二）部分公开（区分处理的，只计这一情形，不计其他情形）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342A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AB16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8591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64A3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2108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AA50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FFBB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  <w:tr w14:paraId="5D57B41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F7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C0E7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（三）</w:t>
            </w:r>
          </w:p>
          <w:p w14:paraId="6620B46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不予公开</w:t>
            </w: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428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1．属于国家秘密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16F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108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572E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1ABC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4EFE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CDBE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outset" w:color="333333" w:sz="6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277E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67D8C43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F4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89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CC9C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2．其他法律行政法规禁止公开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D802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F5B5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02E6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F03D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2ABE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DB6E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9A86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2F9DB93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14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30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C622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3．危及“三安全一稳定”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5ECF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BA72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F02F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E278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8A5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AE35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09A8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63707E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D4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59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08A5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4．保护第三方合法权益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39FE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8EC1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A6ED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0CF1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18DD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DF96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EDA6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5D3798C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82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E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7377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5．属于三类内部事务信息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BB27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C3DB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C538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65A0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5B5C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C298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E175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21D9687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C7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FE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76D6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6．属于四类过程性信息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7675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6C6F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0615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96AD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3AFE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76DF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13A1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13CE051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F2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32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4D43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7．属于行政执法案卷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D6AB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0904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3C0B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A595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568A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CE7E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838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4099D9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CF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A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CCF7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8．属于行政查询事项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2BC8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3B88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504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DE04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CBE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8545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F188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2FF792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E1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736F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（四）</w:t>
            </w:r>
          </w:p>
          <w:p w14:paraId="355EA39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无法提供</w:t>
            </w: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BFDC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1．本机关不掌握相关政府信息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0F82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DCA6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E509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DA8C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74BD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8460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26CE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  <w:tr w14:paraId="22A1FA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14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31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5E59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2．没有现成信息需要另行制作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C6CF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9B55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6DB0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0D3C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A59F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8ACA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F1E1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2993A76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00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8D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6A28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3．补正后申请内容仍不明确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2B70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1E23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B735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5202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166E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C72D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2A73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576013A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AD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6949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（五）</w:t>
            </w:r>
          </w:p>
          <w:p w14:paraId="6622B40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不予处理</w:t>
            </w: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53A7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1．信访举报投诉类申请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E1D1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4868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B023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82E8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4312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B0C2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88FF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2F5FC16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93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B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B63A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2．重复申请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1B64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50AE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9FC5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F24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EC68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3E0C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C5BE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1A185D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71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A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D672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3．要求提供公开出版物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FA60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A75D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2A35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CDAD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20B9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817A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36CA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4ED2074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F4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69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08DE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4．无正当理由大量反复申请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C315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9AFB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22F5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9E2E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2A76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DA1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126C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67BA4A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33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8B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027E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5．要求行政机关确认或重新出具已获取信息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BE30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16BA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FFD1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AC22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4BB4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2812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3B72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0C44B59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D9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4673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（六）</w:t>
            </w:r>
          </w:p>
          <w:p w14:paraId="2A669F1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其他处理</w:t>
            </w: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29B8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1．申请人无正当理由逾期不补正、行政机关不再处理其政府信息公开申请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5DB6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FB49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66D2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1CAF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6BC8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CAF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EC29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6A76A0C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06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67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2C6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2．申请人逾期未按收费通知要求缴纳费用、行政机关不再处理其政府信息公开申请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999C5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6664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89DE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98E0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18FF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ACA0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F331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0D28F69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6F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17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198B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3．其他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8BFF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D9DA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FB1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967C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FB78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908C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9603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  <w:tr w14:paraId="1041E91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02" w:type="dxa"/>
            <w:vMerge w:val="continue"/>
            <w:tcBorders>
              <w:top w:val="single" w:color="333333" w:sz="4" w:space="0"/>
              <w:left w:val="outset" w:color="333333" w:sz="6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70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15D8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（七）总计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F6B6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2E50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E30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114D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B4EC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7B321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E165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  <w:tr w14:paraId="5813E2F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73" w:type="dxa"/>
            <w:gridSpan w:val="3"/>
            <w:tcBorders>
              <w:top w:val="single" w:color="333333" w:sz="4" w:space="0"/>
              <w:left w:val="outset" w:color="333333" w:sz="6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F09D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四、结转下年度继续办理</w:t>
            </w:r>
          </w:p>
        </w:tc>
        <w:tc>
          <w:tcPr>
            <w:tcW w:w="922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2794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0F6C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3551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EB74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C849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740" w:type="dxa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116D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920" w:type="dxa"/>
            <w:tcBorders>
              <w:top w:val="single" w:color="333333" w:sz="4" w:space="0"/>
              <w:left w:val="single" w:color="333333" w:sz="4" w:space="0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DF7E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</w:tr>
    </w:tbl>
    <w:p w14:paraId="67796148">
      <w:pPr>
        <w:keepNext w:val="0"/>
        <w:keepLines w:val="0"/>
        <w:pageBreakBefore w:val="0"/>
        <w:shd w:val="solid" w:color="FFFFFF" w:fill="auto"/>
        <w:kinsoku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napToGrid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snapToGrid/>
          <w:color w:val="333333"/>
          <w:spacing w:val="0"/>
          <w:sz w:val="32"/>
          <w:szCs w:val="32"/>
          <w:shd w:val="clear" w:color="auto" w:fill="FFFFFF"/>
          <w:lang w:eastAsia="zh-CN"/>
        </w:rPr>
        <w:t>四、政府信息公开行政复议、行政诉讼情况</w:t>
      </w:r>
    </w:p>
    <w:tbl>
      <w:tblPr>
        <w:tblStyle w:val="5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single" w:color="333333" w:sz="4" w:space="0"/>
          <w:insideV w:val="single" w:color="333333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596"/>
        <w:gridCol w:w="596"/>
        <w:gridCol w:w="596"/>
        <w:gridCol w:w="596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690"/>
      </w:tblGrid>
      <w:tr w14:paraId="267EB6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22" w:type="dxa"/>
            <w:gridSpan w:val="5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CB6D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行政复议</w:t>
            </w:r>
          </w:p>
        </w:tc>
        <w:tc>
          <w:tcPr>
            <w:tcW w:w="5532" w:type="dxa"/>
            <w:gridSpan w:val="10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D216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行政诉讼</w:t>
            </w:r>
          </w:p>
        </w:tc>
      </w:tr>
      <w:tr w14:paraId="38CA7BD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vMerge w:val="restart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62F9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A8B7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55D4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3F37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47EB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总计</w:t>
            </w:r>
          </w:p>
        </w:tc>
        <w:tc>
          <w:tcPr>
            <w:tcW w:w="2690" w:type="dxa"/>
            <w:gridSpan w:val="5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57EC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未经复议直接起诉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EE4B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复议后起诉</w:t>
            </w:r>
          </w:p>
        </w:tc>
      </w:tr>
      <w:tr w14:paraId="6815255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vMerge w:val="continue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77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E2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6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2606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AFC1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630"/>
              <w:jc w:val="center"/>
              <w:textAlignment w:val="auto"/>
              <w:rPr>
                <w:rFonts w:hint="default" w:ascii="宋体" w:hAnsi="宋体"/>
                <w:sz w:val="24"/>
                <w:szCs w:val="24"/>
              </w:rPr>
            </w:pP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E4D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6BE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47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FDBA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9DDF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总计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50C46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4D833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E67D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C2B40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690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343DC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总计</w:t>
            </w:r>
          </w:p>
        </w:tc>
      </w:tr>
      <w:tr w14:paraId="33EB3E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85D9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9BB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96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865B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96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0220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96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CCB7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B207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CDCD8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B49AF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BBA0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E96A4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AB3CB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5DE02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B35CE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538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E302D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napToGrid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/>
                <w:i w:val="0"/>
                <w:snapToGrid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0</w:t>
            </w:r>
          </w:p>
        </w:tc>
        <w:tc>
          <w:tcPr>
            <w:tcW w:w="690" w:type="dxa"/>
            <w:tcBorders>
              <w:tl2br w:val="nil"/>
              <w:tr2bl w:val="nil"/>
            </w:tcBorders>
            <w:shd w:val="solid" w:color="FFFFFF" w:fill="auto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CBFBA"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>0</w:t>
            </w:r>
          </w:p>
        </w:tc>
      </w:tr>
    </w:tbl>
    <w:p w14:paraId="61D34E7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/>
        <w:jc w:val="both"/>
        <w:textAlignment w:val="auto"/>
        <w:rPr>
          <w:rFonts w:hint="eastAsia" w:ascii="黑体" w:hAnsi="黑体" w:eastAsia="黑体" w:cs="黑体"/>
          <w:b w:val="0"/>
          <w:i w:val="0"/>
          <w:snapToGrid/>
          <w:color w:val="000000"/>
          <w:sz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五、存在的主要问题及改进情况</w:t>
      </w:r>
    </w:p>
    <w:p w14:paraId="169FC2D2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2025年，我局政府信息公开工作在取得进展的同时，也清醒认识到存在的短板：一是人员专业能力对政策的把握和解读能力需强化；二是信息发布的质量管控不足；三是公开时效性有待提升。</w:t>
      </w:r>
    </w:p>
    <w:p w14:paraId="38D96EC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年，阳城县民政局将持续深化落实《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政府信息公开条例》，进一步拓展公开领域、创新公开方式，推动政务公开工作更加规范、透明、高效运行。重点抓好以下三方面工作：</w:t>
      </w:r>
    </w:p>
    <w:p w14:paraId="400B2F37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一是持续规范主动公开。严格依据《条例》及相关政策要求，明确并落实主动公开的法定范围和事项，确保政府信息依法、准确、及时向社会公开。</w:t>
      </w:r>
    </w:p>
    <w:p w14:paraId="09828E3F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二是深化重点领域公开。紧扣年度重点工作和社会关切，围绕政策文件、工作动态及民生热点难点，主动、精准发布相关信息。</w:t>
      </w:r>
    </w:p>
    <w:p w14:paraId="3BE48CC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shd w:val="clear" w:color="auto" w:fill="FFFFFF"/>
          <w:lang w:eastAsia="zh-CN"/>
        </w:rPr>
        <w:t>三是健全信息发布审查机制。严格执行政府信息公开前审查制度，严把内容关、质量关。加强对主动公开和依申请公开内容的常态化督促检查，确保所发布信息内容真实、数据准确、发布规范。</w:t>
      </w:r>
    </w:p>
    <w:p w14:paraId="2723330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/>
        <w:jc w:val="both"/>
        <w:textAlignment w:val="auto"/>
        <w:rPr>
          <w:rFonts w:hint="eastAsia" w:ascii="黑体" w:hAnsi="黑体" w:eastAsia="黑体" w:cs="黑体"/>
          <w:b w:val="0"/>
          <w:i w:val="0"/>
          <w:snapToGrid/>
          <w:color w:val="000000"/>
          <w:sz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六、其他需要报告的事项</w:t>
      </w:r>
    </w:p>
    <w:p w14:paraId="36AE9AC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/>
        <w:jc w:val="both"/>
        <w:textAlignment w:val="auto"/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</w:pPr>
      <w:r>
        <w:rPr>
          <w:rFonts w:hint="eastAsia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本机关2025年度未收取政府信息公开信息处理费</w:t>
      </w:r>
      <w:r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eastAsia="zh-CN"/>
        </w:rPr>
        <w:t>。</w:t>
      </w:r>
    </w:p>
    <w:p w14:paraId="7A335AE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/>
        <w:jc w:val="both"/>
        <w:textAlignment w:val="auto"/>
        <w:rPr>
          <w:rFonts w:hint="default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b w:val="0"/>
          <w:i w:val="0"/>
          <w:snapToGrid/>
          <w:color w:val="333333"/>
          <w:spacing w:val="0"/>
          <w:sz w:val="30"/>
          <w:shd w:val="clear" w:color="auto" w:fill="FFFFFF"/>
          <w:lang w:val="en-US" w:eastAsia="zh-CN"/>
        </w:rPr>
        <w:t>本报告电子版可从“阳城县人民政府”门户网站（www.yczf.gov.cn）下载。</w:t>
      </w:r>
    </w:p>
    <w:p w14:paraId="049B95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E2A67"/>
    <w:rsid w:val="00825154"/>
    <w:rsid w:val="01303AC5"/>
    <w:rsid w:val="054A784B"/>
    <w:rsid w:val="094D790A"/>
    <w:rsid w:val="0AB80DB3"/>
    <w:rsid w:val="0EE87CB9"/>
    <w:rsid w:val="11F05790"/>
    <w:rsid w:val="17E7717C"/>
    <w:rsid w:val="18666ECC"/>
    <w:rsid w:val="1E534DDD"/>
    <w:rsid w:val="20DE2A67"/>
    <w:rsid w:val="21B87493"/>
    <w:rsid w:val="2278111D"/>
    <w:rsid w:val="22B91715"/>
    <w:rsid w:val="25424EE3"/>
    <w:rsid w:val="26CD3DBB"/>
    <w:rsid w:val="289F1C91"/>
    <w:rsid w:val="2C016606"/>
    <w:rsid w:val="2F3300A1"/>
    <w:rsid w:val="30A13F14"/>
    <w:rsid w:val="31B16139"/>
    <w:rsid w:val="359918B3"/>
    <w:rsid w:val="369D6F2B"/>
    <w:rsid w:val="39F07CBA"/>
    <w:rsid w:val="3B542821"/>
    <w:rsid w:val="3C7939C7"/>
    <w:rsid w:val="40E8793D"/>
    <w:rsid w:val="45F46992"/>
    <w:rsid w:val="4C126F16"/>
    <w:rsid w:val="4DD90F9E"/>
    <w:rsid w:val="4EF643A0"/>
    <w:rsid w:val="4F3342D7"/>
    <w:rsid w:val="53194965"/>
    <w:rsid w:val="55652CC8"/>
    <w:rsid w:val="586B07E0"/>
    <w:rsid w:val="588B70D4"/>
    <w:rsid w:val="59C108F0"/>
    <w:rsid w:val="5B8878FB"/>
    <w:rsid w:val="5FCF5CCC"/>
    <w:rsid w:val="67B94F26"/>
    <w:rsid w:val="6A2820A4"/>
    <w:rsid w:val="6BF6DB00"/>
    <w:rsid w:val="6D033FD0"/>
    <w:rsid w:val="70F25AEA"/>
    <w:rsid w:val="74F11C15"/>
    <w:rsid w:val="75866801"/>
    <w:rsid w:val="75AE7B06"/>
    <w:rsid w:val="774249AA"/>
    <w:rsid w:val="77883200"/>
    <w:rsid w:val="79BF6786"/>
    <w:rsid w:val="7ABB16DC"/>
    <w:rsid w:val="7ACB35BA"/>
    <w:rsid w:val="7D301016"/>
    <w:rsid w:val="7D311748"/>
    <w:rsid w:val="7D617FD5"/>
    <w:rsid w:val="7FF96785"/>
    <w:rsid w:val="FDEF6931"/>
    <w:rsid w:val="FE6B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eastAsia="楷体_GB2312" w:asciiTheme="minorAscii" w:hAnsiTheme="minorAscii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1349</Words>
  <Characters>1379</Characters>
  <Lines>0</Lines>
  <Paragraphs>0</Paragraphs>
  <TotalTime>581</TotalTime>
  <ScaleCrop>false</ScaleCrop>
  <LinksUpToDate>false</LinksUpToDate>
  <CharactersWithSpaces>1385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2025-01-04T08:08:00Z</dcterms:created>
  <dc:creator>~茹~</dc:creator>
  <cp:lastModifiedBy>wyt</cp:lastModifiedBy>
  <dcterms:modified xsi:type="dcterms:W3CDTF">2026-01-06T09:08:08Z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3579D5B74DD546C38A59FD96D7228219_13</vt:lpwstr>
  </property>
  <property fmtid="{D5CDD505-2E9C-101B-9397-08002B2CF9AE}" pid="4" name="KSOTemplateDocerSaveRecord">
    <vt:lpwstr>eyJoZGlkIjoiMTUxMmVkYTRiY2M3MjIwMWQwN2Q1ZWMzZTVjZDhmOTQiLCJ1c2VySWQiOiIxMTUxODk3ODQxIn0=</vt:lpwstr>
  </property>
</Properties>
</file>