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suppressLineNumbers w:val="0"/>
        <w:kinsoku/>
        <w:wordWrap/>
        <w:overflowPunct/>
        <w:topLinePunct w:val="0"/>
        <w:autoSpaceDE/>
        <w:autoSpaceDN/>
        <w:bidi w:val="0"/>
        <w:spacing w:before="150" w:beforeAutospacing="0" w:after="150" w:afterAutospacing="0" w:line="600" w:lineRule="exact"/>
        <w:ind w:left="0" w:right="0"/>
        <w:jc w:val="center"/>
        <w:textAlignment w:val="auto"/>
        <w:rPr>
          <w:rFonts w:hint="default" w:ascii="Calibri" w:hAnsi="Calibri" w:cs="Calibri"/>
          <w:sz w:val="21"/>
          <w:szCs w:val="21"/>
        </w:rPr>
      </w:pPr>
      <w:bookmarkStart w:id="0" w:name="_GoBack"/>
      <w:bookmarkEnd w:id="0"/>
      <w:r>
        <w:rPr>
          <w:rFonts w:hint="eastAsia" w:ascii="方正小标宋简体" w:hAnsi="方正小标宋简体" w:eastAsia="方正小标宋简体" w:cs="方正小标宋简体"/>
          <w:sz w:val="43"/>
          <w:szCs w:val="43"/>
        </w:rPr>
        <w:t>2026年春季主要粮食作物</w:t>
      </w:r>
    </w:p>
    <w:p>
      <w:pPr>
        <w:pStyle w:val="4"/>
        <w:keepNext w:val="0"/>
        <w:keepLines w:val="0"/>
        <w:pageBreakBefore w:val="0"/>
        <w:widowControl/>
        <w:suppressLineNumbers w:val="0"/>
        <w:kinsoku/>
        <w:wordWrap/>
        <w:overflowPunct/>
        <w:topLinePunct w:val="0"/>
        <w:autoSpaceDE/>
        <w:autoSpaceDN/>
        <w:bidi w:val="0"/>
        <w:spacing w:before="75" w:beforeAutospacing="0" w:after="75" w:afterAutospacing="0" w:line="600" w:lineRule="exact"/>
        <w:ind w:left="0" w:right="0"/>
        <w:jc w:val="center"/>
        <w:textAlignment w:val="auto"/>
        <w:rPr>
          <w:rFonts w:hint="default" w:ascii="Calibri" w:hAnsi="Calibri" w:cs="Calibri"/>
          <w:sz w:val="21"/>
          <w:szCs w:val="21"/>
        </w:rPr>
      </w:pPr>
      <w:r>
        <w:rPr>
          <w:rFonts w:hint="eastAsia" w:ascii="方正小标宋简体" w:hAnsi="方正小标宋简体" w:eastAsia="方正小标宋简体" w:cs="方正小标宋简体"/>
          <w:sz w:val="43"/>
          <w:szCs w:val="43"/>
        </w:rPr>
        <w:t>施肥指导意见</w:t>
      </w:r>
    </w:p>
    <w:p>
      <w:pPr>
        <w:pStyle w:val="4"/>
        <w:keepNext w:val="0"/>
        <w:keepLines w:val="0"/>
        <w:pageBreakBefore w:val="0"/>
        <w:widowControl/>
        <w:suppressLineNumbers w:val="0"/>
        <w:kinsoku/>
        <w:wordWrap/>
        <w:overflowPunct/>
        <w:topLinePunct w:val="0"/>
        <w:autoSpaceDE/>
        <w:autoSpaceDN/>
        <w:bidi w:val="0"/>
        <w:spacing w:before="75" w:beforeAutospacing="0" w:after="75" w:afterAutospacing="0" w:line="600" w:lineRule="exact"/>
        <w:ind w:left="0" w:right="0"/>
        <w:textAlignment w:val="auto"/>
      </w:pPr>
      <w:r>
        <w:rPr>
          <w:rFonts w:hint="eastAsia" w:ascii="方正小标宋简体" w:hAnsi="方正小标宋简体" w:eastAsia="方正小标宋简体" w:cs="方正小标宋简体"/>
          <w:sz w:val="43"/>
          <w:szCs w:val="43"/>
        </w:rPr>
        <w:t> </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right="0" w:firstLine="620" w:firstLineChars="200"/>
        <w:textAlignment w:val="auto"/>
      </w:pPr>
      <w:r>
        <w:rPr>
          <w:rFonts w:hint="eastAsia" w:ascii="仿宋_GB2312" w:eastAsia="仿宋_GB2312" w:cs="仿宋_GB2312"/>
          <w:sz w:val="31"/>
          <w:szCs w:val="31"/>
        </w:rPr>
        <w:t>为加强科学施肥指导，根据《晋城市2026年春季主要粮食作物施肥指导意见》（晋市农函发〔2026〕10号）文件精神，结合主要春季作物需肥规律，研究制定了我县2026年春季主要粮食作物施肥指导意见。</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0" w:firstLineChars="200"/>
        <w:jc w:val="both"/>
        <w:textAlignment w:val="auto"/>
        <w:rPr>
          <w:rFonts w:hint="default" w:ascii="Calibri" w:hAnsi="Calibri" w:cs="Calibri"/>
          <w:sz w:val="21"/>
          <w:szCs w:val="21"/>
        </w:rPr>
      </w:pPr>
      <w:r>
        <w:rPr>
          <w:rFonts w:ascii="黑体" w:hAnsi="宋体" w:eastAsia="黑体" w:cs="黑体"/>
          <w:sz w:val="31"/>
          <w:szCs w:val="31"/>
        </w:rPr>
        <w:t>一、</w:t>
      </w:r>
      <w:r>
        <w:rPr>
          <w:rFonts w:hint="default" w:ascii="黑体" w:hAnsi="宋体" w:eastAsia="黑体" w:cs="黑体"/>
          <w:sz w:val="31"/>
          <w:szCs w:val="31"/>
        </w:rPr>
        <w:t>冬小麦</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2" w:firstLineChars="200"/>
        <w:jc w:val="both"/>
        <w:textAlignment w:val="auto"/>
        <w:rPr>
          <w:rFonts w:hint="default" w:ascii="Calibri" w:hAnsi="Calibri" w:cs="Calibri"/>
          <w:sz w:val="21"/>
          <w:szCs w:val="21"/>
        </w:rPr>
      </w:pPr>
      <w:r>
        <w:rPr>
          <w:rStyle w:val="7"/>
          <w:rFonts w:ascii="楷体_GB2312" w:hAnsi="Calibri" w:eastAsia="楷体_GB2312" w:cs="楷体_GB2312"/>
          <w:sz w:val="31"/>
          <w:szCs w:val="31"/>
        </w:rPr>
        <w:t>（一）施肥原则</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0" w:firstLineChars="200"/>
        <w:jc w:val="both"/>
        <w:textAlignment w:val="auto"/>
        <w:rPr>
          <w:rFonts w:hint="default" w:ascii="Calibri" w:hAnsi="Calibri" w:cs="Calibri"/>
          <w:sz w:val="21"/>
          <w:szCs w:val="21"/>
        </w:rPr>
      </w:pPr>
      <w:r>
        <w:rPr>
          <w:rFonts w:hint="eastAsia" w:ascii="仿宋_GB2312" w:hAnsi="Calibri" w:eastAsia="仿宋_GB2312" w:cs="仿宋_GB2312"/>
          <w:sz w:val="31"/>
          <w:szCs w:val="31"/>
        </w:rPr>
        <w:t>受前一年秋汛影响，全市冬小麦播期普遍延后，多数麦田苗小、苗弱、群体小，今年春季以促弱转壮为目标，根据冬小麦苗情的长势和土壤墒情情况采取不同的施肥管理措施，促进苗情转化。提倡采用喷灌、滴灌等肥水一体化技术，可因时因地，采用无人机或高秆喷雾机械进行叶面追肥，肥药同施、一喷三防。</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2" w:firstLineChars="200"/>
        <w:jc w:val="both"/>
        <w:textAlignment w:val="auto"/>
        <w:rPr>
          <w:rFonts w:hint="default" w:ascii="Calibri" w:hAnsi="Calibri" w:cs="Calibri"/>
          <w:sz w:val="21"/>
          <w:szCs w:val="21"/>
        </w:rPr>
      </w:pPr>
      <w:r>
        <w:rPr>
          <w:rStyle w:val="7"/>
          <w:rFonts w:hint="eastAsia" w:ascii="楷体_GB2312" w:hAnsi="Calibri" w:eastAsia="楷体_GB2312" w:cs="楷体_GB2312"/>
          <w:sz w:val="31"/>
          <w:szCs w:val="31"/>
        </w:rPr>
        <w:t>（二）施肥建议</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2" w:firstLineChars="200"/>
        <w:jc w:val="both"/>
        <w:textAlignment w:val="auto"/>
        <w:rPr>
          <w:rFonts w:hint="default" w:ascii="Calibri" w:hAnsi="Calibri" w:cs="Calibri"/>
          <w:sz w:val="21"/>
          <w:szCs w:val="21"/>
        </w:rPr>
      </w:pPr>
      <w:r>
        <w:rPr>
          <w:rStyle w:val="7"/>
          <w:rFonts w:hint="eastAsia" w:ascii="仿宋_GB2312" w:hAnsi="Calibri" w:eastAsia="仿宋_GB2312" w:cs="仿宋_GB2312"/>
          <w:sz w:val="31"/>
          <w:szCs w:val="31"/>
        </w:rPr>
        <w:t>1.灌溉冬小麦区</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0" w:firstLineChars="200"/>
        <w:jc w:val="both"/>
        <w:textAlignment w:val="auto"/>
        <w:rPr>
          <w:rFonts w:hint="default" w:ascii="Calibri" w:hAnsi="Calibri" w:cs="Calibri"/>
          <w:sz w:val="21"/>
          <w:szCs w:val="21"/>
        </w:rPr>
      </w:pPr>
      <w:r>
        <w:rPr>
          <w:rFonts w:hint="eastAsia" w:ascii="仿宋_GB2312" w:hAnsi="Calibri" w:eastAsia="仿宋_GB2312" w:cs="仿宋_GB2312"/>
          <w:sz w:val="31"/>
          <w:szCs w:val="31"/>
        </w:rPr>
        <w:t>（1）一类壮苗田，在拔节后进行水肥管理，浇水时亩追尿素10～12公斤，以提高成穗率，稳定穗粒数。</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0" w:firstLineChars="200"/>
        <w:jc w:val="both"/>
        <w:textAlignment w:val="auto"/>
        <w:rPr>
          <w:rFonts w:hint="default" w:ascii="Calibri" w:hAnsi="Calibri" w:cs="Calibri"/>
          <w:sz w:val="21"/>
          <w:szCs w:val="21"/>
        </w:rPr>
      </w:pPr>
      <w:r>
        <w:rPr>
          <w:rFonts w:hint="eastAsia" w:ascii="仿宋_GB2312" w:hAnsi="Calibri" w:eastAsia="仿宋_GB2312" w:cs="仿宋_GB2312"/>
          <w:sz w:val="31"/>
          <w:szCs w:val="31"/>
        </w:rPr>
        <w:t>（2）二类苗麦田，起身期做好水肥管理，返青期，浇水时亩追尿素9～12公斤，拔节初期，每亩追施磷酸二铵10～12公斤，促小蘖赶大蘖，提高成穗数。</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0" w:firstLineChars="200"/>
        <w:jc w:val="both"/>
        <w:textAlignment w:val="auto"/>
        <w:rPr>
          <w:rFonts w:hint="default" w:ascii="Calibri" w:hAnsi="Calibri" w:cs="Calibri"/>
          <w:sz w:val="21"/>
          <w:szCs w:val="21"/>
        </w:rPr>
      </w:pPr>
      <w:r>
        <w:rPr>
          <w:rFonts w:hint="eastAsia" w:ascii="仿宋_GB2312" w:hAnsi="Calibri" w:eastAsia="仿宋_GB2312" w:cs="仿宋_GB2312"/>
          <w:sz w:val="31"/>
          <w:szCs w:val="31"/>
        </w:rPr>
        <w:t>（3）三类弱苗田，应及时进行水肥管理，返青期和拔节期进行两次水肥管理。当麦田0～5cm地温稳定达到3℃后，浇灌返青水，亩追施尿素7～10公斤和磷酸二铵约5公斤。拔节后第二次施肥浇水，亩施尿素5~8公斤。“一根针”麦田，及早追肥。结合早春土壤化冻“返浆水”追施氮、磷肥，亩施尿素5~10公斤、磷酸二铵3~5公斤，三叶期后进一步强化水肥管理，促蘖增穗。</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rPr>
          <w:rFonts w:hint="eastAsia" w:ascii="宋体" w:hAnsi="宋体" w:eastAsia="宋体" w:cs="宋体"/>
          <w:sz w:val="24"/>
          <w:szCs w:val="24"/>
        </w:rPr>
      </w:pPr>
      <w:r>
        <w:rPr>
          <w:rFonts w:hint="eastAsia" w:ascii="仿宋_GB2312" w:hAnsi="宋体" w:eastAsia="仿宋_GB2312" w:cs="仿宋_GB2312"/>
          <w:sz w:val="31"/>
          <w:szCs w:val="31"/>
        </w:rPr>
        <w:t>（4）旺长趋势明显的麦田，在返青期中耕镇压和化控，视土壤墒情推迟灌水追肥时间，减少氮肥用量，拔节中期到后期每亩追施尿素10~15公斤，控制旺长，预防后期倒伏和贪青晚熟。</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rPr>
          <w:rFonts w:hint="eastAsia" w:ascii="宋体" w:hAnsi="宋体" w:eastAsia="宋体" w:cs="宋体"/>
          <w:sz w:val="24"/>
          <w:szCs w:val="24"/>
        </w:rPr>
      </w:pPr>
      <w:r>
        <w:rPr>
          <w:rFonts w:hint="eastAsia" w:ascii="仿宋_GB2312" w:hAnsi="宋体" w:eastAsia="仿宋_GB2312" w:cs="仿宋_GB2312"/>
          <w:sz w:val="31"/>
          <w:szCs w:val="31"/>
        </w:rPr>
        <w:t>（5）冬前旺长后受冻麦田。</w:t>
      </w:r>
      <w:r>
        <w:rPr>
          <w:rFonts w:hint="eastAsia" w:ascii="仿宋_GB2312" w:hAnsi="宋体" w:eastAsia="仿宋_GB2312" w:cs="仿宋_GB2312"/>
          <w:spacing w:val="0"/>
          <w:sz w:val="31"/>
          <w:szCs w:val="31"/>
        </w:rPr>
        <w:t>受冻麦田根据返青情况，加强返青起身期田间水肥管理，可正常返青的麦田，起身前期可叶面喷施尿素和磷酸二氢钾促进生长；返青较差麦田应在地温稳定在3℃以上时，浇水并亩追施尿素7.5～10公斤、磷酸二铵3～5公斤。</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rPr>
          <w:rFonts w:hint="eastAsia" w:ascii="宋体" w:hAnsi="宋体" w:eastAsia="宋体" w:cs="宋体"/>
          <w:sz w:val="24"/>
          <w:szCs w:val="24"/>
        </w:rPr>
      </w:pPr>
      <w:r>
        <w:rPr>
          <w:rFonts w:hint="eastAsia" w:ascii="仿宋_GB2312" w:hAnsi="宋体" w:eastAsia="仿宋_GB2312" w:cs="仿宋_GB2312"/>
          <w:sz w:val="31"/>
          <w:szCs w:val="31"/>
        </w:rPr>
        <w:t>水溶肥、液体肥可结合微喷灌少量多次水肥一体化施用，提高水肥利用效率。缺乏微量元素的地区，提倡结合“一喷三防”，在小麦拔节期、孕穗期和灌浆期喷施微量元素。如缺锌或缺硼地区，可在返青到拔节期叶面喷施2~3次0.1%~0.2%的硫酸锌或硼砂溶液30~50公斤且在小麦抽穗至乳熟期喷施0.3%～0.5%磷酸二氢钾1～2次，脱肥早衰的麦田可加喷2%尿素，每次50公斤/亩，以预防干热风和倒伏，提高灌浆强度，增加粒重。</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2" w:firstLineChars="200"/>
        <w:jc w:val="both"/>
        <w:textAlignment w:val="auto"/>
        <w:rPr>
          <w:rFonts w:hint="default" w:ascii="Calibri" w:hAnsi="Calibri" w:cs="Calibri"/>
          <w:sz w:val="21"/>
          <w:szCs w:val="21"/>
        </w:rPr>
      </w:pPr>
      <w:r>
        <w:rPr>
          <w:rStyle w:val="7"/>
          <w:rFonts w:hint="eastAsia" w:ascii="仿宋_GB2312" w:hAnsi="Calibri" w:eastAsia="仿宋_GB2312" w:cs="仿宋_GB2312"/>
          <w:sz w:val="31"/>
          <w:szCs w:val="31"/>
        </w:rPr>
        <w:t>2.旱作冬小麦区</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rPr>
          <w:rFonts w:hint="eastAsia" w:ascii="宋体" w:hAnsi="宋体" w:eastAsia="宋体" w:cs="宋体"/>
          <w:sz w:val="24"/>
          <w:szCs w:val="24"/>
        </w:rPr>
      </w:pPr>
      <w:r>
        <w:rPr>
          <w:rFonts w:hint="eastAsia" w:ascii="仿宋_GB2312" w:hAnsi="宋体" w:eastAsia="仿宋_GB2312" w:cs="仿宋_GB2312"/>
          <w:sz w:val="31"/>
          <w:szCs w:val="31"/>
        </w:rPr>
        <w:t>早春结合降水追肥或开沟施肥，亩施尿素6～8公斤，缺磷田块可亩施磷酸二铵6～8公斤，促进早返青、早生长。</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rPr>
          <w:rFonts w:hint="eastAsia" w:ascii="宋体" w:hAnsi="宋体" w:eastAsia="宋体" w:cs="宋体"/>
          <w:sz w:val="24"/>
          <w:szCs w:val="24"/>
        </w:rPr>
      </w:pPr>
      <w:r>
        <w:rPr>
          <w:rFonts w:hint="eastAsia" w:ascii="仿宋_GB2312" w:hAnsi="宋体" w:eastAsia="仿宋_GB2312" w:cs="仿宋_GB2312"/>
          <w:sz w:val="31"/>
          <w:szCs w:val="31"/>
        </w:rPr>
        <w:t>与灌溉冬小麦相同，可结合小麦“一喷三防”，在小麦灌浆期喷施微量元素水溶肥或在抽穗至乳熟期喷施磷酸二氢钾和尿素溶液。</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0" w:firstLineChars="200"/>
        <w:jc w:val="both"/>
        <w:textAlignment w:val="auto"/>
        <w:rPr>
          <w:rFonts w:hint="default" w:ascii="Calibri" w:hAnsi="Calibri" w:cs="Calibri"/>
          <w:sz w:val="21"/>
          <w:szCs w:val="21"/>
        </w:rPr>
      </w:pPr>
      <w:r>
        <w:rPr>
          <w:rFonts w:hint="default" w:ascii="黑体" w:hAnsi="宋体" w:eastAsia="黑体" w:cs="黑体"/>
          <w:sz w:val="31"/>
          <w:szCs w:val="31"/>
        </w:rPr>
        <w:t>二、</w:t>
      </w:r>
      <w:r>
        <w:rPr>
          <w:rStyle w:val="7"/>
          <w:rFonts w:hint="default" w:ascii="黑体" w:hAnsi="宋体" w:eastAsia="黑体" w:cs="黑体"/>
          <w:sz w:val="31"/>
          <w:szCs w:val="31"/>
        </w:rPr>
        <w:t>春玉米</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2" w:firstLineChars="200"/>
        <w:jc w:val="both"/>
        <w:textAlignment w:val="auto"/>
        <w:rPr>
          <w:rFonts w:hint="default" w:ascii="Calibri" w:hAnsi="Calibri" w:cs="Calibri"/>
          <w:sz w:val="21"/>
          <w:szCs w:val="21"/>
        </w:rPr>
      </w:pPr>
      <w:r>
        <w:rPr>
          <w:rStyle w:val="7"/>
          <w:rFonts w:hint="eastAsia" w:ascii="楷体_GB2312" w:hAnsi="Calibri" w:eastAsia="楷体_GB2312" w:cs="楷体_GB2312"/>
          <w:sz w:val="31"/>
          <w:szCs w:val="31"/>
        </w:rPr>
        <w:t>（一）施肥原则</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0" w:firstLineChars="200"/>
        <w:jc w:val="both"/>
        <w:textAlignment w:val="auto"/>
        <w:rPr>
          <w:rFonts w:hint="default" w:ascii="Calibri" w:hAnsi="Calibri" w:cs="Calibri"/>
          <w:sz w:val="21"/>
          <w:szCs w:val="21"/>
        </w:rPr>
      </w:pPr>
      <w:r>
        <w:rPr>
          <w:rFonts w:hint="eastAsia" w:ascii="仿宋_GB2312" w:hAnsi="Calibri" w:eastAsia="仿宋_GB2312" w:cs="仿宋_GB2312"/>
          <w:sz w:val="31"/>
          <w:szCs w:val="31"/>
        </w:rPr>
        <w:t>肥料施用必须与深松、增密等高产栽培技术结合。化肥用量根据目标产量与各地土壤养分情况来确定。高产地块和缺锌地块要注意增施锌肥，重视硫、硼等中微量元素施用。增加有机肥用量，加大秸秆还田力度。一次性施肥和地膜覆盖种植区，建议选用缓控释肥料。鼓励实行玉米和大豆间作，在满足玉米需肥时兼顾大豆氮、磷、钾需要。</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2" w:firstLineChars="200"/>
        <w:jc w:val="both"/>
        <w:textAlignment w:val="auto"/>
        <w:rPr>
          <w:rFonts w:hint="default" w:ascii="Calibri" w:hAnsi="Calibri" w:cs="Calibri"/>
          <w:sz w:val="21"/>
          <w:szCs w:val="21"/>
        </w:rPr>
      </w:pPr>
      <w:r>
        <w:rPr>
          <w:rStyle w:val="7"/>
          <w:rFonts w:hint="eastAsia" w:ascii="楷体_GB2312" w:hAnsi="Calibri" w:eastAsia="楷体_GB2312" w:cs="楷体_GB2312"/>
          <w:sz w:val="31"/>
          <w:szCs w:val="31"/>
        </w:rPr>
        <w:t>（二）施肥建议</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2" w:firstLineChars="200"/>
        <w:jc w:val="both"/>
        <w:textAlignment w:val="auto"/>
        <w:rPr>
          <w:rFonts w:hint="default" w:ascii="Calibri" w:hAnsi="Calibri" w:cs="Calibri"/>
          <w:sz w:val="21"/>
          <w:szCs w:val="21"/>
        </w:rPr>
      </w:pPr>
      <w:r>
        <w:rPr>
          <w:rStyle w:val="7"/>
          <w:rFonts w:hint="eastAsia" w:ascii="仿宋_GB2312" w:hAnsi="Calibri" w:eastAsia="仿宋_GB2312" w:cs="仿宋_GB2312"/>
          <w:sz w:val="31"/>
          <w:szCs w:val="31"/>
        </w:rPr>
        <w:t>1.玉米单作区</w:t>
      </w: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rPr>
          <w:rFonts w:hint="eastAsia" w:ascii="宋体" w:hAnsi="宋体" w:eastAsia="宋体" w:cs="宋体"/>
          <w:sz w:val="24"/>
          <w:szCs w:val="24"/>
        </w:rPr>
      </w:pPr>
      <w:r>
        <w:rPr>
          <w:rFonts w:hint="eastAsia" w:ascii="仿宋_GB2312" w:hAnsi="宋体" w:eastAsia="仿宋_GB2312" w:cs="仿宋_GB2312"/>
          <w:sz w:val="31"/>
          <w:szCs w:val="31"/>
        </w:rPr>
        <w:t>（1）目标产量400公斤/亩以下地块，亩施氮肥（N）6～9公斤，磷肥（P</w:t>
      </w:r>
      <w:r>
        <w:rPr>
          <w:rFonts w:hint="eastAsia" w:ascii="仿宋_GB2312" w:hAnsi="宋体" w:eastAsia="仿宋_GB2312" w:cs="仿宋_GB2312"/>
          <w:sz w:val="31"/>
          <w:szCs w:val="31"/>
          <w:vertAlign w:val="subscript"/>
        </w:rPr>
        <w:t>2</w:t>
      </w:r>
      <w:r>
        <w:rPr>
          <w:rFonts w:hint="eastAsia" w:ascii="仿宋_GB2312" w:hAnsi="宋体" w:eastAsia="仿宋_GB2312" w:cs="仿宋_GB2312"/>
          <w:sz w:val="31"/>
          <w:szCs w:val="31"/>
        </w:rPr>
        <w:t>O</w:t>
      </w:r>
      <w:r>
        <w:rPr>
          <w:rFonts w:hint="eastAsia" w:ascii="仿宋_GB2312" w:hAnsi="宋体" w:eastAsia="仿宋_GB2312" w:cs="仿宋_GB2312"/>
          <w:sz w:val="31"/>
          <w:szCs w:val="31"/>
          <w:vertAlign w:val="subscript"/>
        </w:rPr>
        <w:t>5</w:t>
      </w:r>
      <w:r>
        <w:rPr>
          <w:rFonts w:hint="eastAsia" w:ascii="仿宋_GB2312" w:hAnsi="宋体" w:eastAsia="仿宋_GB2312" w:cs="仿宋_GB2312"/>
          <w:sz w:val="31"/>
          <w:szCs w:val="31"/>
        </w:rPr>
        <w:t>）2～3公斤。目标产量400～600公斤/亩地块，亩施氮肥（N）9～12公斤，磷肥（P</w:t>
      </w:r>
      <w:r>
        <w:rPr>
          <w:rFonts w:hint="eastAsia" w:ascii="仿宋_GB2312" w:hAnsi="宋体" w:eastAsia="仿宋_GB2312" w:cs="仿宋_GB2312"/>
          <w:sz w:val="31"/>
          <w:szCs w:val="31"/>
          <w:vertAlign w:val="subscript"/>
        </w:rPr>
        <w:t>2</w:t>
      </w:r>
      <w:r>
        <w:rPr>
          <w:rFonts w:hint="eastAsia" w:ascii="仿宋_GB2312" w:hAnsi="宋体" w:eastAsia="仿宋_GB2312" w:cs="仿宋_GB2312"/>
          <w:sz w:val="31"/>
          <w:szCs w:val="31"/>
        </w:rPr>
        <w:t>O</w:t>
      </w:r>
      <w:r>
        <w:rPr>
          <w:rFonts w:hint="eastAsia" w:ascii="仿宋_GB2312" w:hAnsi="宋体" w:eastAsia="仿宋_GB2312" w:cs="仿宋_GB2312"/>
          <w:sz w:val="31"/>
          <w:szCs w:val="31"/>
          <w:vertAlign w:val="subscript"/>
        </w:rPr>
        <w:t>5</w:t>
      </w:r>
      <w:r>
        <w:rPr>
          <w:rFonts w:hint="eastAsia" w:ascii="仿宋_GB2312" w:hAnsi="宋体" w:eastAsia="仿宋_GB2312" w:cs="仿宋_GB2312"/>
          <w:sz w:val="31"/>
          <w:szCs w:val="31"/>
        </w:rPr>
        <w:t>）3～4公斤，土壤速效钾含量&lt;120mg/kg的地块适当补施钾肥（K</w:t>
      </w:r>
      <w:r>
        <w:rPr>
          <w:rFonts w:hint="eastAsia" w:ascii="仿宋_GB2312" w:hAnsi="宋体" w:eastAsia="仿宋_GB2312" w:cs="仿宋_GB2312"/>
          <w:sz w:val="31"/>
          <w:szCs w:val="31"/>
          <w:vertAlign w:val="subscript"/>
        </w:rPr>
        <w:t>2</w:t>
      </w:r>
      <w:r>
        <w:rPr>
          <w:rFonts w:hint="eastAsia" w:ascii="仿宋_GB2312" w:hAnsi="宋体" w:eastAsia="仿宋_GB2312" w:cs="仿宋_GB2312"/>
          <w:sz w:val="31"/>
          <w:szCs w:val="31"/>
        </w:rPr>
        <w:t>O）2～3公斤/亩。目标产量600～800公斤/亩地块，亩施氮肥（N）12～14公斤，磷肥（P</w:t>
      </w:r>
      <w:r>
        <w:rPr>
          <w:rFonts w:hint="eastAsia" w:ascii="仿宋_GB2312" w:hAnsi="宋体" w:eastAsia="仿宋_GB2312" w:cs="仿宋_GB2312"/>
          <w:sz w:val="31"/>
          <w:szCs w:val="31"/>
          <w:vertAlign w:val="subscript"/>
        </w:rPr>
        <w:t>2</w:t>
      </w:r>
      <w:r>
        <w:rPr>
          <w:rFonts w:hint="eastAsia" w:ascii="仿宋_GB2312" w:hAnsi="宋体" w:eastAsia="仿宋_GB2312" w:cs="仿宋_GB2312"/>
          <w:sz w:val="31"/>
          <w:szCs w:val="31"/>
        </w:rPr>
        <w:t>O</w:t>
      </w:r>
      <w:r>
        <w:rPr>
          <w:rFonts w:hint="eastAsia" w:ascii="仿宋_GB2312" w:hAnsi="宋体" w:eastAsia="仿宋_GB2312" w:cs="仿宋_GB2312"/>
          <w:sz w:val="31"/>
          <w:szCs w:val="31"/>
          <w:vertAlign w:val="subscript"/>
        </w:rPr>
        <w:t>5</w:t>
      </w:r>
      <w:r>
        <w:rPr>
          <w:rFonts w:hint="eastAsia" w:ascii="仿宋_GB2312" w:hAnsi="宋体" w:eastAsia="仿宋_GB2312" w:cs="仿宋_GB2312"/>
          <w:sz w:val="31"/>
          <w:szCs w:val="31"/>
        </w:rPr>
        <w:t>）4～6公斤，钾肥（K</w:t>
      </w:r>
      <w:r>
        <w:rPr>
          <w:rFonts w:hint="eastAsia" w:ascii="仿宋_GB2312" w:hAnsi="宋体" w:eastAsia="仿宋_GB2312" w:cs="仿宋_GB2312"/>
          <w:sz w:val="31"/>
          <w:szCs w:val="31"/>
          <w:vertAlign w:val="subscript"/>
        </w:rPr>
        <w:t>2</w:t>
      </w:r>
      <w:r>
        <w:rPr>
          <w:rFonts w:hint="eastAsia" w:ascii="仿宋_GB2312" w:hAnsi="宋体" w:eastAsia="仿宋_GB2312" w:cs="仿宋_GB2312"/>
          <w:sz w:val="31"/>
          <w:szCs w:val="31"/>
        </w:rPr>
        <w:t>O）3～4公斤。目标产量在800～1000公斤/亩的地块，亩施氮肥（N）14～17公斤，磷肥（P</w:t>
      </w:r>
      <w:r>
        <w:rPr>
          <w:rFonts w:hint="eastAsia" w:ascii="仿宋_GB2312" w:hAnsi="宋体" w:eastAsia="仿宋_GB2312" w:cs="仿宋_GB2312"/>
          <w:sz w:val="31"/>
          <w:szCs w:val="31"/>
          <w:vertAlign w:val="subscript"/>
        </w:rPr>
        <w:t>2</w:t>
      </w:r>
      <w:r>
        <w:rPr>
          <w:rFonts w:hint="eastAsia" w:ascii="仿宋_GB2312" w:hAnsi="宋体" w:eastAsia="仿宋_GB2312" w:cs="仿宋_GB2312"/>
          <w:sz w:val="31"/>
          <w:szCs w:val="31"/>
        </w:rPr>
        <w:t>O</w:t>
      </w:r>
      <w:r>
        <w:rPr>
          <w:rFonts w:hint="eastAsia" w:ascii="仿宋_GB2312" w:hAnsi="宋体" w:eastAsia="仿宋_GB2312" w:cs="仿宋_GB2312"/>
          <w:sz w:val="31"/>
          <w:szCs w:val="31"/>
          <w:vertAlign w:val="subscript"/>
        </w:rPr>
        <w:t>5</w:t>
      </w:r>
      <w:r>
        <w:rPr>
          <w:rFonts w:hint="eastAsia" w:ascii="仿宋_GB2312" w:hAnsi="宋体" w:eastAsia="仿宋_GB2312" w:cs="仿宋_GB2312"/>
          <w:sz w:val="31"/>
          <w:szCs w:val="31"/>
        </w:rPr>
        <w:t>）6～8公斤，钾肥（K</w:t>
      </w:r>
      <w:r>
        <w:rPr>
          <w:rFonts w:hint="eastAsia" w:ascii="仿宋_GB2312" w:hAnsi="宋体" w:eastAsia="仿宋_GB2312" w:cs="仿宋_GB2312"/>
          <w:sz w:val="31"/>
          <w:szCs w:val="31"/>
          <w:vertAlign w:val="subscript"/>
        </w:rPr>
        <w:t>2</w:t>
      </w:r>
      <w:r>
        <w:rPr>
          <w:rFonts w:hint="eastAsia" w:ascii="仿宋_GB2312" w:hAnsi="宋体" w:eastAsia="仿宋_GB2312" w:cs="仿宋_GB2312"/>
          <w:sz w:val="31"/>
          <w:szCs w:val="31"/>
        </w:rPr>
        <w:t>O）4～6公斤。目标产量在1000公斤/亩以上的地块，亩施氮肥（N）17～19公斤，磷肥（P</w:t>
      </w:r>
      <w:r>
        <w:rPr>
          <w:rFonts w:hint="eastAsia" w:ascii="仿宋_GB2312" w:hAnsi="宋体" w:eastAsia="仿宋_GB2312" w:cs="仿宋_GB2312"/>
          <w:sz w:val="31"/>
          <w:szCs w:val="31"/>
          <w:vertAlign w:val="subscript"/>
        </w:rPr>
        <w:t>2</w:t>
      </w:r>
      <w:r>
        <w:rPr>
          <w:rFonts w:hint="eastAsia" w:ascii="仿宋_GB2312" w:hAnsi="宋体" w:eastAsia="仿宋_GB2312" w:cs="仿宋_GB2312"/>
          <w:sz w:val="31"/>
          <w:szCs w:val="31"/>
        </w:rPr>
        <w:t>O</w:t>
      </w:r>
      <w:r>
        <w:rPr>
          <w:rFonts w:hint="eastAsia" w:ascii="仿宋_GB2312" w:hAnsi="宋体" w:eastAsia="仿宋_GB2312" w:cs="仿宋_GB2312"/>
          <w:sz w:val="31"/>
          <w:szCs w:val="31"/>
          <w:vertAlign w:val="subscript"/>
        </w:rPr>
        <w:t>5</w:t>
      </w:r>
      <w:r>
        <w:rPr>
          <w:rFonts w:hint="eastAsia" w:ascii="仿宋_GB2312" w:hAnsi="宋体" w:eastAsia="仿宋_GB2312" w:cs="仿宋_GB2312"/>
          <w:sz w:val="31"/>
          <w:szCs w:val="31"/>
        </w:rPr>
        <w:t>）8～11公斤，钾肥（K</w:t>
      </w:r>
      <w:r>
        <w:rPr>
          <w:rFonts w:hint="eastAsia" w:ascii="仿宋_GB2312" w:hAnsi="宋体" w:eastAsia="仿宋_GB2312" w:cs="仿宋_GB2312"/>
          <w:sz w:val="31"/>
          <w:szCs w:val="31"/>
          <w:vertAlign w:val="subscript"/>
        </w:rPr>
        <w:t>2</w:t>
      </w:r>
      <w:r>
        <w:rPr>
          <w:rFonts w:hint="eastAsia" w:ascii="仿宋_GB2312" w:hAnsi="宋体" w:eastAsia="仿宋_GB2312" w:cs="仿宋_GB2312"/>
          <w:sz w:val="31"/>
          <w:szCs w:val="31"/>
        </w:rPr>
        <w:t>O）6～8公斤。</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0" w:firstLineChars="200"/>
        <w:jc w:val="both"/>
        <w:textAlignment w:val="auto"/>
        <w:rPr>
          <w:rFonts w:hint="default" w:ascii="Calibri" w:hAnsi="Calibri" w:cs="Calibri"/>
          <w:sz w:val="21"/>
          <w:szCs w:val="21"/>
        </w:rPr>
      </w:pPr>
      <w:r>
        <w:rPr>
          <w:rFonts w:hint="eastAsia" w:ascii="仿宋_GB2312" w:hAnsi="Calibri" w:eastAsia="仿宋_GB2312" w:cs="仿宋_GB2312"/>
          <w:sz w:val="31"/>
          <w:szCs w:val="31"/>
        </w:rPr>
        <w:t>（2）在施用化肥基础上，配合施用腐熟有机肥1500～3000公斤/亩。高产地块和缺锌地块亩增施锌肥1～2公斤。</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rPr>
          <w:rFonts w:hint="eastAsia" w:ascii="宋体" w:hAnsi="宋体" w:eastAsia="宋体" w:cs="宋体"/>
          <w:sz w:val="24"/>
          <w:szCs w:val="24"/>
        </w:rPr>
      </w:pPr>
      <w:r>
        <w:rPr>
          <w:rFonts w:hint="eastAsia" w:ascii="仿宋_GB2312" w:hAnsi="宋体" w:eastAsia="仿宋_GB2312" w:cs="仿宋_GB2312"/>
          <w:sz w:val="31"/>
          <w:szCs w:val="31"/>
        </w:rPr>
        <w:t>（3）基肥和种肥施肥深度要达到15～20cm，追肥施肥深度要达到5～10cm。有机肥、磷、钾及中微量元素肥料结合整地作基肥施入，采用种肥同播技术的，可将磷、钾肥和部分氮肥作种肥随播种施用。氮肥施用根据产量水平基肥追肥结合，即：目标产量在600公斤/亩以下时，氮肥全部作基肥或种肥施用；目标产量在600公斤/亩以上时，氮肥60%～70%作基肥或种肥施用，30%～40%在大喇叭口期作追肥施用。</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2" w:firstLineChars="200"/>
        <w:jc w:val="both"/>
        <w:textAlignment w:val="auto"/>
        <w:rPr>
          <w:rFonts w:hint="default" w:ascii="Calibri" w:hAnsi="Calibri" w:cs="Calibri"/>
          <w:sz w:val="21"/>
          <w:szCs w:val="21"/>
        </w:rPr>
      </w:pPr>
      <w:r>
        <w:rPr>
          <w:rStyle w:val="7"/>
          <w:rFonts w:hint="eastAsia" w:ascii="仿宋_GB2312" w:hAnsi="Calibri" w:eastAsia="仿宋_GB2312" w:cs="仿宋_GB2312"/>
          <w:sz w:val="31"/>
          <w:szCs w:val="31"/>
        </w:rPr>
        <w:t>2.大豆玉米带状间作种植区</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rPr>
          <w:rFonts w:hint="eastAsia" w:ascii="宋体" w:hAnsi="宋体" w:eastAsia="宋体" w:cs="宋体"/>
          <w:sz w:val="24"/>
          <w:szCs w:val="24"/>
        </w:rPr>
      </w:pPr>
      <w:r>
        <w:rPr>
          <w:rFonts w:hint="eastAsia" w:ascii="仿宋_GB2312" w:hAnsi="宋体" w:eastAsia="仿宋_GB2312" w:cs="仿宋_GB2312"/>
          <w:sz w:val="31"/>
          <w:szCs w:val="31"/>
        </w:rPr>
        <w:t>（1）玉米亩施肥量参照单作产量水平下施肥标准，须保证玉米单株施氮量与清种相同。大豆不施氮肥或施低氮量复合肥。</w:t>
      </w: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rPr>
          <w:rFonts w:hint="eastAsia" w:ascii="宋体" w:hAnsi="宋体" w:eastAsia="宋体" w:cs="宋体"/>
          <w:sz w:val="24"/>
          <w:szCs w:val="24"/>
        </w:rPr>
      </w:pPr>
      <w:r>
        <w:rPr>
          <w:rFonts w:hint="eastAsia" w:ascii="仿宋_GB2312" w:hAnsi="宋体" w:eastAsia="仿宋_GB2312" w:cs="仿宋_GB2312"/>
          <w:sz w:val="31"/>
          <w:szCs w:val="31"/>
        </w:rPr>
        <w:t>（2）采用一次性施肥技术的地块，玉米区施用高氮缓控释肥（如28-10-7或相近配方），大豆区施用大豆专用低氮配方肥（如14-20-14或相近配方）。在施用化肥基础上，配合施用腐熟有机肥1000～2000公斤/亩，结合整地作基肥施入，在播种期将玉米所需全部缓控释肥料作种肥施入，每亩施用40~50公斤（折合纯氮每亩14~18公斤），肥料在玉米带两侧15~25cm处开沟施入。大豆所需肥料作种肥施入，每亩施用15~20公斤，播种时在大豆带内行间开沟施入土层。</w:t>
      </w: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rPr>
          <w:rFonts w:hint="eastAsia" w:ascii="宋体" w:hAnsi="宋体" w:eastAsia="宋体" w:cs="宋体"/>
          <w:sz w:val="24"/>
          <w:szCs w:val="24"/>
        </w:rPr>
      </w:pPr>
      <w:r>
        <w:rPr>
          <w:rFonts w:hint="eastAsia" w:ascii="仿宋_GB2312" w:hAnsi="宋体" w:eastAsia="仿宋_GB2312" w:cs="仿宋_GB2312"/>
          <w:sz w:val="31"/>
          <w:szCs w:val="31"/>
        </w:rPr>
        <w:t>（3）不施缓控释肥的地块，可采用基肥、种肥与追肥三段式施肥，基肥以低氮复合肥（如14-17-14或相近配方）与有机肥结合，用氮量以大豆需氮量为上限（每亩不超过4公斤纯氮），每亩施用15~20公斤，结合整地深翻施入。播种时仅对玉米施种肥，选用玉米专用复合肥（如28-10-7或相近配方）40~50公斤（折合纯氮每亩10~14公斤）。在玉米大喇叭口期长势较弱玉米可利用简易式追肥器在玉米两侧每亩追施尿素15~20公斤。</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rPr>
          <w:rFonts w:hint="eastAsia" w:ascii="宋体" w:hAnsi="宋体" w:eastAsia="宋体" w:cs="宋体"/>
          <w:sz w:val="24"/>
          <w:szCs w:val="24"/>
        </w:rPr>
      </w:pPr>
      <w:r>
        <w:rPr>
          <w:rFonts w:hint="eastAsia" w:ascii="仿宋_GB2312" w:hAnsi="宋体" w:eastAsia="仿宋_GB2312" w:cs="仿宋_GB2312"/>
          <w:sz w:val="31"/>
          <w:szCs w:val="31"/>
        </w:rPr>
        <w:t>（4）播种前对大豆进行包衣或菌剂拌种处理。</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0" w:firstLineChars="200"/>
        <w:jc w:val="both"/>
        <w:textAlignment w:val="auto"/>
        <w:rPr>
          <w:rFonts w:hint="default" w:ascii="Calibri" w:hAnsi="Calibri" w:cs="Calibri"/>
          <w:sz w:val="21"/>
          <w:szCs w:val="21"/>
        </w:rPr>
      </w:pPr>
      <w:r>
        <w:rPr>
          <w:rFonts w:hint="default" w:ascii="黑体" w:hAnsi="宋体" w:eastAsia="黑体" w:cs="黑体"/>
          <w:sz w:val="31"/>
          <w:szCs w:val="31"/>
        </w:rPr>
        <w:t>三、春大豆</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2" w:firstLineChars="200"/>
        <w:jc w:val="both"/>
        <w:textAlignment w:val="auto"/>
        <w:rPr>
          <w:rFonts w:hint="default" w:ascii="Calibri" w:hAnsi="Calibri" w:cs="Calibri"/>
          <w:sz w:val="21"/>
          <w:szCs w:val="21"/>
        </w:rPr>
      </w:pPr>
      <w:r>
        <w:rPr>
          <w:rStyle w:val="7"/>
          <w:rFonts w:hint="eastAsia" w:ascii="楷体_GB2312" w:hAnsi="Calibri" w:eastAsia="楷体_GB2312" w:cs="楷体_GB2312"/>
          <w:sz w:val="31"/>
          <w:szCs w:val="31"/>
        </w:rPr>
        <w:t>（一）施肥原则</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0" w:firstLineChars="200"/>
        <w:jc w:val="both"/>
        <w:textAlignment w:val="auto"/>
        <w:rPr>
          <w:rFonts w:hint="default" w:ascii="Calibri" w:hAnsi="Calibri" w:cs="Calibri"/>
          <w:sz w:val="21"/>
          <w:szCs w:val="21"/>
        </w:rPr>
      </w:pPr>
      <w:r>
        <w:rPr>
          <w:rFonts w:hint="eastAsia" w:ascii="仿宋_GB2312" w:hAnsi="Calibri" w:eastAsia="仿宋_GB2312" w:cs="仿宋_GB2312"/>
          <w:sz w:val="31"/>
          <w:szCs w:val="31"/>
        </w:rPr>
        <w:t>肥料施用应与高产优质栽培技术相结合，合理施用氮磷肥，增施有机肥，实施秸秆还田。提倡进行根瘤菌剂拌种以及钼、硼等微量元素补充。前茬玉米区域要减少氮肥施用量。</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2" w:firstLineChars="200"/>
        <w:jc w:val="both"/>
        <w:textAlignment w:val="auto"/>
        <w:rPr>
          <w:rFonts w:hint="default" w:ascii="Calibri" w:hAnsi="Calibri" w:cs="Calibri"/>
          <w:sz w:val="21"/>
          <w:szCs w:val="21"/>
        </w:rPr>
      </w:pPr>
      <w:r>
        <w:rPr>
          <w:rStyle w:val="7"/>
          <w:rFonts w:hint="eastAsia" w:ascii="楷体_GB2312" w:hAnsi="Calibri" w:eastAsia="楷体_GB2312" w:cs="楷体_GB2312"/>
          <w:sz w:val="31"/>
          <w:szCs w:val="31"/>
        </w:rPr>
        <w:t>（二）施肥建议</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0" w:firstLineChars="200"/>
        <w:jc w:val="both"/>
        <w:textAlignment w:val="auto"/>
        <w:rPr>
          <w:rFonts w:hint="default" w:ascii="Calibri" w:hAnsi="Calibri" w:cs="Calibri"/>
          <w:sz w:val="21"/>
          <w:szCs w:val="21"/>
        </w:rPr>
      </w:pPr>
      <w:r>
        <w:rPr>
          <w:rFonts w:hint="eastAsia" w:ascii="仿宋_GB2312" w:hAnsi="Calibri" w:eastAsia="仿宋_GB2312" w:cs="仿宋_GB2312"/>
          <w:sz w:val="31"/>
          <w:szCs w:val="31"/>
        </w:rPr>
        <w:t>1.产量在100公斤/亩以下的地块，亩施氮肥（N）2～3公斤、磷肥（P</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w:t>
      </w:r>
      <w:r>
        <w:rPr>
          <w:rFonts w:hint="eastAsia" w:ascii="仿宋_GB2312" w:hAnsi="Calibri" w:eastAsia="仿宋_GB2312" w:cs="仿宋_GB2312"/>
          <w:sz w:val="31"/>
          <w:szCs w:val="31"/>
          <w:vertAlign w:val="subscript"/>
        </w:rPr>
        <w:t>5</w:t>
      </w:r>
      <w:r>
        <w:rPr>
          <w:rFonts w:hint="eastAsia" w:ascii="仿宋_GB2312" w:hAnsi="Calibri" w:eastAsia="仿宋_GB2312" w:cs="仿宋_GB2312"/>
          <w:sz w:val="31"/>
          <w:szCs w:val="31"/>
        </w:rPr>
        <w:t>）2～3公斤、钾肥（K</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O）1～2公斤。产量在100～130公斤/亩的地块，亩施氮肥（N）3～4公斤、磷肥（P</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w:t>
      </w:r>
      <w:r>
        <w:rPr>
          <w:rFonts w:hint="eastAsia" w:ascii="仿宋_GB2312" w:hAnsi="Calibri" w:eastAsia="仿宋_GB2312" w:cs="仿宋_GB2312"/>
          <w:sz w:val="31"/>
          <w:szCs w:val="31"/>
          <w:vertAlign w:val="subscript"/>
        </w:rPr>
        <w:t>5</w:t>
      </w:r>
      <w:r>
        <w:rPr>
          <w:rFonts w:hint="eastAsia" w:ascii="仿宋_GB2312" w:hAnsi="Calibri" w:eastAsia="仿宋_GB2312" w:cs="仿宋_GB2312"/>
          <w:sz w:val="31"/>
          <w:szCs w:val="31"/>
        </w:rPr>
        <w:t>）3～5公斤、钾肥（K</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O）2～3公斤。产量在150公斤/亩以上的地块，亩施氮肥（N）4公斤、磷肥（P</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w:t>
      </w:r>
      <w:r>
        <w:rPr>
          <w:rFonts w:hint="eastAsia" w:ascii="仿宋_GB2312" w:hAnsi="Calibri" w:eastAsia="仿宋_GB2312" w:cs="仿宋_GB2312"/>
          <w:sz w:val="31"/>
          <w:szCs w:val="31"/>
          <w:vertAlign w:val="subscript"/>
        </w:rPr>
        <w:t>5</w:t>
      </w:r>
      <w:r>
        <w:rPr>
          <w:rFonts w:hint="eastAsia" w:ascii="仿宋_GB2312" w:hAnsi="Calibri" w:eastAsia="仿宋_GB2312" w:cs="仿宋_GB2312"/>
          <w:sz w:val="31"/>
          <w:szCs w:val="31"/>
        </w:rPr>
        <w:t>）4～6公斤、钾肥（K</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O）2～4公斤。</w:t>
      </w: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rPr>
          <w:rFonts w:hint="eastAsia" w:ascii="宋体" w:hAnsi="宋体" w:eastAsia="宋体" w:cs="宋体"/>
          <w:sz w:val="24"/>
          <w:szCs w:val="24"/>
        </w:rPr>
      </w:pPr>
      <w:r>
        <w:rPr>
          <w:rFonts w:hint="eastAsia" w:ascii="仿宋_GB2312" w:hAnsi="宋体" w:eastAsia="仿宋_GB2312" w:cs="仿宋_GB2312"/>
          <w:sz w:val="31"/>
          <w:szCs w:val="31"/>
        </w:rPr>
        <w:t>2.根据长势，可在开花期、结荚期或鼓粒期追施氮肥；不追肥田块基肥中40%以上的氮肥选用缓控释型。后期脱肥可喷施0.5%~2%尿素溶液1~2次。土壤肥力较高，基肥、种肥充足，大豆生长健壮的地块，可不追肥，但应防止徒长倒伏。</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rPr>
          <w:rFonts w:hint="eastAsia" w:ascii="宋体" w:hAnsi="宋体" w:eastAsia="宋体" w:cs="宋体"/>
          <w:sz w:val="24"/>
          <w:szCs w:val="24"/>
        </w:rPr>
      </w:pPr>
      <w:r>
        <w:rPr>
          <w:rFonts w:hint="eastAsia" w:ascii="仿宋_GB2312" w:hAnsi="宋体" w:eastAsia="仿宋_GB2312" w:cs="仿宋_GB2312"/>
          <w:sz w:val="31"/>
          <w:szCs w:val="31"/>
        </w:rPr>
        <w:t>3.推荐使用钼酸铵和根瘤菌剂拌种。拌种时用0.05%～0.1%的钼酸铵或钼酸钠溶液与根瘤菌剂混合后拌种，阴干后播种。在大豆花期，叶面喷施浓度为0.2%的钼酸铵溶液1～2次，每次40～50公斤/亩。</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rPr>
          <w:rFonts w:hint="eastAsia" w:ascii="宋体" w:hAnsi="宋体" w:eastAsia="宋体" w:cs="宋体"/>
          <w:sz w:val="24"/>
          <w:szCs w:val="24"/>
        </w:rPr>
      </w:pPr>
      <w:r>
        <w:rPr>
          <w:rFonts w:hint="eastAsia" w:ascii="仿宋_GB2312" w:hAnsi="宋体" w:eastAsia="仿宋_GB2312" w:cs="仿宋_GB2312"/>
          <w:sz w:val="31"/>
          <w:szCs w:val="31"/>
        </w:rPr>
        <w:t>4.在施用化肥基础上，配合施用腐熟有机肥1000～2000公斤/亩。有机肥作基肥施用时，随整地施入土壤。种肥推荐采用侧深施肥，施肥位置在种子侧方6—8cm，种子下方5—8cm。</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0" w:firstLineChars="200"/>
        <w:jc w:val="both"/>
        <w:textAlignment w:val="auto"/>
        <w:rPr>
          <w:rFonts w:hint="default" w:ascii="Calibri" w:hAnsi="Calibri" w:cs="Calibri"/>
          <w:sz w:val="21"/>
          <w:szCs w:val="21"/>
        </w:rPr>
      </w:pPr>
      <w:r>
        <w:rPr>
          <w:rFonts w:hint="default" w:ascii="黑体" w:hAnsi="宋体" w:eastAsia="黑体" w:cs="黑体"/>
          <w:sz w:val="31"/>
          <w:szCs w:val="31"/>
        </w:rPr>
        <w:t>四、马铃薯</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2" w:firstLineChars="200"/>
        <w:jc w:val="both"/>
        <w:textAlignment w:val="auto"/>
        <w:rPr>
          <w:rFonts w:hint="default" w:ascii="Calibri" w:hAnsi="Calibri" w:cs="Calibri"/>
          <w:sz w:val="21"/>
          <w:szCs w:val="21"/>
        </w:rPr>
      </w:pPr>
      <w:r>
        <w:rPr>
          <w:rStyle w:val="7"/>
          <w:rFonts w:hint="eastAsia" w:ascii="楷体_GB2312" w:hAnsi="Calibri" w:eastAsia="楷体_GB2312" w:cs="楷体_GB2312"/>
          <w:sz w:val="31"/>
          <w:szCs w:val="31"/>
        </w:rPr>
        <w:t>（一）施肥原则</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0" w:firstLineChars="200"/>
        <w:jc w:val="both"/>
        <w:textAlignment w:val="auto"/>
        <w:rPr>
          <w:rFonts w:hint="default" w:ascii="Calibri" w:hAnsi="Calibri" w:cs="Calibri"/>
          <w:sz w:val="21"/>
          <w:szCs w:val="21"/>
        </w:rPr>
      </w:pPr>
      <w:r>
        <w:rPr>
          <w:rFonts w:hint="eastAsia" w:ascii="仿宋_GB2312" w:hAnsi="Calibri" w:eastAsia="仿宋_GB2312" w:cs="仿宋_GB2312"/>
          <w:sz w:val="31"/>
          <w:szCs w:val="31"/>
        </w:rPr>
        <w:t>肥料施用应与高产优质栽培技术相结合。根据测土配方施肥结果和目标产量，确定氮磷钾肥合理用量，增施有机肥。肥料施用应基追结合，以基肥为主，追肥为辅。具备滴灌和喷灌等条件的地块，可实施水肥一体化技术。</w:t>
      </w:r>
    </w:p>
    <w:p>
      <w:pPr>
        <w:pStyle w:val="4"/>
        <w:keepNext w:val="0"/>
        <w:keepLines w:val="0"/>
        <w:pageBreakBefore w:val="0"/>
        <w:widowControl w:val="0"/>
        <w:suppressLineNumbers w:val="0"/>
        <w:kinsoku/>
        <w:wordWrap/>
        <w:overflowPunct/>
        <w:topLinePunct w:val="0"/>
        <w:autoSpaceDE/>
        <w:autoSpaceDN/>
        <w:bidi w:val="0"/>
        <w:adjustRightInd/>
        <w:snapToGrid/>
        <w:spacing w:before="75" w:beforeAutospacing="0" w:after="75" w:afterAutospacing="0" w:line="560" w:lineRule="exact"/>
        <w:ind w:left="0" w:right="0" w:firstLine="622" w:firstLineChars="200"/>
        <w:jc w:val="both"/>
        <w:textAlignment w:val="auto"/>
        <w:rPr>
          <w:rFonts w:hint="default" w:ascii="Calibri" w:hAnsi="Calibri" w:cs="Calibri"/>
          <w:sz w:val="21"/>
          <w:szCs w:val="21"/>
        </w:rPr>
      </w:pPr>
      <w:r>
        <w:rPr>
          <w:rStyle w:val="7"/>
          <w:rFonts w:hint="eastAsia" w:ascii="楷体_GB2312" w:hAnsi="Calibri" w:eastAsia="楷体_GB2312" w:cs="楷体_GB2312"/>
          <w:sz w:val="31"/>
          <w:szCs w:val="31"/>
        </w:rPr>
        <w:t>（二）施肥建议</w:t>
      </w:r>
    </w:p>
    <w:p>
      <w:pPr>
        <w:pStyle w:val="4"/>
        <w:keepNext w:val="0"/>
        <w:keepLines w:val="0"/>
        <w:pageBreakBefore w:val="0"/>
        <w:widowControl w:val="0"/>
        <w:suppressLineNumbers w:val="0"/>
        <w:kinsoku/>
        <w:wordWrap/>
        <w:overflowPunct/>
        <w:topLinePunct w:val="0"/>
        <w:autoSpaceDE/>
        <w:autoSpaceDN/>
        <w:bidi w:val="0"/>
        <w:adjustRightInd/>
        <w:snapToGrid/>
        <w:spacing w:before="75" w:beforeAutospacing="0" w:after="75" w:afterAutospacing="0" w:line="560" w:lineRule="exact"/>
        <w:ind w:left="0" w:right="0" w:firstLine="620" w:firstLineChars="200"/>
        <w:jc w:val="both"/>
        <w:textAlignment w:val="auto"/>
        <w:rPr>
          <w:rFonts w:hint="default" w:ascii="Calibri" w:hAnsi="Calibri" w:cs="Calibri"/>
          <w:sz w:val="21"/>
          <w:szCs w:val="21"/>
        </w:rPr>
      </w:pPr>
      <w:r>
        <w:rPr>
          <w:rFonts w:hint="eastAsia" w:ascii="仿宋_GB2312" w:hAnsi="Calibri" w:eastAsia="仿宋_GB2312" w:cs="仿宋_GB2312"/>
          <w:sz w:val="31"/>
          <w:szCs w:val="31"/>
        </w:rPr>
        <w:t>1.目标产量在1500公斤/亩以下的地块，亩施氮肥（N）6～8公斤、磷肥（P</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w:t>
      </w:r>
      <w:r>
        <w:rPr>
          <w:rFonts w:hint="eastAsia" w:ascii="仿宋_GB2312" w:hAnsi="Calibri" w:eastAsia="仿宋_GB2312" w:cs="仿宋_GB2312"/>
          <w:sz w:val="31"/>
          <w:szCs w:val="31"/>
          <w:vertAlign w:val="subscript"/>
        </w:rPr>
        <w:t>5</w:t>
      </w:r>
      <w:r>
        <w:rPr>
          <w:rFonts w:hint="eastAsia" w:ascii="仿宋_GB2312" w:hAnsi="Calibri" w:eastAsia="仿宋_GB2312" w:cs="仿宋_GB2312"/>
          <w:sz w:val="31"/>
          <w:szCs w:val="31"/>
        </w:rPr>
        <w:t>）3～4公斤、钾肥（K</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O）3～4公斤。目标产量在1500～2000公斤/亩的地块，亩施氮肥（N）8～10公斤、磷肥（P</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w:t>
      </w:r>
      <w:r>
        <w:rPr>
          <w:rFonts w:hint="eastAsia" w:ascii="仿宋_GB2312" w:hAnsi="Calibri" w:eastAsia="仿宋_GB2312" w:cs="仿宋_GB2312"/>
          <w:sz w:val="31"/>
          <w:szCs w:val="31"/>
          <w:vertAlign w:val="subscript"/>
        </w:rPr>
        <w:t>5</w:t>
      </w:r>
      <w:r>
        <w:rPr>
          <w:rFonts w:hint="eastAsia" w:ascii="仿宋_GB2312" w:hAnsi="Calibri" w:eastAsia="仿宋_GB2312" w:cs="仿宋_GB2312"/>
          <w:sz w:val="31"/>
          <w:szCs w:val="31"/>
        </w:rPr>
        <w:t>）4～6公斤、钾肥（K</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O）4～6公斤。目标产量在2000～2500公斤/亩的地块，亩施氮肥（N）10～12公斤、磷肥（P</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w:t>
      </w:r>
      <w:r>
        <w:rPr>
          <w:rFonts w:hint="eastAsia" w:ascii="仿宋_GB2312" w:hAnsi="Calibri" w:eastAsia="仿宋_GB2312" w:cs="仿宋_GB2312"/>
          <w:sz w:val="31"/>
          <w:szCs w:val="31"/>
          <w:vertAlign w:val="subscript"/>
        </w:rPr>
        <w:t>5</w:t>
      </w:r>
      <w:r>
        <w:rPr>
          <w:rFonts w:hint="eastAsia" w:ascii="仿宋_GB2312" w:hAnsi="Calibri" w:eastAsia="仿宋_GB2312" w:cs="仿宋_GB2312"/>
          <w:sz w:val="31"/>
          <w:szCs w:val="31"/>
        </w:rPr>
        <w:t>）6～8公斤、钾肥（K</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O）6～7公斤。目标产量在2500公斤/亩以上的地块，亩施氮肥（N）12～14公斤、磷肥（P</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w:t>
      </w:r>
      <w:r>
        <w:rPr>
          <w:rFonts w:hint="eastAsia" w:ascii="仿宋_GB2312" w:hAnsi="Calibri" w:eastAsia="仿宋_GB2312" w:cs="仿宋_GB2312"/>
          <w:sz w:val="31"/>
          <w:szCs w:val="31"/>
          <w:vertAlign w:val="subscript"/>
        </w:rPr>
        <w:t>5</w:t>
      </w:r>
      <w:r>
        <w:rPr>
          <w:rFonts w:hint="eastAsia" w:ascii="仿宋_GB2312" w:hAnsi="Calibri" w:eastAsia="仿宋_GB2312" w:cs="仿宋_GB2312"/>
          <w:sz w:val="31"/>
          <w:szCs w:val="31"/>
        </w:rPr>
        <w:t>）8～10公斤、钾肥（K</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O）7～8公斤。</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rPr>
          <w:rFonts w:hint="eastAsia" w:ascii="宋体" w:hAnsi="宋体" w:eastAsia="宋体" w:cs="宋体"/>
          <w:sz w:val="24"/>
          <w:szCs w:val="24"/>
        </w:rPr>
      </w:pPr>
      <w:r>
        <w:rPr>
          <w:rFonts w:hint="eastAsia" w:ascii="仿宋_GB2312" w:hAnsi="宋体" w:eastAsia="仿宋_GB2312" w:cs="仿宋_GB2312"/>
          <w:sz w:val="31"/>
          <w:szCs w:val="31"/>
        </w:rPr>
        <w:t>2.在施用化肥基础上，施用腐熟有机肥1500～3000公斤/亩。有机肥、磷肥全部作基肥，在秋季或春季结合耕地沟施或撒施后翻入土中。</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rPr>
          <w:rFonts w:hint="eastAsia" w:ascii="宋体" w:hAnsi="宋体" w:eastAsia="宋体" w:cs="宋体"/>
          <w:sz w:val="24"/>
          <w:szCs w:val="24"/>
        </w:rPr>
      </w:pPr>
      <w:r>
        <w:rPr>
          <w:rFonts w:hint="eastAsia" w:ascii="仿宋_GB2312" w:hAnsi="宋体" w:eastAsia="仿宋_GB2312" w:cs="仿宋_GB2312"/>
          <w:sz w:val="31"/>
          <w:szCs w:val="31"/>
        </w:rPr>
        <w:t>3.氮钾肥施用根据产量水平进行：亩产量2000公斤以下时氮钾肥全部作基肥施用。亩产量2000公斤以上时，氮肥60%～70%作基肥，30%～40%作追肥，氮肥追肥要在开花以前进行，早熟品种在苗期追肥，中晚熟品种在现蕾前追肥。钾肥50%作基肥、50%作追肥，钾肥追肥时期为块茎萌发期。</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rPr>
          <w:rFonts w:hint="eastAsia" w:ascii="宋体" w:hAnsi="宋体" w:eastAsia="宋体" w:cs="宋体"/>
          <w:sz w:val="24"/>
          <w:szCs w:val="24"/>
        </w:rPr>
      </w:pPr>
      <w:r>
        <w:rPr>
          <w:rFonts w:hint="eastAsia" w:ascii="仿宋_GB2312" w:hAnsi="宋体" w:eastAsia="仿宋_GB2312" w:cs="仿宋_GB2312"/>
          <w:sz w:val="31"/>
          <w:szCs w:val="31"/>
        </w:rPr>
        <w:t>4.施用控释肥一次性施用。不建议施用含氯较多的肥料。缺硼或缺锌土壤，可基施硼砂1公斤/亩或硫酸锌1公斤/亩。</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0" w:firstLineChars="200"/>
        <w:jc w:val="both"/>
        <w:textAlignment w:val="auto"/>
        <w:rPr>
          <w:rFonts w:hint="default" w:ascii="Calibri" w:hAnsi="Calibri" w:cs="Calibri"/>
          <w:sz w:val="21"/>
          <w:szCs w:val="21"/>
        </w:rPr>
      </w:pPr>
      <w:r>
        <w:rPr>
          <w:rFonts w:hint="default" w:ascii="黑体" w:hAnsi="宋体" w:eastAsia="黑体" w:cs="黑体"/>
          <w:sz w:val="31"/>
          <w:szCs w:val="31"/>
        </w:rPr>
        <w:t>五、春谷子</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2" w:firstLineChars="200"/>
        <w:jc w:val="both"/>
        <w:textAlignment w:val="auto"/>
        <w:rPr>
          <w:rFonts w:hint="default" w:ascii="Calibri" w:hAnsi="Calibri" w:cs="Calibri"/>
          <w:sz w:val="21"/>
          <w:szCs w:val="21"/>
        </w:rPr>
      </w:pPr>
      <w:r>
        <w:rPr>
          <w:rStyle w:val="7"/>
          <w:rFonts w:hint="eastAsia" w:ascii="楷体_GB2312" w:hAnsi="Calibri" w:eastAsia="楷体_GB2312" w:cs="楷体_GB2312"/>
          <w:sz w:val="31"/>
          <w:szCs w:val="31"/>
        </w:rPr>
        <w:t>（一）施肥原则</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0" w:firstLineChars="200"/>
        <w:jc w:val="both"/>
        <w:textAlignment w:val="auto"/>
        <w:rPr>
          <w:rFonts w:hint="default" w:ascii="Calibri" w:hAnsi="Calibri" w:cs="Calibri"/>
          <w:sz w:val="21"/>
          <w:szCs w:val="21"/>
        </w:rPr>
      </w:pPr>
      <w:r>
        <w:rPr>
          <w:rFonts w:hint="eastAsia" w:ascii="仿宋_GB2312" w:hAnsi="Calibri" w:eastAsia="仿宋_GB2312" w:cs="仿宋_GB2312"/>
          <w:sz w:val="31"/>
          <w:szCs w:val="31"/>
        </w:rPr>
        <w:t>肥料施用应与高产优质栽培技术相结合。化肥用量根据目标产量和土壤养分情况来确定，在土壤钾素和硼素相对缺乏地区，要注意钾肥、硼肥的施用。适当增施有机肥，有机无机相结合。氮肥施用坚持“基肥为主，追肥为辅”的原则。一次性施肥和地膜覆盖种植区，建议选用缓控释肥料。</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2" w:firstLineChars="200"/>
        <w:jc w:val="both"/>
        <w:textAlignment w:val="auto"/>
        <w:rPr>
          <w:rFonts w:hint="default" w:ascii="Calibri" w:hAnsi="Calibri" w:cs="Calibri"/>
          <w:sz w:val="21"/>
          <w:szCs w:val="21"/>
        </w:rPr>
      </w:pPr>
      <w:r>
        <w:rPr>
          <w:rStyle w:val="7"/>
          <w:rFonts w:hint="eastAsia" w:ascii="楷体_GB2312" w:hAnsi="Calibri" w:eastAsia="楷体_GB2312" w:cs="楷体_GB2312"/>
          <w:sz w:val="31"/>
          <w:szCs w:val="31"/>
        </w:rPr>
        <w:t>（二）施肥建议</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0" w:firstLineChars="200"/>
        <w:jc w:val="both"/>
        <w:textAlignment w:val="auto"/>
        <w:rPr>
          <w:rFonts w:hint="default" w:ascii="Calibri" w:hAnsi="Calibri" w:cs="Calibri"/>
          <w:sz w:val="21"/>
          <w:szCs w:val="21"/>
        </w:rPr>
      </w:pPr>
      <w:r>
        <w:rPr>
          <w:rFonts w:hint="eastAsia" w:ascii="仿宋_GB2312" w:hAnsi="Calibri" w:eastAsia="仿宋_GB2312" w:cs="仿宋_GB2312"/>
          <w:sz w:val="31"/>
          <w:szCs w:val="31"/>
        </w:rPr>
        <w:t>1.目标产量在250公斤/亩以下的地块，亩施氮肥（N）5～7公斤、磷肥（P</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w:t>
      </w:r>
      <w:r>
        <w:rPr>
          <w:rFonts w:hint="eastAsia" w:ascii="仿宋_GB2312" w:hAnsi="Calibri" w:eastAsia="仿宋_GB2312" w:cs="仿宋_GB2312"/>
          <w:sz w:val="31"/>
          <w:szCs w:val="31"/>
          <w:vertAlign w:val="subscript"/>
        </w:rPr>
        <w:t>5</w:t>
      </w:r>
      <w:r>
        <w:rPr>
          <w:rFonts w:hint="eastAsia" w:ascii="仿宋_GB2312" w:hAnsi="Calibri" w:eastAsia="仿宋_GB2312" w:cs="仿宋_GB2312"/>
          <w:sz w:val="31"/>
          <w:szCs w:val="31"/>
        </w:rPr>
        <w:t>）3～5公斤。目标产量在250～350公斤/亩的地块，亩施氮肥（N）用量推荐为8～10公斤、磷肥（P</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w:t>
      </w:r>
      <w:r>
        <w:rPr>
          <w:rFonts w:hint="eastAsia" w:ascii="仿宋_GB2312" w:hAnsi="Calibri" w:eastAsia="仿宋_GB2312" w:cs="仿宋_GB2312"/>
          <w:sz w:val="31"/>
          <w:szCs w:val="31"/>
          <w:vertAlign w:val="subscript"/>
        </w:rPr>
        <w:t>5</w:t>
      </w:r>
      <w:r>
        <w:rPr>
          <w:rFonts w:hint="eastAsia" w:ascii="仿宋_GB2312" w:hAnsi="Calibri" w:eastAsia="仿宋_GB2312" w:cs="仿宋_GB2312"/>
          <w:sz w:val="31"/>
          <w:szCs w:val="31"/>
        </w:rPr>
        <w:t>）5～6公斤、钾肥（K</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O）2～4公斤。目标产量在350～450公斤/亩的地块，亩施氮肥（N）10～12公斤、磷肥（P</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w:t>
      </w:r>
      <w:r>
        <w:rPr>
          <w:rFonts w:hint="eastAsia" w:ascii="仿宋_GB2312" w:hAnsi="Calibri" w:eastAsia="仿宋_GB2312" w:cs="仿宋_GB2312"/>
          <w:sz w:val="31"/>
          <w:szCs w:val="31"/>
          <w:vertAlign w:val="subscript"/>
        </w:rPr>
        <w:t>5</w:t>
      </w:r>
      <w:r>
        <w:rPr>
          <w:rFonts w:hint="eastAsia" w:ascii="仿宋_GB2312" w:hAnsi="Calibri" w:eastAsia="仿宋_GB2312" w:cs="仿宋_GB2312"/>
          <w:sz w:val="31"/>
          <w:szCs w:val="31"/>
        </w:rPr>
        <w:t>）6～8公斤、钾肥（K</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O）3～5公斤/亩。目标产量在450公斤/亩以上的地块，亩施氮肥（N）12～14公斤、磷肥（P</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w:t>
      </w:r>
      <w:r>
        <w:rPr>
          <w:rFonts w:hint="eastAsia" w:ascii="仿宋_GB2312" w:hAnsi="Calibri" w:eastAsia="仿宋_GB2312" w:cs="仿宋_GB2312"/>
          <w:sz w:val="31"/>
          <w:szCs w:val="31"/>
          <w:vertAlign w:val="subscript"/>
        </w:rPr>
        <w:t>5</w:t>
      </w:r>
      <w:r>
        <w:rPr>
          <w:rFonts w:hint="eastAsia" w:ascii="仿宋_GB2312" w:hAnsi="Calibri" w:eastAsia="仿宋_GB2312" w:cs="仿宋_GB2312"/>
          <w:sz w:val="31"/>
          <w:szCs w:val="31"/>
        </w:rPr>
        <w:t>）7～9公斤、钾肥（K</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O）4～6公斤。</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0" w:firstLineChars="200"/>
        <w:jc w:val="both"/>
        <w:textAlignment w:val="auto"/>
        <w:rPr>
          <w:rFonts w:hint="default" w:ascii="Calibri" w:hAnsi="Calibri" w:cs="Calibri"/>
          <w:sz w:val="21"/>
          <w:szCs w:val="21"/>
        </w:rPr>
      </w:pPr>
      <w:r>
        <w:rPr>
          <w:rFonts w:hint="eastAsia" w:ascii="仿宋_GB2312" w:hAnsi="Calibri" w:eastAsia="仿宋_GB2312" w:cs="仿宋_GB2312"/>
          <w:sz w:val="31"/>
          <w:szCs w:val="31"/>
        </w:rPr>
        <w:t>2.在施用化肥基础上，配合施用腐熟有机肥1200～2500公斤/亩。</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rPr>
          <w:rFonts w:hint="eastAsia" w:ascii="宋体" w:hAnsi="宋体" w:eastAsia="宋体" w:cs="宋体"/>
          <w:sz w:val="24"/>
          <w:szCs w:val="24"/>
        </w:rPr>
      </w:pPr>
      <w:r>
        <w:rPr>
          <w:rFonts w:hint="eastAsia" w:ascii="仿宋_GB2312" w:hAnsi="宋体" w:eastAsia="仿宋_GB2312" w:cs="仿宋_GB2312"/>
          <w:sz w:val="31"/>
          <w:szCs w:val="31"/>
        </w:rPr>
        <w:t>3.有机肥、磷钾肥和中微量元素肥料作基肥一次性施用。氮肥施用根据产量水平进行：产量在250公斤/亩以下时氮肥全部作基肥施用；产量在250公斤/亩以上时氮肥60～70%作基肥施用，30～40%在拔节后期作追肥施用。</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rPr>
          <w:rFonts w:hint="eastAsia" w:ascii="宋体" w:hAnsi="宋体" w:eastAsia="宋体" w:cs="宋体"/>
          <w:sz w:val="24"/>
          <w:szCs w:val="24"/>
        </w:rPr>
      </w:pPr>
      <w:r>
        <w:rPr>
          <w:rFonts w:hint="eastAsia" w:ascii="仿宋_GB2312" w:hAnsi="宋体" w:eastAsia="仿宋_GB2312" w:cs="仿宋_GB2312"/>
          <w:sz w:val="31"/>
          <w:szCs w:val="31"/>
        </w:rPr>
        <w:t>4.在谷子孕穗期每亩用0.25～0.5公斤硼砂和0.25～0.5公斤磷酸二氢钾、0.5～1公斤尿素兑水50公斤，进行叶面喷施。</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rPr>
          <w:rFonts w:hint="eastAsia" w:ascii="宋体" w:hAnsi="宋体" w:eastAsia="宋体" w:cs="宋体"/>
          <w:sz w:val="24"/>
          <w:szCs w:val="24"/>
        </w:rPr>
      </w:pPr>
      <w:r>
        <w:rPr>
          <w:rFonts w:hint="default" w:ascii="黑体" w:hAnsi="宋体" w:eastAsia="黑体" w:cs="黑体"/>
          <w:sz w:val="31"/>
          <w:szCs w:val="31"/>
        </w:rPr>
        <w:t>六、高粱</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22" w:firstLineChars="200"/>
        <w:jc w:val="both"/>
        <w:textAlignment w:val="auto"/>
        <w:rPr>
          <w:rFonts w:hint="eastAsia" w:ascii="宋体" w:hAnsi="宋体" w:eastAsia="宋体" w:cs="宋体"/>
          <w:sz w:val="24"/>
          <w:szCs w:val="24"/>
        </w:rPr>
      </w:pPr>
      <w:r>
        <w:rPr>
          <w:rStyle w:val="7"/>
          <w:rFonts w:hint="eastAsia" w:ascii="楷体_GB2312" w:hAnsi="宋体" w:eastAsia="楷体_GB2312" w:cs="楷体_GB2312"/>
          <w:sz w:val="31"/>
          <w:szCs w:val="31"/>
        </w:rPr>
        <w:t>（一）施肥原则</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0" w:firstLineChars="200"/>
        <w:jc w:val="both"/>
        <w:textAlignment w:val="auto"/>
        <w:rPr>
          <w:rFonts w:hint="default" w:ascii="Calibri" w:hAnsi="Calibri" w:cs="Calibri"/>
          <w:sz w:val="21"/>
          <w:szCs w:val="21"/>
        </w:rPr>
      </w:pPr>
      <w:r>
        <w:rPr>
          <w:rFonts w:hint="eastAsia" w:ascii="仿宋_GB2312" w:hAnsi="Calibri" w:eastAsia="仿宋_GB2312" w:cs="仿宋_GB2312"/>
          <w:sz w:val="31"/>
          <w:szCs w:val="31"/>
        </w:rPr>
        <w:t>肥料施用应与高产优质栽培技术相结合。根据目标产量和土壤养分情况，确定氮磷肥合理用量，适当增施钾肥。注意有机无机配合施用，增施有机肥。肥料施用应基追结合，以基肥为主，追肥为辅。</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2" w:firstLineChars="200"/>
        <w:jc w:val="both"/>
        <w:textAlignment w:val="auto"/>
        <w:rPr>
          <w:rFonts w:hint="default" w:ascii="Calibri" w:hAnsi="Calibri" w:cs="Calibri"/>
          <w:sz w:val="21"/>
          <w:szCs w:val="21"/>
        </w:rPr>
      </w:pPr>
      <w:r>
        <w:rPr>
          <w:rStyle w:val="7"/>
          <w:rFonts w:hint="eastAsia" w:ascii="楷体_GB2312" w:hAnsi="Calibri" w:eastAsia="楷体_GB2312" w:cs="楷体_GB2312"/>
          <w:sz w:val="31"/>
          <w:szCs w:val="31"/>
        </w:rPr>
        <w:t>（二）施肥建议</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0" w:firstLineChars="200"/>
        <w:jc w:val="both"/>
        <w:textAlignment w:val="auto"/>
        <w:rPr>
          <w:rFonts w:hint="default" w:ascii="Calibri" w:hAnsi="Calibri" w:cs="Calibri"/>
          <w:sz w:val="21"/>
          <w:szCs w:val="21"/>
        </w:rPr>
      </w:pPr>
      <w:r>
        <w:rPr>
          <w:rFonts w:hint="eastAsia" w:ascii="仿宋_GB2312" w:hAnsi="Calibri" w:eastAsia="仿宋_GB2312" w:cs="仿宋_GB2312"/>
          <w:sz w:val="31"/>
          <w:szCs w:val="31"/>
        </w:rPr>
        <w:t>1.目标产量在500公斤/亩以下的地块，亩施氮肥（N）5～7公斤、磷肥（P</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w:t>
      </w:r>
      <w:r>
        <w:rPr>
          <w:rFonts w:hint="eastAsia" w:ascii="仿宋_GB2312" w:hAnsi="Calibri" w:eastAsia="仿宋_GB2312" w:cs="仿宋_GB2312"/>
          <w:sz w:val="31"/>
          <w:szCs w:val="31"/>
          <w:vertAlign w:val="subscript"/>
        </w:rPr>
        <w:t>5</w:t>
      </w:r>
      <w:r>
        <w:rPr>
          <w:rFonts w:hint="eastAsia" w:ascii="仿宋_GB2312" w:hAnsi="Calibri" w:eastAsia="仿宋_GB2312" w:cs="仿宋_GB2312"/>
          <w:sz w:val="31"/>
          <w:szCs w:val="31"/>
        </w:rPr>
        <w:t>）2～3公斤、钾肥（K</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O）1～2公斤。目标产量在500～600公斤/亩的地块，亩施氮肥（N）7～9公斤、磷肥（P</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w:t>
      </w:r>
      <w:r>
        <w:rPr>
          <w:rFonts w:hint="eastAsia" w:ascii="仿宋_GB2312" w:hAnsi="Calibri" w:eastAsia="仿宋_GB2312" w:cs="仿宋_GB2312"/>
          <w:sz w:val="31"/>
          <w:szCs w:val="31"/>
          <w:vertAlign w:val="subscript"/>
        </w:rPr>
        <w:t>5</w:t>
      </w:r>
      <w:r>
        <w:rPr>
          <w:rFonts w:hint="eastAsia" w:ascii="仿宋_GB2312" w:hAnsi="Calibri" w:eastAsia="仿宋_GB2312" w:cs="仿宋_GB2312"/>
          <w:sz w:val="31"/>
          <w:szCs w:val="31"/>
        </w:rPr>
        <w:t>）3～5公斤、钾肥（K</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O）2～3公斤。目标产量在600～700公斤/亩的地块，亩施氮肥（N）9～12公斤、磷肥（P</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w:t>
      </w:r>
      <w:r>
        <w:rPr>
          <w:rFonts w:hint="eastAsia" w:ascii="仿宋_GB2312" w:hAnsi="Calibri" w:eastAsia="仿宋_GB2312" w:cs="仿宋_GB2312"/>
          <w:sz w:val="31"/>
          <w:szCs w:val="31"/>
          <w:vertAlign w:val="subscript"/>
        </w:rPr>
        <w:t>5</w:t>
      </w:r>
      <w:r>
        <w:rPr>
          <w:rFonts w:hint="eastAsia" w:ascii="仿宋_GB2312" w:hAnsi="Calibri" w:eastAsia="仿宋_GB2312" w:cs="仿宋_GB2312"/>
          <w:sz w:val="31"/>
          <w:szCs w:val="31"/>
        </w:rPr>
        <w:t>）5～6公斤、钾肥（K</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O）3～4公斤。目标产量在700公斤/亩以上的地块，亩施氮肥（N）12～14公斤、磷肥（P</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w:t>
      </w:r>
      <w:r>
        <w:rPr>
          <w:rFonts w:hint="eastAsia" w:ascii="仿宋_GB2312" w:hAnsi="Calibri" w:eastAsia="仿宋_GB2312" w:cs="仿宋_GB2312"/>
          <w:sz w:val="31"/>
          <w:szCs w:val="31"/>
          <w:vertAlign w:val="subscript"/>
        </w:rPr>
        <w:t>5</w:t>
      </w:r>
      <w:r>
        <w:rPr>
          <w:rFonts w:hint="eastAsia" w:ascii="仿宋_GB2312" w:hAnsi="Calibri" w:eastAsia="仿宋_GB2312" w:cs="仿宋_GB2312"/>
          <w:sz w:val="31"/>
          <w:szCs w:val="31"/>
        </w:rPr>
        <w:t>）6～8公斤、钾肥（K</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O）4～5公斤。</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rPr>
          <w:rFonts w:hint="eastAsia" w:ascii="宋体" w:hAnsi="宋体" w:eastAsia="宋体" w:cs="宋体"/>
          <w:sz w:val="24"/>
          <w:szCs w:val="24"/>
        </w:rPr>
      </w:pPr>
      <w:r>
        <w:rPr>
          <w:rFonts w:hint="eastAsia" w:ascii="仿宋_GB2312" w:hAnsi="宋体" w:eastAsia="仿宋_GB2312" w:cs="仿宋_GB2312"/>
          <w:sz w:val="31"/>
          <w:szCs w:val="31"/>
        </w:rPr>
        <w:t>2.在施用化肥基础上，配合施用有机肥1200～2500公斤/亩。</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rPr>
          <w:rFonts w:hint="eastAsia" w:ascii="宋体" w:hAnsi="宋体" w:eastAsia="宋体" w:cs="宋体"/>
          <w:sz w:val="24"/>
          <w:szCs w:val="24"/>
        </w:rPr>
      </w:pPr>
      <w:r>
        <w:rPr>
          <w:rFonts w:hint="eastAsia" w:ascii="仿宋_GB2312" w:hAnsi="宋体" w:eastAsia="仿宋_GB2312" w:cs="仿宋_GB2312"/>
          <w:sz w:val="31"/>
          <w:szCs w:val="31"/>
        </w:rPr>
        <w:t>3.有机肥、磷、钾均作基肥。氮肥60%～70%基施、30%～40%在抽穗前追施。在质地偏砂、保肥性能差的土壤，追施氮肥量应占总施氮量的50％左右。基施深度为15～20cm，追施深度为5～10cm。</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rPr>
          <w:rFonts w:hint="eastAsia" w:ascii="宋体" w:hAnsi="宋体" w:eastAsia="宋体" w:cs="宋体"/>
          <w:sz w:val="24"/>
          <w:szCs w:val="24"/>
        </w:rPr>
      </w:pPr>
      <w:r>
        <w:rPr>
          <w:rFonts w:hint="default" w:ascii="黑体" w:hAnsi="宋体" w:eastAsia="黑体" w:cs="黑体"/>
          <w:sz w:val="31"/>
          <w:szCs w:val="31"/>
        </w:rPr>
        <w:t>七、红薯</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22" w:firstLineChars="200"/>
        <w:jc w:val="both"/>
        <w:textAlignment w:val="auto"/>
        <w:rPr>
          <w:rFonts w:hint="eastAsia" w:ascii="宋体" w:hAnsi="宋体" w:eastAsia="宋体" w:cs="宋体"/>
          <w:sz w:val="24"/>
          <w:szCs w:val="24"/>
        </w:rPr>
      </w:pPr>
      <w:r>
        <w:rPr>
          <w:rStyle w:val="7"/>
          <w:rFonts w:hint="eastAsia" w:ascii="楷体_GB2312" w:hAnsi="宋体" w:eastAsia="楷体_GB2312" w:cs="楷体_GB2312"/>
          <w:sz w:val="31"/>
          <w:szCs w:val="31"/>
        </w:rPr>
        <w:t>（一）施肥原则</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0" w:firstLineChars="200"/>
        <w:jc w:val="both"/>
        <w:textAlignment w:val="auto"/>
        <w:rPr>
          <w:rFonts w:hint="default" w:ascii="Calibri" w:hAnsi="Calibri" w:cs="Calibri"/>
          <w:sz w:val="21"/>
          <w:szCs w:val="21"/>
        </w:rPr>
      </w:pPr>
      <w:r>
        <w:rPr>
          <w:rFonts w:hint="eastAsia" w:ascii="仿宋_GB2312" w:hAnsi="Calibri" w:eastAsia="仿宋_GB2312" w:cs="仿宋_GB2312"/>
          <w:sz w:val="31"/>
          <w:szCs w:val="31"/>
        </w:rPr>
        <w:t>肥料施用应与高产优质栽培技术相结合。根据测土配方施肥结果和目标产量，确定氮磷钾肥合理用量，适当增施钾肥，并注意增施有机肥，实现有机无机配合施用。肥料施用应基追结合，以基肥为主，追肥为辅。</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2" w:firstLineChars="200"/>
        <w:jc w:val="both"/>
        <w:textAlignment w:val="auto"/>
        <w:rPr>
          <w:rFonts w:hint="default" w:ascii="Calibri" w:hAnsi="Calibri" w:cs="Calibri"/>
          <w:sz w:val="21"/>
          <w:szCs w:val="21"/>
        </w:rPr>
      </w:pPr>
      <w:r>
        <w:rPr>
          <w:rStyle w:val="7"/>
          <w:rFonts w:hint="eastAsia" w:ascii="楷体_GB2312" w:hAnsi="Calibri" w:eastAsia="楷体_GB2312" w:cs="楷体_GB2312"/>
          <w:sz w:val="31"/>
          <w:szCs w:val="31"/>
        </w:rPr>
        <w:t>（二）施肥建议</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0" w:firstLineChars="200"/>
        <w:jc w:val="both"/>
        <w:textAlignment w:val="auto"/>
        <w:rPr>
          <w:rFonts w:hint="default" w:ascii="Calibri" w:hAnsi="Calibri" w:cs="Calibri"/>
          <w:sz w:val="21"/>
          <w:szCs w:val="21"/>
        </w:rPr>
      </w:pPr>
      <w:r>
        <w:rPr>
          <w:rFonts w:hint="eastAsia" w:ascii="仿宋_GB2312" w:hAnsi="Calibri" w:eastAsia="仿宋_GB2312" w:cs="仿宋_GB2312"/>
          <w:sz w:val="31"/>
          <w:szCs w:val="31"/>
        </w:rPr>
        <w:t>1.目标产量在2000～2500公斤/亩的地块，亩施氮肥（N）7~9公斤，磷肥（P</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w:t>
      </w:r>
      <w:r>
        <w:rPr>
          <w:rFonts w:hint="eastAsia" w:ascii="仿宋_GB2312" w:hAnsi="Calibri" w:eastAsia="仿宋_GB2312" w:cs="仿宋_GB2312"/>
          <w:sz w:val="31"/>
          <w:szCs w:val="31"/>
          <w:vertAlign w:val="subscript"/>
        </w:rPr>
        <w:t>5</w:t>
      </w:r>
      <w:r>
        <w:rPr>
          <w:rFonts w:hint="eastAsia" w:ascii="仿宋_GB2312" w:hAnsi="Calibri" w:eastAsia="仿宋_GB2312" w:cs="仿宋_GB2312"/>
          <w:sz w:val="31"/>
          <w:szCs w:val="31"/>
        </w:rPr>
        <w:t>）5～6公斤、钾肥（K</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O）10～12公斤，目标产量在2500公斤以上的地块，亩施氮肥（N）9~12公斤，磷肥（P</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w:t>
      </w:r>
      <w:r>
        <w:rPr>
          <w:rFonts w:hint="eastAsia" w:ascii="仿宋_GB2312" w:hAnsi="Calibri" w:eastAsia="仿宋_GB2312" w:cs="仿宋_GB2312"/>
          <w:sz w:val="31"/>
          <w:szCs w:val="31"/>
          <w:vertAlign w:val="subscript"/>
        </w:rPr>
        <w:t>5</w:t>
      </w:r>
      <w:r>
        <w:rPr>
          <w:rFonts w:hint="eastAsia" w:ascii="仿宋_GB2312" w:hAnsi="Calibri" w:eastAsia="仿宋_GB2312" w:cs="仿宋_GB2312"/>
          <w:sz w:val="31"/>
          <w:szCs w:val="31"/>
        </w:rPr>
        <w:t>）6～7公斤、钾肥（K</w:t>
      </w:r>
      <w:r>
        <w:rPr>
          <w:rFonts w:hint="eastAsia" w:ascii="仿宋_GB2312" w:hAnsi="Calibri" w:eastAsia="仿宋_GB2312" w:cs="仿宋_GB2312"/>
          <w:sz w:val="31"/>
          <w:szCs w:val="31"/>
          <w:vertAlign w:val="subscript"/>
        </w:rPr>
        <w:t>2</w:t>
      </w:r>
      <w:r>
        <w:rPr>
          <w:rFonts w:hint="eastAsia" w:ascii="仿宋_GB2312" w:hAnsi="Calibri" w:eastAsia="仿宋_GB2312" w:cs="仿宋_GB2312"/>
          <w:sz w:val="31"/>
          <w:szCs w:val="31"/>
        </w:rPr>
        <w:t>O）12～15公斤。</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0" w:firstLineChars="200"/>
        <w:jc w:val="both"/>
        <w:textAlignment w:val="auto"/>
        <w:rPr>
          <w:rFonts w:hint="default" w:ascii="Calibri" w:hAnsi="Calibri" w:cs="Calibri"/>
          <w:sz w:val="21"/>
          <w:szCs w:val="21"/>
        </w:rPr>
      </w:pPr>
      <w:r>
        <w:rPr>
          <w:rFonts w:hint="eastAsia" w:ascii="仿宋_GB2312" w:hAnsi="Calibri" w:eastAsia="仿宋_GB2312" w:cs="仿宋_GB2312"/>
          <w:sz w:val="31"/>
          <w:szCs w:val="31"/>
        </w:rPr>
        <w:t>2.在施用化肥基础上，施用腐熟有机肥2500～3500公斤/亩。</w:t>
      </w:r>
    </w:p>
    <w:p>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620" w:firstLineChars="200"/>
        <w:jc w:val="both"/>
        <w:textAlignment w:val="auto"/>
        <w:rPr>
          <w:rFonts w:hint="default" w:ascii="Calibri" w:hAnsi="Calibri" w:cs="Calibri"/>
          <w:sz w:val="21"/>
          <w:szCs w:val="21"/>
        </w:rPr>
      </w:pPr>
      <w:r>
        <w:rPr>
          <w:rFonts w:hint="eastAsia" w:ascii="仿宋_GB2312" w:hAnsi="Calibri" w:eastAsia="仿宋_GB2312" w:cs="仿宋_GB2312"/>
          <w:sz w:val="31"/>
          <w:szCs w:val="31"/>
        </w:rPr>
        <w:t>3.有机肥、磷肥、钾肥均作基肥，氮肥60%～70%基施、30%～40%在苗期或团棵期追施，基肥的施用可分两次进行，50%的基肥可在春季或秋季结合耕地沟施或撒施后翻入土壤。其余50%基肥可在起垄时集中施在垄底或在栽插时进行穴施。茎叶盛长期、茎叶衰退期（裂痕期）可分别叶面喷施 0.3%磷酸二氢钾1～2次。</w:t>
      </w:r>
    </w:p>
    <w:p>
      <w:pPr>
        <w:pStyle w:val="4"/>
        <w:keepNext w:val="0"/>
        <w:keepLines w:val="0"/>
        <w:pageBreakBefore w:val="0"/>
        <w:widowControl/>
        <w:suppressLineNumbers w:val="0"/>
        <w:kinsoku/>
        <w:wordWrap/>
        <w:overflowPunct/>
        <w:topLinePunct w:val="0"/>
        <w:autoSpaceDE/>
        <w:autoSpaceDN/>
        <w:bidi w:val="0"/>
        <w:spacing w:before="75" w:beforeAutospacing="0" w:after="75" w:afterAutospacing="0" w:line="600" w:lineRule="exact"/>
        <w:ind w:left="0" w:right="0"/>
        <w:textAlignment w:val="auto"/>
      </w:pPr>
    </w:p>
    <w:p>
      <w:pPr>
        <w:pStyle w:val="4"/>
        <w:keepNext w:val="0"/>
        <w:keepLines w:val="0"/>
        <w:pageBreakBefore w:val="0"/>
        <w:widowControl/>
        <w:suppressLineNumbers w:val="0"/>
        <w:kinsoku/>
        <w:wordWrap/>
        <w:overflowPunct/>
        <w:topLinePunct w:val="0"/>
        <w:autoSpaceDE/>
        <w:autoSpaceDN/>
        <w:bidi w:val="0"/>
        <w:spacing w:before="75" w:beforeAutospacing="0" w:after="75" w:afterAutospacing="0" w:line="600" w:lineRule="exact"/>
        <w:ind w:left="0" w:right="0"/>
        <w:jc w:val="both"/>
        <w:textAlignment w:val="auto"/>
        <w:rPr>
          <w:rFonts w:hint="default" w:ascii="Calibri" w:hAnsi="Calibri" w:cs="Calibri"/>
          <w:sz w:val="21"/>
          <w:szCs w:val="21"/>
        </w:rPr>
      </w:pPr>
    </w:p>
    <w:p>
      <w:pPr>
        <w:pStyle w:val="4"/>
        <w:keepNext w:val="0"/>
        <w:keepLines w:val="0"/>
        <w:pageBreakBefore w:val="0"/>
        <w:widowControl/>
        <w:suppressLineNumbers w:val="0"/>
        <w:kinsoku/>
        <w:wordWrap/>
        <w:overflowPunct/>
        <w:topLinePunct w:val="0"/>
        <w:autoSpaceDE/>
        <w:autoSpaceDN/>
        <w:bidi w:val="0"/>
        <w:spacing w:before="75" w:beforeAutospacing="0" w:after="75" w:afterAutospacing="0" w:line="600" w:lineRule="exact"/>
        <w:ind w:left="0" w:right="0"/>
        <w:jc w:val="both"/>
        <w:textAlignment w:val="auto"/>
        <w:rPr>
          <w:rFonts w:hint="default" w:ascii="Calibri" w:hAnsi="Calibri" w:cs="Calibri"/>
          <w:sz w:val="21"/>
          <w:szCs w:val="21"/>
        </w:rPr>
      </w:pPr>
    </w:p>
    <w:p>
      <w:pPr>
        <w:pStyle w:val="4"/>
        <w:keepNext w:val="0"/>
        <w:keepLines w:val="0"/>
        <w:pageBreakBefore w:val="0"/>
        <w:widowControl/>
        <w:suppressLineNumbers w:val="0"/>
        <w:kinsoku/>
        <w:wordWrap/>
        <w:overflowPunct/>
        <w:topLinePunct w:val="0"/>
        <w:autoSpaceDE/>
        <w:autoSpaceDN/>
        <w:bidi w:val="0"/>
        <w:spacing w:before="75" w:beforeAutospacing="0" w:after="75" w:afterAutospacing="0" w:line="600" w:lineRule="exact"/>
        <w:ind w:left="0" w:right="0"/>
        <w:jc w:val="both"/>
        <w:textAlignment w:val="auto"/>
        <w:rPr>
          <w:rFonts w:hint="default" w:ascii="Calibri" w:hAnsi="Calibri" w:cs="Calibri"/>
          <w:sz w:val="21"/>
          <w:szCs w:val="21"/>
        </w:rPr>
      </w:pPr>
    </w:p>
    <w:p>
      <w:pPr>
        <w:pStyle w:val="4"/>
        <w:keepNext w:val="0"/>
        <w:keepLines w:val="0"/>
        <w:pageBreakBefore w:val="0"/>
        <w:widowControl/>
        <w:suppressLineNumbers w:val="0"/>
        <w:kinsoku/>
        <w:wordWrap/>
        <w:overflowPunct/>
        <w:topLinePunct w:val="0"/>
        <w:autoSpaceDE/>
        <w:autoSpaceDN/>
        <w:bidi w:val="0"/>
        <w:spacing w:before="75" w:beforeAutospacing="0" w:after="75" w:afterAutospacing="0" w:line="600" w:lineRule="exact"/>
        <w:ind w:left="0" w:right="0"/>
        <w:jc w:val="both"/>
        <w:textAlignment w:val="auto"/>
        <w:rPr>
          <w:rFonts w:hint="default" w:ascii="Calibri" w:hAnsi="Calibri" w:cs="Calibri"/>
          <w:sz w:val="21"/>
          <w:szCs w:val="21"/>
        </w:rPr>
      </w:pPr>
    </w:p>
    <w:p>
      <w:pPr>
        <w:pStyle w:val="4"/>
        <w:keepNext w:val="0"/>
        <w:keepLines w:val="0"/>
        <w:pageBreakBefore w:val="0"/>
        <w:widowControl/>
        <w:suppressLineNumbers w:val="0"/>
        <w:kinsoku/>
        <w:wordWrap/>
        <w:overflowPunct/>
        <w:topLinePunct w:val="0"/>
        <w:autoSpaceDE/>
        <w:autoSpaceDN/>
        <w:bidi w:val="0"/>
        <w:spacing w:before="75" w:beforeAutospacing="0" w:after="75" w:afterAutospacing="0" w:line="600" w:lineRule="exact"/>
        <w:ind w:left="0" w:right="0"/>
        <w:jc w:val="both"/>
        <w:textAlignment w:val="auto"/>
        <w:rPr>
          <w:rFonts w:hint="default" w:ascii="Calibri" w:hAnsi="Calibri" w:cs="Calibri"/>
          <w:sz w:val="21"/>
          <w:szCs w:val="21"/>
        </w:rPr>
      </w:pPr>
    </w:p>
    <w:p>
      <w:pPr>
        <w:pStyle w:val="4"/>
        <w:keepNext w:val="0"/>
        <w:keepLines w:val="0"/>
        <w:pageBreakBefore w:val="0"/>
        <w:widowControl/>
        <w:suppressLineNumbers w:val="0"/>
        <w:kinsoku/>
        <w:wordWrap/>
        <w:overflowPunct/>
        <w:topLinePunct w:val="0"/>
        <w:autoSpaceDE/>
        <w:autoSpaceDN/>
        <w:bidi w:val="0"/>
        <w:spacing w:before="75" w:beforeAutospacing="0" w:after="75" w:afterAutospacing="0" w:line="600" w:lineRule="exact"/>
        <w:ind w:left="0" w:right="0"/>
        <w:jc w:val="both"/>
        <w:textAlignment w:val="auto"/>
        <w:rPr>
          <w:rFonts w:hint="default" w:ascii="Calibri" w:hAnsi="Calibri" w:cs="Calibri"/>
          <w:sz w:val="21"/>
          <w:szCs w:val="21"/>
        </w:rPr>
      </w:pPr>
    </w:p>
    <w:p>
      <w:pPr>
        <w:pStyle w:val="4"/>
        <w:keepNext w:val="0"/>
        <w:keepLines w:val="0"/>
        <w:pageBreakBefore w:val="0"/>
        <w:widowControl/>
        <w:suppressLineNumbers w:val="0"/>
        <w:kinsoku/>
        <w:wordWrap/>
        <w:overflowPunct/>
        <w:topLinePunct w:val="0"/>
        <w:autoSpaceDE/>
        <w:autoSpaceDN/>
        <w:bidi w:val="0"/>
        <w:spacing w:before="75" w:beforeAutospacing="0" w:after="75" w:afterAutospacing="0" w:line="600" w:lineRule="exact"/>
        <w:ind w:left="0" w:right="0"/>
        <w:jc w:val="both"/>
        <w:textAlignment w:val="auto"/>
        <w:rPr>
          <w:rFonts w:hint="default" w:ascii="Calibri" w:hAnsi="Calibri" w:cs="Calibri"/>
          <w:sz w:val="21"/>
          <w:szCs w:val="21"/>
        </w:rPr>
      </w:pPr>
    </w:p>
    <w:p>
      <w:pPr>
        <w:pStyle w:val="4"/>
        <w:keepNext w:val="0"/>
        <w:keepLines w:val="0"/>
        <w:pageBreakBefore w:val="0"/>
        <w:widowControl/>
        <w:suppressLineNumbers w:val="0"/>
        <w:kinsoku/>
        <w:wordWrap/>
        <w:overflowPunct/>
        <w:topLinePunct w:val="0"/>
        <w:autoSpaceDE/>
        <w:autoSpaceDN/>
        <w:bidi w:val="0"/>
        <w:spacing w:before="75" w:beforeAutospacing="0" w:after="75" w:afterAutospacing="0" w:line="600" w:lineRule="exact"/>
        <w:ind w:left="0" w:right="0"/>
        <w:jc w:val="both"/>
        <w:textAlignment w:val="auto"/>
        <w:rPr>
          <w:rFonts w:hint="default" w:ascii="Calibri" w:hAnsi="Calibri" w:cs="Calibri"/>
          <w:sz w:val="21"/>
          <w:szCs w:val="21"/>
        </w:rPr>
      </w:pPr>
    </w:p>
    <w:p>
      <w:pPr>
        <w:pStyle w:val="4"/>
        <w:keepNext w:val="0"/>
        <w:keepLines w:val="0"/>
        <w:pageBreakBefore w:val="0"/>
        <w:widowControl/>
        <w:suppressLineNumbers w:val="0"/>
        <w:kinsoku/>
        <w:wordWrap/>
        <w:overflowPunct/>
        <w:topLinePunct w:val="0"/>
        <w:autoSpaceDE/>
        <w:autoSpaceDN/>
        <w:bidi w:val="0"/>
        <w:adjustRightInd/>
        <w:snapToGrid/>
        <w:spacing w:before="220" w:beforeAutospacing="0" w:after="75" w:afterAutospacing="0" w:line="600" w:lineRule="exact"/>
        <w:ind w:left="0" w:right="0"/>
        <w:jc w:val="both"/>
        <w:textAlignment w:val="auto"/>
        <w:rPr>
          <w:rFonts w:hint="default" w:ascii="Calibri" w:hAnsi="Calibri" w:cs="Calibri"/>
          <w:sz w:val="21"/>
          <w:szCs w:val="21"/>
        </w:rPr>
      </w:pPr>
    </w:p>
    <w:p>
      <w:pPr>
        <w:pStyle w:val="4"/>
        <w:keepNext w:val="0"/>
        <w:keepLines w:val="0"/>
        <w:pageBreakBefore w:val="0"/>
        <w:widowControl/>
        <w:suppressLineNumbers w:val="0"/>
        <w:kinsoku/>
        <w:wordWrap/>
        <w:overflowPunct/>
        <w:topLinePunct w:val="0"/>
        <w:autoSpaceDE/>
        <w:autoSpaceDN/>
        <w:bidi w:val="0"/>
        <w:adjustRightInd/>
        <w:snapToGrid/>
        <w:spacing w:before="220" w:beforeAutospacing="0" w:after="75" w:afterAutospacing="0" w:line="600" w:lineRule="exact"/>
        <w:ind w:left="0" w:right="0"/>
        <w:jc w:val="both"/>
        <w:textAlignment w:val="auto"/>
        <w:rPr>
          <w:rFonts w:hint="default" w:ascii="Calibri" w:hAnsi="Calibri" w:cs="Calibri"/>
          <w:sz w:val="21"/>
          <w:szCs w:val="21"/>
        </w:rPr>
      </w:pPr>
    </w:p>
    <w:p>
      <w:pPr>
        <w:pStyle w:val="4"/>
        <w:keepNext w:val="0"/>
        <w:keepLines w:val="0"/>
        <w:pageBreakBefore w:val="0"/>
        <w:widowControl/>
        <w:suppressLineNumbers w:val="0"/>
        <w:kinsoku/>
        <w:wordWrap/>
        <w:overflowPunct/>
        <w:topLinePunct w:val="0"/>
        <w:autoSpaceDE/>
        <w:autoSpaceDN/>
        <w:bidi w:val="0"/>
        <w:adjustRightInd/>
        <w:snapToGrid/>
        <w:spacing w:before="220" w:beforeAutospacing="0" w:after="75" w:afterAutospacing="0" w:line="600" w:lineRule="exact"/>
        <w:ind w:left="0" w:right="0"/>
        <w:jc w:val="both"/>
        <w:textAlignment w:val="auto"/>
        <w:rPr>
          <w:rFonts w:hint="default" w:ascii="Calibri" w:hAnsi="Calibri" w:cs="Calibri"/>
          <w:sz w:val="21"/>
          <w:szCs w:val="21"/>
        </w:rPr>
      </w:pPr>
    </w:p>
    <w:p>
      <w:pPr>
        <w:pStyle w:val="4"/>
        <w:keepNext w:val="0"/>
        <w:keepLines w:val="0"/>
        <w:pageBreakBefore w:val="0"/>
        <w:widowControl/>
        <w:suppressLineNumbers w:val="0"/>
        <w:kinsoku/>
        <w:wordWrap/>
        <w:overflowPunct/>
        <w:topLinePunct w:val="0"/>
        <w:autoSpaceDE/>
        <w:autoSpaceDN/>
        <w:bidi w:val="0"/>
        <w:adjustRightInd/>
        <w:snapToGrid/>
        <w:spacing w:before="195" w:beforeAutospacing="0" w:after="75" w:afterAutospacing="0" w:line="600" w:lineRule="exact"/>
        <w:ind w:left="0" w:right="0"/>
        <w:textAlignment w:val="auto"/>
      </w:pPr>
    </w:p>
    <w:p>
      <w:pPr>
        <w:keepNext w:val="0"/>
        <w:keepLines w:val="0"/>
        <w:pageBreakBefore w:val="0"/>
        <w:tabs>
          <w:tab w:val="left" w:pos="7920"/>
        </w:tabs>
        <w:kinsoku/>
        <w:wordWrap/>
        <w:overflowPunct/>
        <w:topLinePunct w:val="0"/>
        <w:autoSpaceDE/>
        <w:autoSpaceDN/>
        <w:bidi w:val="0"/>
        <w:adjustRightInd w:val="0"/>
        <w:spacing w:line="600" w:lineRule="exact"/>
        <w:ind w:right="-88" w:rightChars="-42"/>
        <w:textAlignment w:val="auto"/>
        <w:rPr>
          <w:rFonts w:hint="eastAsia" w:ascii="仿宋_GB2312" w:eastAsia="仿宋_GB2312"/>
          <w:color w:val="auto"/>
          <w:sz w:val="28"/>
          <w:szCs w:val="28"/>
        </w:rPr>
      </w:pPr>
      <w:r>
        <w:rPr>
          <w:rFonts w:hint="eastAsia" w:ascii="仿宋_GB2312" w:eastAsia="仿宋_GB2312"/>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38100</wp:posOffset>
                </wp:positionV>
                <wp:extent cx="5486400" cy="0"/>
                <wp:effectExtent l="0" t="7620" r="0" b="8255"/>
                <wp:wrapNone/>
                <wp:docPr id="1" name="直接连接符 1"/>
                <wp:cNvGraphicFramePr/>
                <a:graphic xmlns:a="http://schemas.openxmlformats.org/drawingml/2006/main">
                  <a:graphicData uri="http://schemas.microsoft.com/office/word/2010/wordprocessingShape">
                    <wps:wsp>
                      <wps:cNvCnPr/>
                      <wps:spPr>
                        <a:xfrm>
                          <a:off x="0" y="0"/>
                          <a:ext cx="5486400" cy="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3pt;height:0pt;width:432pt;z-index:251659264;mso-width-relative:page;mso-height-relative:page;" filled="f" stroked="t" coordsize="21600,21600" o:gfxdata="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WAAAAZHJzL1BLAQIUABQAAAAIAIdO4kC6Ysvw0wAAAAQBAAAPAAAAAAAAAAEAIAAAADgAAABk&#10;cnMvZG93bnJldi54bWxQSwECFAAUAAAACACHTuJAeGsbKvUBAADlAwAADgAAAAAAAAABACAAAAA4&#10;AQAAZHJzL2Uyb0RvYy54bWxQSwUGAAAAAAYABgBZAQAAnwUAAAAA&#10;">
                <v:fill on="f" focussize="0,0"/>
                <v:stroke weight="1.25pt" color="#000000" joinstyle="round"/>
                <v:imagedata o:title=""/>
                <o:lock v:ext="edit" aspectratio="f"/>
              </v:line>
            </w:pict>
          </mc:Fallback>
        </mc:AlternateContent>
      </w:r>
      <w:r>
        <w:rPr>
          <w:rFonts w:hint="eastAsia" w:ascii="仿宋_GB2312" w:eastAsia="仿宋_GB2312"/>
          <w:color w:val="auto"/>
          <w:sz w:val="32"/>
          <w:szCs w:val="32"/>
        </w:rPr>
        <w:t>　</w:t>
      </w:r>
      <w:r>
        <w:rPr>
          <w:rFonts w:hint="eastAsia" w:ascii="仿宋_GB2312" w:eastAsia="仿宋_GB2312"/>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416560</wp:posOffset>
                </wp:positionV>
                <wp:extent cx="5486400" cy="0"/>
                <wp:effectExtent l="0" t="7620" r="0" b="8255"/>
                <wp:wrapNone/>
                <wp:docPr id="2" name="直接连接符 2"/>
                <wp:cNvGraphicFramePr/>
                <a:graphic xmlns:a="http://schemas.openxmlformats.org/drawingml/2006/main">
                  <a:graphicData uri="http://schemas.microsoft.com/office/word/2010/wordprocessingShape">
                    <wps:wsp>
                      <wps:cNvCnPr/>
                      <wps:spPr>
                        <a:xfrm>
                          <a:off x="0" y="0"/>
                          <a:ext cx="5486400" cy="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32.8pt;height:0pt;width:432pt;z-index:251660288;mso-width-relative:page;mso-height-relative:page;" filled="f" stroked="t" coordsize="21600,21600" o:gfxdata="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FgAAAGRycy9QSwECFAAUAAAACACHTuJAT/g+ZNUAAAAGAQAADwAAAAAAAAABACAAAAA4&#10;AAAAZHJzL2Rvd25yZXYueG1sUEsBAhQAFAAAAAgAh07iQNOmfJX3AQAA5QMAAA4AAAAAAAAAAQAg&#10;AAAAOgEAAGRycy9lMm9Eb2MueG1sUEsFBgAAAAAGAAYAWQEAAKMFAAAAAA==&#10;">
                <v:fill on="f" focussize="0,0"/>
                <v:stroke weight="1.25pt" color="#000000" joinstyle="round"/>
                <v:imagedata o:title=""/>
                <o:lock v:ext="edit" aspectratio="f"/>
              </v:line>
            </w:pict>
          </mc:Fallback>
        </mc:AlternateContent>
      </w:r>
      <w:r>
        <w:rPr>
          <w:rFonts w:hint="eastAsia" w:ascii="仿宋_GB2312" w:eastAsia="仿宋_GB2312"/>
          <w:color w:val="auto"/>
          <w:sz w:val="28"/>
          <w:szCs w:val="28"/>
        </w:rPr>
        <w:t>阳城县农业</w:t>
      </w:r>
      <w:r>
        <w:rPr>
          <w:rFonts w:hint="eastAsia" w:ascii="仿宋_GB2312" w:eastAsia="仿宋_GB2312"/>
          <w:color w:val="auto"/>
          <w:sz w:val="28"/>
          <w:szCs w:val="28"/>
          <w:lang w:eastAsia="zh-CN"/>
        </w:rPr>
        <w:t>农村局</w:t>
      </w:r>
      <w:r>
        <w:rPr>
          <w:rFonts w:hint="eastAsia" w:ascii="仿宋_GB2312" w:eastAsia="仿宋_GB2312"/>
          <w:color w:val="auto"/>
          <w:sz w:val="28"/>
          <w:szCs w:val="28"/>
        </w:rPr>
        <w:t xml:space="preserve">　　   </w:t>
      </w:r>
      <w:r>
        <w:rPr>
          <w:rFonts w:hint="eastAsia" w:ascii="仿宋_GB2312" w:eastAsia="仿宋_GB2312"/>
          <w:color w:val="auto"/>
          <w:sz w:val="30"/>
          <w:szCs w:val="30"/>
        </w:rPr>
        <w:t xml:space="preserve">   　　      </w:t>
      </w:r>
      <w:r>
        <w:rPr>
          <w:rFonts w:hint="eastAsia" w:ascii="仿宋_GB2312" w:eastAsia="仿宋_GB2312"/>
          <w:color w:val="auto"/>
          <w:sz w:val="30"/>
          <w:szCs w:val="30"/>
          <w:lang w:val="en-US" w:eastAsia="zh-CN"/>
        </w:rPr>
        <w:t xml:space="preserve"> </w:t>
      </w:r>
      <w:r>
        <w:rPr>
          <w:rFonts w:hint="eastAsia" w:ascii="仿宋_GB2312" w:eastAsia="仿宋_GB2312"/>
          <w:color w:val="auto"/>
          <w:sz w:val="28"/>
          <w:szCs w:val="28"/>
        </w:rPr>
        <w:t>20</w:t>
      </w:r>
      <w:r>
        <w:rPr>
          <w:rFonts w:hint="eastAsia" w:ascii="仿宋_GB2312" w:eastAsia="仿宋_GB2312"/>
          <w:color w:val="auto"/>
          <w:sz w:val="28"/>
          <w:szCs w:val="28"/>
          <w:lang w:val="en-US" w:eastAsia="zh-CN"/>
        </w:rPr>
        <w:t>26</w:t>
      </w:r>
      <w:r>
        <w:rPr>
          <w:rFonts w:hint="eastAsia" w:ascii="仿宋_GB2312" w:eastAsia="仿宋_GB2312"/>
          <w:color w:val="auto"/>
          <w:sz w:val="28"/>
          <w:szCs w:val="28"/>
        </w:rPr>
        <w:t>年</w:t>
      </w:r>
      <w:r>
        <w:rPr>
          <w:rFonts w:hint="eastAsia" w:ascii="仿宋_GB2312" w:eastAsia="仿宋_GB2312"/>
          <w:color w:val="auto"/>
          <w:sz w:val="28"/>
          <w:szCs w:val="28"/>
          <w:lang w:val="en-US" w:eastAsia="zh-CN"/>
        </w:rPr>
        <w:t>3</w:t>
      </w:r>
      <w:r>
        <w:rPr>
          <w:rFonts w:hint="eastAsia" w:ascii="仿宋_GB2312" w:eastAsia="仿宋_GB2312"/>
          <w:color w:val="auto"/>
          <w:sz w:val="28"/>
          <w:szCs w:val="28"/>
        </w:rPr>
        <w:t>月</w:t>
      </w:r>
      <w:r>
        <w:rPr>
          <w:rFonts w:hint="eastAsia" w:ascii="仿宋_GB2312" w:eastAsia="仿宋_GB2312"/>
          <w:color w:val="auto"/>
          <w:sz w:val="28"/>
          <w:szCs w:val="28"/>
          <w:lang w:val="en-US" w:eastAsia="zh-CN"/>
        </w:rPr>
        <w:t>18</w:t>
      </w:r>
      <w:r>
        <w:rPr>
          <w:rFonts w:hint="eastAsia" w:ascii="仿宋_GB2312" w:eastAsia="仿宋_GB2312"/>
          <w:color w:val="auto"/>
          <w:sz w:val="28"/>
          <w:szCs w:val="28"/>
        </w:rPr>
        <w:t>日印发</w:t>
      </w:r>
    </w:p>
    <w:sectPr>
      <w:footerReference r:id="rId3" w:type="default"/>
      <w:pgSz w:w="11906" w:h="16838"/>
      <w:pgMar w:top="2098" w:right="1587" w:bottom="1587" w:left="1587" w:header="851" w:footer="992" w:gutter="0"/>
      <w:pgNumType w:fmt="numberInDash" w:start="2"/>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jc w:val="right"/>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q0RMgIAAGE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H+OrREyAgAAYQQAAA4AAAAAAAAAAQAgAAAA&#10;NQEAAGRycy9lMm9Eb2MueG1sUEsFBgAAAAAGAAYAWQEAANkFAAAAAA==&#10;">
              <v:fill on="f" focussize="0,0"/>
              <v:stroke on="f" weight="0.5pt"/>
              <v:imagedata o:title=""/>
              <o:lock v:ext="edit" aspectratio="f"/>
              <v:textbox inset="0mm,0mm,0mm,0mm" style="mso-fit-shape-to-text:t;">
                <w:txbxContent>
                  <w:p>
                    <w:pPr>
                      <w:pStyle w:val="2"/>
                      <w:jc w:val="right"/>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18"/>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012D43"/>
    <w:rsid w:val="03A7CACF"/>
    <w:rsid w:val="0C012D43"/>
    <w:rsid w:val="20C0056A"/>
    <w:rsid w:val="38673C95"/>
    <w:rsid w:val="3AB807D8"/>
    <w:rsid w:val="4A6303A3"/>
    <w:rsid w:val="63685B24"/>
    <w:rsid w:val="6F375468"/>
    <w:rsid w:val="775EE8F8"/>
    <w:rsid w:val="7FFF0A75"/>
    <w:rsid w:val="B93D59F2"/>
    <w:rsid w:val="FCC74734"/>
    <w:rsid w:val="FF5D68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99"/>
    <w:pPr>
      <w:widowControl/>
      <w:spacing w:before="100" w:beforeAutospacing="1" w:after="100" w:afterAutospacing="1"/>
      <w:jc w:val="left"/>
    </w:pPr>
    <w:rPr>
      <w:rFonts w:ascii="宋体" w:hAnsi="宋体"/>
      <w:kern w:val="0"/>
      <w:sz w:val="24"/>
    </w:rPr>
  </w:style>
  <w:style w:type="character" w:styleId="7">
    <w:name w:val="Strong"/>
    <w:basedOn w:val="6"/>
    <w:qFormat/>
    <w:uiPriority w:val="0"/>
    <w:rPr>
      <w:b/>
    </w:rPr>
  </w:style>
  <w:style w:type="paragraph" w:customStyle="1" w:styleId="8">
    <w:name w:val="BodyText1I2"/>
    <w:next w:val="1"/>
    <w:qFormat/>
    <w:uiPriority w:val="0"/>
    <w:pPr>
      <w:spacing w:after="120"/>
      <w:ind w:firstLine="40"/>
      <w:jc w:val="both"/>
      <w:textAlignment w:val="baseline"/>
    </w:pPr>
    <w:rPr>
      <w:rFonts w:ascii="仿宋_GB2312" w:hAnsi="仿宋_GB2312" w:eastAsia="仿宋" w:cs="Times New Roman"/>
      <w:kern w:val="2"/>
      <w:sz w:val="32"/>
      <w:szCs w:val="32"/>
      <w:lang w:val="en-US" w:eastAsia="zh-CN" w:bidi="ar-SA"/>
    </w:rPr>
  </w:style>
  <w:style w:type="character" w:customStyle="1" w:styleId="9">
    <w:name w:val="NormalCharacter"/>
    <w:qFormat/>
    <w:uiPriority w:val="0"/>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12</TotalTime>
  <ScaleCrop>false</ScaleCrop>
  <LinksUpToDate>false</LinksUpToDate>
  <CharactersWithSpaces>0</CharactersWithSpaces>
  <Application>WPS Office_11.8.2.12065_F1E327BC-269C-435d-A152-05C5408002CA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2026-03-19T06:53:00Z</dcterms:created>
  <dc:creator>巢燕</dc:creator>
  <cp:lastModifiedBy>greatwall</cp:lastModifiedBy>
  <cp:lastPrinted>2026-03-19T01:29:00Z</cp:lastPrinted>
  <dcterms:modified xsi:type="dcterms:W3CDTF">2026-03-23T09:53:19Z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2052-11.8.2.12065</vt:lpwstr>
  </property>
  <property fmtid="{D5CDD505-2E9C-101B-9397-08002B2CF9AE}" pid="3" name="ICV">
    <vt:lpwstr>40FBB6299B8D37F40F9DC0696273D2BD</vt:lpwstr>
  </property>
  <property fmtid="{D5CDD505-2E9C-101B-9397-08002B2CF9AE}" pid="4" name="KSOTemplateDocerSaveRecord">
    <vt:lpwstr>eyJoZGlkIjoiN2M4M2JlYzQ0MjRlZWU1ZjQxZDQyZDFmZmUwM2FlZmEiLCJ1c2VySWQiOiI4NjM0MDczOTMifQ==</vt:lpwstr>
  </property>
</Properties>
</file>