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6CAAC0">
      <w:pPr>
        <w:widowControl w:val="0"/>
        <w:wordWrap/>
        <w:adjustRightInd/>
        <w:snapToGrid/>
        <w:spacing w:before="0" w:after="0" w:line="240" w:lineRule="atLeast"/>
        <w:ind w:left="0" w:leftChars="0" w:right="0" w:firstLine="0" w:firstLineChars="0"/>
        <w:jc w:val="both"/>
        <w:textAlignment w:val="auto"/>
        <w:outlineLvl w:val="9"/>
        <w:rPr>
          <w:rFonts w:hint="eastAsia" w:ascii="仿宋_GB2312" w:hAnsi="仿宋_GB2312" w:eastAsia="仿宋_GB2312" w:cs="仿宋_GB2312"/>
          <w:color w:val="auto"/>
          <w:spacing w:val="0"/>
          <w:sz w:val="32"/>
          <w:szCs w:val="32"/>
          <w:lang w:val="en-US" w:eastAsia="zh-CN"/>
        </w:rPr>
      </w:pPr>
    </w:p>
    <w:p w14:paraId="337040AE">
      <w:pPr>
        <w:widowControl w:val="0"/>
        <w:wordWrap/>
        <w:adjustRightInd/>
        <w:snapToGrid/>
        <w:spacing w:before="0" w:after="0" w:line="240" w:lineRule="atLeast"/>
        <w:ind w:left="0" w:leftChars="0" w:right="0" w:firstLine="0" w:firstLineChars="0"/>
        <w:jc w:val="both"/>
        <w:textAlignment w:val="auto"/>
        <w:outlineLvl w:val="9"/>
        <w:rPr>
          <w:rFonts w:hint="eastAsia" w:ascii="仿宋_GB2312" w:hAnsi="仿宋_GB2312" w:eastAsia="仿宋_GB2312" w:cs="仿宋_GB2312"/>
          <w:color w:val="auto"/>
          <w:spacing w:val="0"/>
          <w:sz w:val="32"/>
          <w:szCs w:val="32"/>
          <w:lang w:val="en-US" w:eastAsia="zh-CN"/>
        </w:rPr>
      </w:pPr>
    </w:p>
    <w:p w14:paraId="7D673F89">
      <w:pPr>
        <w:widowControl w:val="0"/>
        <w:wordWrap/>
        <w:adjustRightInd/>
        <w:snapToGrid/>
        <w:spacing w:before="0" w:after="0" w:line="240" w:lineRule="atLeast"/>
        <w:ind w:left="0" w:leftChars="0" w:right="0" w:firstLine="0" w:firstLineChars="0"/>
        <w:jc w:val="center"/>
        <w:textAlignment w:val="auto"/>
        <w:outlineLvl w:val="9"/>
        <w:rPr>
          <w:rFonts w:hint="eastAsia" w:ascii="仿宋_GB2312" w:hAnsi="仿宋_GB2312" w:eastAsia="仿宋_GB2312" w:cs="仿宋_GB2312"/>
          <w:color w:val="auto"/>
          <w:spacing w:val="0"/>
          <w:sz w:val="32"/>
          <w:szCs w:val="32"/>
          <w:lang w:val="en-US" w:eastAsia="zh-CN"/>
        </w:rPr>
      </w:pPr>
    </w:p>
    <w:p w14:paraId="0ACCA122">
      <w:pPr>
        <w:widowControl w:val="0"/>
        <w:wordWrap/>
        <w:adjustRightInd/>
        <w:snapToGrid/>
        <w:spacing w:before="0" w:after="0" w:line="240" w:lineRule="atLeast"/>
        <w:ind w:left="0" w:leftChars="0" w:right="0" w:firstLine="0" w:firstLineChars="0"/>
        <w:jc w:val="center"/>
        <w:textAlignment w:val="auto"/>
        <w:outlineLvl w:val="9"/>
        <w:rPr>
          <w:rFonts w:hint="eastAsia" w:ascii="仿宋_GB2312" w:hAnsi="仿宋_GB2312" w:eastAsia="仿宋_GB2312" w:cs="仿宋_GB2312"/>
          <w:color w:val="auto"/>
          <w:spacing w:val="0"/>
          <w:sz w:val="32"/>
          <w:szCs w:val="32"/>
          <w:lang w:val="en-US" w:eastAsia="zh-CN"/>
        </w:rPr>
      </w:pPr>
    </w:p>
    <w:p w14:paraId="64078015">
      <w:pPr>
        <w:widowControl w:val="0"/>
        <w:wordWrap/>
        <w:adjustRightInd/>
        <w:snapToGrid/>
        <w:spacing w:before="0" w:after="0" w:line="240" w:lineRule="atLeast"/>
        <w:ind w:left="0" w:leftChars="0" w:right="0" w:firstLine="0" w:firstLineChars="0"/>
        <w:jc w:val="both"/>
        <w:textAlignment w:val="auto"/>
        <w:outlineLvl w:val="9"/>
        <w:rPr>
          <w:rFonts w:hint="eastAsia" w:ascii="仿宋_GB2312" w:hAnsi="仿宋_GB2312" w:eastAsia="仿宋_GB2312" w:cs="仿宋_GB2312"/>
          <w:color w:val="auto"/>
          <w:spacing w:val="0"/>
          <w:sz w:val="32"/>
          <w:szCs w:val="32"/>
          <w:lang w:val="en-US" w:eastAsia="zh-CN"/>
        </w:rPr>
      </w:pPr>
    </w:p>
    <w:p w14:paraId="58CA2AD6">
      <w:pPr>
        <w:keepNext w:val="0"/>
        <w:keepLines w:val="0"/>
        <w:pageBreakBefore w:val="0"/>
        <w:widowControl w:val="0"/>
        <w:kinsoku/>
        <w:wordWrap/>
        <w:overflowPunct/>
        <w:topLinePunct w:val="0"/>
        <w:autoSpaceDE/>
        <w:autoSpaceDN/>
        <w:bidi w:val="0"/>
        <w:adjustRightInd/>
        <w:snapToGrid/>
        <w:spacing w:before="416" w:beforeLines="130" w:after="0" w:line="240" w:lineRule="atLeast"/>
        <w:ind w:left="0" w:leftChars="0" w:right="0" w:firstLine="0" w:firstLineChars="0"/>
        <w:jc w:val="center"/>
        <w:textAlignment w:val="auto"/>
        <w:outlineLvl w:val="9"/>
        <w:rPr>
          <w:rFonts w:hint="eastAsia" w:ascii="方正小标宋简体" w:hAnsi="方正小标宋简体" w:eastAsia="方正小标宋简体" w:cs="方正小标宋简体"/>
          <w:color w:val="auto"/>
          <w:spacing w:val="-20"/>
          <w:sz w:val="72"/>
          <w:szCs w:val="72"/>
          <w:lang w:val="en-US" w:eastAsia="zh-CN"/>
        </w:rPr>
      </w:pPr>
      <w:r>
        <w:rPr>
          <w:rFonts w:hint="eastAsia" w:ascii="仿宋_GB2312" w:hAnsi="仿宋_GB2312" w:eastAsia="仿宋_GB2312" w:cs="仿宋_GB2312"/>
          <w:color w:val="auto"/>
          <w:spacing w:val="0"/>
          <w:sz w:val="32"/>
          <w:szCs w:val="32"/>
          <w:lang w:val="en-US" w:eastAsia="zh-CN"/>
        </w:rPr>
        <w:t>阳农办发〔2026〕17号</w:t>
      </w:r>
    </w:p>
    <w:p w14:paraId="482F19B6">
      <w:pPr>
        <w:widowControl w:val="0"/>
        <w:wordWrap/>
        <w:adjustRightInd/>
        <w:snapToGrid/>
        <w:spacing w:line="500" w:lineRule="exact"/>
        <w:textAlignment w:val="auto"/>
        <w:rPr>
          <w:rFonts w:hint="eastAsia" w:ascii="新宋体" w:hAnsi="新宋体" w:eastAsia="新宋体" w:cs="新宋体"/>
          <w:b/>
          <w:bCs/>
          <w:color w:val="auto"/>
          <w:sz w:val="44"/>
          <w:szCs w:val="44"/>
        </w:rPr>
      </w:pPr>
    </w:p>
    <w:p w14:paraId="681A585D">
      <w:pPr>
        <w:widowControl w:val="0"/>
        <w:wordWrap/>
        <w:overflowPunct w:val="0"/>
        <w:adjustRightInd w:val="0"/>
        <w:snapToGrid w:val="0"/>
        <w:spacing w:after="0" w:line="600" w:lineRule="exact"/>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sz w:val="44"/>
          <w:szCs w:val="44"/>
          <w:lang w:eastAsia="zh-CN"/>
        </w:rPr>
        <w:t>中共阳城县委农村工作领导小组办公室</w:t>
      </w:r>
    </w:p>
    <w:p w14:paraId="66FBF7ED">
      <w:pPr>
        <w:widowControl w:val="0"/>
        <w:wordWrap/>
        <w:overflowPunct w:val="0"/>
        <w:spacing w:line="600" w:lineRule="exact"/>
        <w:jc w:val="center"/>
        <w:textAlignment w:val="auto"/>
        <w:rPr>
          <w:rFonts w:hint="eastAsia" w:ascii="方正小标宋简体" w:hAnsi="方正小标宋简体" w:eastAsia="方正小标宋简体" w:cs="方正小标宋简体"/>
          <w:color w:val="auto"/>
          <w:spacing w:val="0"/>
          <w:kern w:val="0"/>
          <w:sz w:val="44"/>
          <w:szCs w:val="44"/>
        </w:rPr>
      </w:pPr>
      <w:r>
        <w:rPr>
          <w:rFonts w:hint="eastAsia" w:ascii="方正小标宋简体" w:hAnsi="方正小标宋简体" w:eastAsia="方正小标宋简体" w:cs="方正小标宋简体"/>
          <w:color w:val="auto"/>
          <w:spacing w:val="0"/>
          <w:kern w:val="0"/>
          <w:sz w:val="44"/>
          <w:szCs w:val="44"/>
        </w:rPr>
        <w:t>关于做好202</w:t>
      </w:r>
      <w:r>
        <w:rPr>
          <w:rFonts w:hint="eastAsia" w:ascii="方正小标宋简体" w:hAnsi="方正小标宋简体" w:eastAsia="方正小标宋简体" w:cs="方正小标宋简体"/>
          <w:color w:val="auto"/>
          <w:spacing w:val="0"/>
          <w:kern w:val="0"/>
          <w:sz w:val="44"/>
          <w:szCs w:val="44"/>
          <w:lang w:val="en-US" w:eastAsia="zh-CN"/>
        </w:rPr>
        <w:t>6</w:t>
      </w:r>
      <w:r>
        <w:rPr>
          <w:rFonts w:hint="eastAsia" w:ascii="方正小标宋简体" w:hAnsi="方正小标宋简体" w:eastAsia="方正小标宋简体" w:cs="方正小标宋简体"/>
          <w:color w:val="auto"/>
          <w:spacing w:val="0"/>
          <w:kern w:val="0"/>
          <w:sz w:val="44"/>
          <w:szCs w:val="44"/>
        </w:rPr>
        <w:t>年农作物秸秆综合利用工作的通</w:t>
      </w:r>
      <w:r>
        <w:rPr>
          <w:rFonts w:hint="eastAsia" w:ascii="方正小标宋简体" w:hAnsi="方正小标宋简体" w:eastAsia="方正小标宋简体" w:cs="方正小标宋简体"/>
          <w:color w:val="auto"/>
          <w:spacing w:val="0"/>
          <w:kern w:val="0"/>
          <w:sz w:val="44"/>
          <w:szCs w:val="44"/>
          <w:lang w:val="en-US" w:eastAsia="zh-CN"/>
        </w:rPr>
        <w:t xml:space="preserve">  </w:t>
      </w:r>
      <w:r>
        <w:rPr>
          <w:rFonts w:hint="eastAsia" w:ascii="方正小标宋简体" w:hAnsi="方正小标宋简体" w:eastAsia="方正小标宋简体" w:cs="方正小标宋简体"/>
          <w:color w:val="auto"/>
          <w:spacing w:val="0"/>
          <w:kern w:val="0"/>
          <w:sz w:val="44"/>
          <w:szCs w:val="44"/>
        </w:rPr>
        <w:t>知</w:t>
      </w:r>
    </w:p>
    <w:p w14:paraId="18A08C0B">
      <w:pPr>
        <w:widowControl w:val="0"/>
        <w:wordWrap/>
        <w:overflowPunct w:val="0"/>
        <w:spacing w:after="0" w:line="560" w:lineRule="exact"/>
        <w:textAlignment w:val="auto"/>
        <w:rPr>
          <w:rFonts w:hint="eastAsia" w:ascii="仿宋_GB2312" w:eastAsia="仿宋_GB2312"/>
          <w:color w:val="auto"/>
          <w:spacing w:val="0"/>
          <w:kern w:val="0"/>
          <w:sz w:val="32"/>
          <w:szCs w:val="32"/>
        </w:rPr>
      </w:pPr>
    </w:p>
    <w:p w14:paraId="500910E9">
      <w:pPr>
        <w:pStyle w:val="11"/>
        <w:keepNext w:val="0"/>
        <w:keepLines w:val="0"/>
        <w:pageBreakBefore w:val="0"/>
        <w:widowControl w:val="0"/>
        <w:kinsoku/>
        <w:wordWrap/>
        <w:overflowPunct w:val="0"/>
        <w:topLinePunct w:val="0"/>
        <w:autoSpaceDE/>
        <w:autoSpaceDN/>
        <w:bidi w:val="0"/>
        <w:adjustRightInd/>
        <w:spacing w:line="560" w:lineRule="exact"/>
        <w:ind w:left="0" w:leftChars="0" w:firstLine="0" w:firstLineChars="0"/>
        <w:textAlignment w:val="auto"/>
        <w:rPr>
          <w:rFonts w:hint="eastAsia" w:ascii="仿宋_GB2312" w:eastAsia="仿宋_GB2312"/>
          <w:color w:val="auto"/>
          <w:spacing w:val="0"/>
          <w:kern w:val="0"/>
          <w:sz w:val="32"/>
          <w:szCs w:val="32"/>
        </w:rPr>
      </w:pPr>
      <w:r>
        <w:rPr>
          <w:rFonts w:hint="eastAsia" w:ascii="仿宋_GB2312" w:eastAsia="仿宋_GB2312"/>
          <w:color w:val="auto"/>
          <w:spacing w:val="0"/>
          <w:kern w:val="0"/>
          <w:sz w:val="32"/>
          <w:szCs w:val="32"/>
        </w:rPr>
        <w:t>各乡（镇）人民政府，县直及驻阳各有关单位：</w:t>
      </w:r>
    </w:p>
    <w:p w14:paraId="603522F6">
      <w:pPr>
        <w:pStyle w:val="11"/>
        <w:keepNext w:val="0"/>
        <w:keepLines w:val="0"/>
        <w:pageBreakBefore w:val="0"/>
        <w:widowControl w:val="0"/>
        <w:kinsoku/>
        <w:wordWrap/>
        <w:overflowPunct w:val="0"/>
        <w:topLinePunct w:val="0"/>
        <w:autoSpaceDE/>
        <w:autoSpaceDN/>
        <w:bidi w:val="0"/>
        <w:adjustRightInd/>
        <w:spacing w:line="560" w:lineRule="exact"/>
        <w:ind w:firstLine="640" w:firstLineChars="200"/>
        <w:textAlignment w:val="auto"/>
        <w:rPr>
          <w:rFonts w:hint="eastAsia" w:ascii="仿宋_GB2312" w:eastAsia="仿宋_GB2312"/>
          <w:color w:val="auto"/>
          <w:spacing w:val="0"/>
          <w:kern w:val="0"/>
          <w:sz w:val="32"/>
          <w:szCs w:val="32"/>
        </w:rPr>
      </w:pPr>
      <w:r>
        <w:rPr>
          <w:rFonts w:hint="eastAsia" w:ascii="仿宋_GB2312" w:eastAsia="仿宋_GB2312"/>
          <w:color w:val="auto"/>
          <w:spacing w:val="0"/>
          <w:kern w:val="0"/>
          <w:sz w:val="32"/>
          <w:szCs w:val="32"/>
        </w:rPr>
        <w:t>开展秸秆综合利用工作，是提升耕地质量、改善农业农村 环境、实现农业高质量发展、绿色低碳发展的重要举措。为进一步做好全县农作物秸秆综合利用工作，按照</w:t>
      </w:r>
      <w:r>
        <w:rPr>
          <w:rFonts w:hint="eastAsia" w:ascii="仿宋_GB2312" w:eastAsia="仿宋_GB2312"/>
          <w:color w:val="auto"/>
          <w:spacing w:val="0"/>
          <w:kern w:val="0"/>
          <w:sz w:val="32"/>
          <w:szCs w:val="32"/>
          <w:lang w:eastAsia="zh-CN"/>
        </w:rPr>
        <w:t>晋城市农业农村局《关于转发山西省农业农村厅</w:t>
      </w:r>
      <w:r>
        <w:rPr>
          <w:rFonts w:hint="eastAsia" w:ascii="仿宋_GB2312" w:eastAsia="仿宋_GB2312"/>
          <w:color w:val="auto"/>
          <w:spacing w:val="0"/>
          <w:kern w:val="0"/>
          <w:sz w:val="32"/>
          <w:szCs w:val="32"/>
          <w:lang w:val="en-US" w:eastAsia="zh-CN"/>
        </w:rPr>
        <w:t>&lt;</w:t>
      </w:r>
      <w:r>
        <w:rPr>
          <w:rFonts w:hint="eastAsia" w:ascii="仿宋_GB2312" w:eastAsia="仿宋_GB2312"/>
          <w:color w:val="auto"/>
          <w:spacing w:val="0"/>
          <w:kern w:val="0"/>
          <w:sz w:val="32"/>
          <w:szCs w:val="32"/>
          <w:lang w:eastAsia="zh-CN"/>
        </w:rPr>
        <w:t>关于做好2026年农作物秸秆综合利 用工作的通知</w:t>
      </w:r>
      <w:r>
        <w:rPr>
          <w:rFonts w:hint="eastAsia" w:ascii="仿宋_GB2312" w:eastAsia="仿宋_GB2312"/>
          <w:color w:val="auto"/>
          <w:spacing w:val="0"/>
          <w:kern w:val="0"/>
          <w:sz w:val="32"/>
          <w:szCs w:val="32"/>
          <w:lang w:val="en-US" w:eastAsia="zh-CN"/>
        </w:rPr>
        <w:t>&gt;</w:t>
      </w:r>
      <w:r>
        <w:rPr>
          <w:rFonts w:hint="eastAsia" w:ascii="仿宋_GB2312" w:eastAsia="仿宋_GB2312"/>
          <w:color w:val="auto"/>
          <w:spacing w:val="0"/>
          <w:kern w:val="0"/>
          <w:sz w:val="32"/>
          <w:szCs w:val="32"/>
          <w:lang w:eastAsia="zh-CN"/>
        </w:rPr>
        <w:t>》和</w:t>
      </w:r>
      <w:r>
        <w:rPr>
          <w:rFonts w:hint="eastAsia" w:ascii="仿宋_GB2312" w:eastAsia="仿宋_GB2312"/>
          <w:color w:val="auto"/>
          <w:spacing w:val="0"/>
          <w:kern w:val="0"/>
          <w:sz w:val="32"/>
          <w:szCs w:val="32"/>
        </w:rPr>
        <w:t>《阳城县推进农作物秸秆综合利用和禁止露天焚烧实施办法》要求，结合实际，现就做好202</w:t>
      </w:r>
      <w:r>
        <w:rPr>
          <w:rFonts w:hint="eastAsia" w:ascii="仿宋_GB2312" w:eastAsia="仿宋_GB2312"/>
          <w:color w:val="auto"/>
          <w:spacing w:val="0"/>
          <w:kern w:val="0"/>
          <w:sz w:val="32"/>
          <w:szCs w:val="32"/>
          <w:lang w:val="en-US" w:eastAsia="zh-CN"/>
        </w:rPr>
        <w:t>6</w:t>
      </w:r>
      <w:r>
        <w:rPr>
          <w:rFonts w:hint="eastAsia" w:ascii="仿宋_GB2312" w:eastAsia="仿宋_GB2312"/>
          <w:color w:val="auto"/>
          <w:spacing w:val="0"/>
          <w:kern w:val="0"/>
          <w:sz w:val="32"/>
          <w:szCs w:val="32"/>
        </w:rPr>
        <w:t>年全县农作物秸秆综合利用工作通知如下：</w:t>
      </w:r>
    </w:p>
    <w:p w14:paraId="5F2061E0">
      <w:pPr>
        <w:pStyle w:val="11"/>
        <w:keepNext w:val="0"/>
        <w:keepLines w:val="0"/>
        <w:pageBreakBefore w:val="0"/>
        <w:widowControl w:val="0"/>
        <w:kinsoku/>
        <w:wordWrap/>
        <w:overflowPunct w:val="0"/>
        <w:topLinePunct w:val="0"/>
        <w:autoSpaceDE/>
        <w:autoSpaceDN/>
        <w:bidi w:val="0"/>
        <w:adjustRightInd/>
        <w:spacing w:line="560" w:lineRule="exact"/>
        <w:ind w:firstLine="640" w:firstLineChars="200"/>
        <w:textAlignment w:val="auto"/>
        <w:rPr>
          <w:rFonts w:hint="eastAsia" w:ascii="黑体" w:hAnsi="黑体" w:eastAsia="黑体" w:cs="黑体"/>
          <w:color w:val="auto"/>
          <w:spacing w:val="0"/>
          <w:kern w:val="0"/>
          <w:sz w:val="32"/>
          <w:szCs w:val="32"/>
        </w:rPr>
      </w:pPr>
      <w:r>
        <w:rPr>
          <w:rFonts w:hint="eastAsia" w:ascii="黑体" w:hAnsi="黑体" w:eastAsia="黑体" w:cs="黑体"/>
          <w:color w:val="auto"/>
          <w:spacing w:val="0"/>
          <w:kern w:val="0"/>
          <w:sz w:val="32"/>
          <w:szCs w:val="32"/>
        </w:rPr>
        <w:t>一、总体要求</w:t>
      </w:r>
    </w:p>
    <w:p w14:paraId="31F124CE">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rPr>
          <w:rFonts w:hint="eastAsia" w:ascii="仿宋_GB2312" w:eastAsia="仿宋_GB2312"/>
          <w:color w:val="auto"/>
          <w:spacing w:val="0"/>
          <w:kern w:val="0"/>
          <w:sz w:val="32"/>
          <w:szCs w:val="32"/>
        </w:rPr>
        <w:sectPr>
          <w:pgSz w:w="11906" w:h="16838"/>
          <w:pgMar w:top="2098" w:right="1531" w:bottom="1984" w:left="1531" w:header="851" w:footer="1134" w:gutter="0"/>
          <w:pgNumType w:fmt="numberInDash"/>
          <w:cols w:space="720" w:num="1"/>
          <w:rtlGutter w:val="0"/>
          <w:docGrid w:type="lines" w:linePitch="319" w:charSpace="0"/>
        </w:sectPr>
      </w:pPr>
      <w:r>
        <w:rPr>
          <w:rFonts w:hint="eastAsia" w:ascii="仿宋_GB2312" w:eastAsia="仿宋_GB2312"/>
          <w:color w:val="auto"/>
          <w:spacing w:val="0"/>
          <w:kern w:val="0"/>
          <w:sz w:val="32"/>
          <w:szCs w:val="32"/>
        </w:rPr>
        <w:t>以习近平生态文明思想为指导，全面贯彻党的二十大精神，</w:t>
      </w:r>
    </w:p>
    <w:p w14:paraId="70F19ACA">
      <w:pPr>
        <w:keepNext w:val="0"/>
        <w:keepLines w:val="0"/>
        <w:pageBreakBefore w:val="0"/>
        <w:kinsoku/>
        <w:wordWrap/>
        <w:overflowPunct/>
        <w:topLinePunct w:val="0"/>
        <w:autoSpaceDE/>
        <w:autoSpaceDN/>
        <w:bidi w:val="0"/>
        <w:adjustRightInd/>
        <w:snapToGrid/>
        <w:spacing w:before="0" w:beforeLines="0" w:after="0" w:afterLines="0" w:line="560" w:lineRule="exact"/>
        <w:ind w:right="0" w:rightChars="0"/>
        <w:textAlignment w:val="auto"/>
        <w:rPr>
          <w:rFonts w:hint="eastAsia" w:ascii="仿宋_GB2312" w:eastAsia="仿宋_GB2312"/>
          <w:color w:val="auto"/>
          <w:spacing w:val="0"/>
          <w:kern w:val="0"/>
          <w:sz w:val="32"/>
          <w:szCs w:val="32"/>
        </w:rPr>
      </w:pPr>
      <w:r>
        <w:rPr>
          <w:rFonts w:hint="eastAsia" w:ascii="仿宋_GB2312" w:eastAsia="仿宋_GB2312"/>
          <w:color w:val="auto"/>
          <w:spacing w:val="0"/>
          <w:kern w:val="0"/>
          <w:sz w:val="32"/>
          <w:szCs w:val="32"/>
        </w:rPr>
        <w:t>深入贯彻习近平总书记考察山</w:t>
      </w:r>
      <w:r>
        <w:rPr>
          <w:rFonts w:hint="eastAsia" w:ascii="仿宋_GB2312" w:eastAsia="仿宋_GB2312"/>
          <w:color w:val="auto"/>
          <w:spacing w:val="0"/>
          <w:kern w:val="0"/>
          <w:sz w:val="32"/>
          <w:szCs w:val="32"/>
          <w:lang w:eastAsia="zh-CN"/>
        </w:rPr>
        <w:t>西重要讲话</w:t>
      </w:r>
      <w:r>
        <w:rPr>
          <w:rFonts w:hint="eastAsia" w:ascii="仿宋_GB2312" w:eastAsia="仿宋_GB2312"/>
          <w:color w:val="auto"/>
          <w:spacing w:val="0"/>
          <w:kern w:val="0"/>
          <w:sz w:val="32"/>
          <w:szCs w:val="32"/>
        </w:rPr>
        <w:t>重要指示精神，以秸秆资源综合利用模式多样化、技术产业化、利用高值化、运营市场化为方向，</w:t>
      </w:r>
      <w:r>
        <w:rPr>
          <w:rFonts w:hint="eastAsia" w:ascii="仿宋_GB2312" w:eastAsia="仿宋_GB2312"/>
          <w:color w:val="auto"/>
          <w:spacing w:val="0"/>
          <w:kern w:val="0"/>
          <w:sz w:val="32"/>
          <w:szCs w:val="32"/>
          <w:lang w:eastAsia="zh-CN"/>
        </w:rPr>
        <w:t>以</w:t>
      </w:r>
      <w:r>
        <w:rPr>
          <w:rFonts w:hint="eastAsia" w:ascii="仿宋" w:hAnsi="仿宋" w:eastAsia="仿宋" w:cs="仿宋"/>
          <w:color w:val="auto"/>
          <w:sz w:val="32"/>
          <w:szCs w:val="32"/>
          <w:lang w:val="en-US" w:eastAsia="zh-CN"/>
        </w:rPr>
        <w:t>还田利用、收储运用、产业增值、政策扶持、责任落实为支撑，</w:t>
      </w:r>
      <w:r>
        <w:rPr>
          <w:rFonts w:hint="eastAsia" w:ascii="仿宋_GB2312" w:eastAsia="仿宋_GB2312"/>
          <w:color w:val="auto"/>
          <w:spacing w:val="0"/>
          <w:kern w:val="0"/>
          <w:sz w:val="32"/>
          <w:szCs w:val="32"/>
        </w:rPr>
        <w:t>坚持政府引导、市场运作、农用优先、产业导向、多元利用，多措并举完善秸秆综合利用方式，推进秸秆科学还田，健全收储运用体系，培育壮大秸秆利用主体，加强秸秆资源台账建设，</w:t>
      </w:r>
      <w:r>
        <w:rPr>
          <w:rFonts w:hint="eastAsia" w:ascii="仿宋_GB2312" w:eastAsia="仿宋_GB2312"/>
          <w:color w:val="auto"/>
          <w:spacing w:val="0"/>
          <w:kern w:val="0"/>
          <w:sz w:val="32"/>
          <w:szCs w:val="32"/>
          <w:lang w:eastAsia="zh-CN"/>
        </w:rPr>
        <w:t>持续开展还田生态效应</w:t>
      </w:r>
      <w:r>
        <w:rPr>
          <w:rFonts w:hint="eastAsia" w:ascii="仿宋_GB2312" w:eastAsia="仿宋_GB2312"/>
          <w:color w:val="auto"/>
          <w:spacing w:val="0"/>
          <w:kern w:val="0"/>
          <w:sz w:val="32"/>
          <w:szCs w:val="32"/>
        </w:rPr>
        <w:t>监测评价，强化科技服务保障，强化秸秆利用和禁止露天焚烧网格化监</w:t>
      </w:r>
      <w:r>
        <w:rPr>
          <w:rFonts w:hint="eastAsia" w:ascii="仿宋_GB2312" w:eastAsia="仿宋_GB2312"/>
          <w:color w:val="auto"/>
          <w:spacing w:val="0"/>
          <w:kern w:val="0"/>
          <w:sz w:val="32"/>
          <w:szCs w:val="32"/>
          <w:lang w:eastAsia="zh-CN"/>
        </w:rPr>
        <w:t>督</w:t>
      </w:r>
      <w:r>
        <w:rPr>
          <w:rFonts w:hint="eastAsia" w:ascii="仿宋_GB2312" w:eastAsia="仿宋_GB2312"/>
          <w:color w:val="auto"/>
          <w:spacing w:val="0"/>
          <w:kern w:val="0"/>
          <w:sz w:val="32"/>
          <w:szCs w:val="32"/>
        </w:rPr>
        <w:t>管理，杜绝露天焚烧秸秆现象，探索建立可推广、可持续的秸秆产业发展模式和高效利用机制，引领秸秆综合利用提质增效，推动秸秆综合利用迈入产业化、市场化、高值化发展道路</w:t>
      </w:r>
      <w:r>
        <w:rPr>
          <w:rFonts w:hint="eastAsia" w:ascii="仿宋" w:hAnsi="仿宋" w:eastAsia="仿宋" w:cs="仿宋"/>
          <w:color w:val="auto"/>
          <w:sz w:val="32"/>
          <w:szCs w:val="32"/>
          <w:lang w:val="en-US" w:eastAsia="zh-CN"/>
        </w:rPr>
        <w:t>。</w:t>
      </w:r>
    </w:p>
    <w:p w14:paraId="5BDB0E3A">
      <w:pPr>
        <w:pStyle w:val="11"/>
        <w:keepNext w:val="0"/>
        <w:keepLines w:val="0"/>
        <w:pageBreakBefore w:val="0"/>
        <w:widowControl w:val="0"/>
        <w:kinsoku/>
        <w:wordWrap/>
        <w:overflowPunct w:val="0"/>
        <w:topLinePunct w:val="0"/>
        <w:autoSpaceDE/>
        <w:autoSpaceDN/>
        <w:bidi w:val="0"/>
        <w:adjustRightInd/>
        <w:spacing w:line="560" w:lineRule="exact"/>
        <w:ind w:firstLine="640" w:firstLineChars="200"/>
        <w:textAlignment w:val="auto"/>
        <w:rPr>
          <w:rFonts w:hint="eastAsia" w:ascii="黑体" w:hAnsi="黑体" w:eastAsia="黑体" w:cs="黑体"/>
          <w:color w:val="auto"/>
          <w:spacing w:val="0"/>
          <w:kern w:val="0"/>
          <w:sz w:val="32"/>
          <w:szCs w:val="32"/>
        </w:rPr>
      </w:pPr>
      <w:r>
        <w:rPr>
          <w:rFonts w:hint="eastAsia" w:ascii="黑体" w:hAnsi="黑体" w:eastAsia="黑体" w:cs="黑体"/>
          <w:color w:val="auto"/>
          <w:spacing w:val="0"/>
          <w:kern w:val="0"/>
          <w:sz w:val="32"/>
          <w:szCs w:val="32"/>
        </w:rPr>
        <w:t>二、工作目标</w:t>
      </w:r>
    </w:p>
    <w:p w14:paraId="282F3CB4">
      <w:pPr>
        <w:pStyle w:val="11"/>
        <w:keepNext w:val="0"/>
        <w:keepLines w:val="0"/>
        <w:pageBreakBefore w:val="0"/>
        <w:widowControl w:val="0"/>
        <w:kinsoku/>
        <w:wordWrap/>
        <w:overflowPunct w:val="0"/>
        <w:topLinePunct w:val="0"/>
        <w:autoSpaceDE/>
        <w:autoSpaceDN/>
        <w:bidi w:val="0"/>
        <w:adjustRightInd/>
        <w:spacing w:line="560" w:lineRule="exact"/>
        <w:ind w:firstLine="640" w:firstLineChars="200"/>
        <w:textAlignment w:val="auto"/>
        <w:rPr>
          <w:rFonts w:hint="eastAsia" w:ascii="仿宋_GB2312" w:eastAsia="仿宋_GB2312"/>
          <w:color w:val="auto"/>
          <w:spacing w:val="0"/>
          <w:kern w:val="0"/>
          <w:sz w:val="32"/>
          <w:szCs w:val="32"/>
        </w:rPr>
      </w:pPr>
      <w:r>
        <w:rPr>
          <w:rFonts w:hint="eastAsia" w:ascii="仿宋_GB2312" w:eastAsia="仿宋_GB2312"/>
          <w:color w:val="auto"/>
          <w:spacing w:val="0"/>
          <w:kern w:val="0"/>
          <w:sz w:val="32"/>
          <w:szCs w:val="32"/>
          <w:lang w:val="en-US" w:eastAsia="zh-CN"/>
        </w:rPr>
        <w:t>2026年，持续推广“一主多辅”秸秆综合利用模式。优化秸秆科学还田沃土，持续改善秸秆科学还田的标准化、规范化程度；进一步健全秸秆收储运体系；支持开展秸秆离田利用工作，有效提升秸秆离田效能，稳步提高秸秆高值化水平；持续开展秸秆基料化生产推广；开展秸秆还田生态效应监测和秸秆资源台账数据统计</w:t>
      </w:r>
      <w:r>
        <w:rPr>
          <w:rFonts w:hint="eastAsia" w:ascii="仿宋_GB2312" w:eastAsia="仿宋_GB2312"/>
          <w:color w:val="auto"/>
          <w:spacing w:val="0"/>
          <w:kern w:val="0"/>
          <w:sz w:val="32"/>
          <w:szCs w:val="32"/>
          <w:lang w:eastAsia="zh-CN"/>
        </w:rPr>
        <w:t>。</w:t>
      </w:r>
      <w:r>
        <w:rPr>
          <w:rFonts w:hint="eastAsia" w:ascii="仿宋_GB2312" w:eastAsia="仿宋_GB2312"/>
          <w:color w:val="auto"/>
          <w:spacing w:val="0"/>
          <w:kern w:val="0"/>
          <w:sz w:val="32"/>
          <w:szCs w:val="32"/>
        </w:rPr>
        <w:t>实现202</w:t>
      </w:r>
      <w:r>
        <w:rPr>
          <w:rFonts w:hint="eastAsia" w:ascii="仿宋_GB2312" w:eastAsia="仿宋_GB2312"/>
          <w:color w:val="auto"/>
          <w:spacing w:val="0"/>
          <w:kern w:val="0"/>
          <w:sz w:val="32"/>
          <w:szCs w:val="32"/>
          <w:lang w:val="en-US" w:eastAsia="zh-CN"/>
        </w:rPr>
        <w:t>6</w:t>
      </w:r>
      <w:r>
        <w:rPr>
          <w:rFonts w:hint="eastAsia" w:ascii="仿宋_GB2312" w:eastAsia="仿宋_GB2312"/>
          <w:color w:val="auto"/>
          <w:spacing w:val="0"/>
          <w:kern w:val="0"/>
          <w:sz w:val="32"/>
          <w:szCs w:val="32"/>
        </w:rPr>
        <w:t>年秸秆离田利用总量</w:t>
      </w:r>
      <w:r>
        <w:rPr>
          <w:rFonts w:hint="eastAsia" w:ascii="仿宋_GB2312" w:eastAsia="仿宋_GB2312"/>
          <w:color w:val="auto"/>
          <w:spacing w:val="0"/>
          <w:kern w:val="0"/>
          <w:sz w:val="32"/>
          <w:szCs w:val="32"/>
          <w:lang w:eastAsia="zh-CN"/>
        </w:rPr>
        <w:t>保持在</w:t>
      </w:r>
      <w:r>
        <w:rPr>
          <w:rFonts w:hint="eastAsia" w:ascii="仿宋_GB2312" w:eastAsia="仿宋_GB2312"/>
          <w:color w:val="auto"/>
          <w:spacing w:val="0"/>
          <w:kern w:val="0"/>
          <w:sz w:val="32"/>
          <w:szCs w:val="32"/>
          <w:lang w:val="en-US" w:eastAsia="zh-CN"/>
        </w:rPr>
        <w:t>3</w:t>
      </w:r>
      <w:r>
        <w:rPr>
          <w:rFonts w:hint="eastAsia" w:ascii="仿宋_GB2312" w:eastAsia="仿宋_GB2312"/>
          <w:color w:val="auto"/>
          <w:spacing w:val="0"/>
          <w:kern w:val="0"/>
          <w:sz w:val="32"/>
          <w:szCs w:val="32"/>
        </w:rPr>
        <w:t>0%</w:t>
      </w:r>
      <w:r>
        <w:rPr>
          <w:rFonts w:hint="eastAsia" w:ascii="仿宋_GB2312" w:eastAsia="仿宋_GB2312"/>
          <w:color w:val="auto"/>
          <w:spacing w:val="0"/>
          <w:kern w:val="0"/>
          <w:sz w:val="32"/>
          <w:szCs w:val="32"/>
          <w:lang w:eastAsia="zh-CN"/>
        </w:rPr>
        <w:t>以上</w:t>
      </w:r>
      <w:r>
        <w:rPr>
          <w:rFonts w:hint="eastAsia" w:ascii="仿宋_GB2312" w:eastAsia="仿宋_GB2312"/>
          <w:color w:val="auto"/>
          <w:spacing w:val="0"/>
          <w:kern w:val="0"/>
          <w:sz w:val="32"/>
          <w:szCs w:val="32"/>
        </w:rPr>
        <w:t>，全县农作物秸秆综合利用率在95%以上高位运行。</w:t>
      </w:r>
    </w:p>
    <w:p w14:paraId="58C462D3">
      <w:pPr>
        <w:pStyle w:val="11"/>
        <w:keepNext w:val="0"/>
        <w:keepLines w:val="0"/>
        <w:pageBreakBefore w:val="0"/>
        <w:widowControl w:val="0"/>
        <w:kinsoku/>
        <w:wordWrap/>
        <w:overflowPunct w:val="0"/>
        <w:topLinePunct w:val="0"/>
        <w:autoSpaceDE/>
        <w:autoSpaceDN/>
        <w:bidi w:val="0"/>
        <w:adjustRightInd/>
        <w:spacing w:line="560" w:lineRule="exact"/>
        <w:ind w:left="0" w:leftChars="0" w:firstLine="640" w:firstLineChars="200"/>
        <w:textAlignment w:val="auto"/>
        <w:rPr>
          <w:rFonts w:hint="eastAsia" w:ascii="黑体" w:hAnsi="黑体" w:eastAsia="黑体" w:cs="黑体"/>
          <w:color w:val="auto"/>
          <w:spacing w:val="0"/>
          <w:kern w:val="0"/>
          <w:sz w:val="32"/>
          <w:szCs w:val="32"/>
        </w:rPr>
      </w:pPr>
      <w:r>
        <w:rPr>
          <w:rFonts w:hint="eastAsia" w:ascii="黑体" w:hAnsi="黑体" w:eastAsia="黑体" w:cs="黑体"/>
          <w:color w:val="auto"/>
          <w:spacing w:val="0"/>
          <w:kern w:val="0"/>
          <w:sz w:val="32"/>
          <w:szCs w:val="32"/>
        </w:rPr>
        <w:t>三、工作重点</w:t>
      </w:r>
    </w:p>
    <w:p w14:paraId="5026A6FD">
      <w:pPr>
        <w:pStyle w:val="11"/>
        <w:keepNext w:val="0"/>
        <w:keepLines w:val="0"/>
        <w:pageBreakBefore w:val="0"/>
        <w:widowControl w:val="0"/>
        <w:kinsoku/>
        <w:wordWrap/>
        <w:overflowPunct w:val="0"/>
        <w:topLinePunct w:val="0"/>
        <w:autoSpaceDE/>
        <w:autoSpaceDN/>
        <w:bidi w:val="0"/>
        <w:adjustRightInd/>
        <w:spacing w:line="560" w:lineRule="exact"/>
        <w:ind w:left="0" w:leftChars="0" w:firstLine="640" w:firstLineChars="200"/>
        <w:textAlignment w:val="auto"/>
        <w:rPr>
          <w:rFonts w:hint="eastAsia" w:ascii="仿宋_GB2312" w:eastAsia="仿宋_GB2312"/>
          <w:color w:val="auto"/>
          <w:spacing w:val="0"/>
          <w:kern w:val="0"/>
          <w:sz w:val="32"/>
          <w:szCs w:val="32"/>
        </w:rPr>
      </w:pPr>
      <w:r>
        <w:rPr>
          <w:rFonts w:hint="eastAsia" w:ascii="仿宋_GB2312" w:eastAsia="仿宋_GB2312"/>
          <w:color w:val="auto"/>
          <w:spacing w:val="0"/>
          <w:kern w:val="0"/>
          <w:sz w:val="32"/>
          <w:szCs w:val="32"/>
        </w:rPr>
        <w:t>各乡（镇）要根据辖区秸秆资源禀赋和农业发展实际，因地制宜选择秸秆“五化”利用方式，制定出台本乡（镇）秸秆综合利用工作方案，明确工作责任目标，实现本乡（镇）秸秆全量化利用。</w:t>
      </w:r>
    </w:p>
    <w:p w14:paraId="308CBF47">
      <w:pPr>
        <w:pStyle w:val="11"/>
        <w:keepNext w:val="0"/>
        <w:keepLines w:val="0"/>
        <w:pageBreakBefore w:val="0"/>
        <w:widowControl w:val="0"/>
        <w:kinsoku/>
        <w:wordWrap/>
        <w:overflowPunct w:val="0"/>
        <w:topLinePunct w:val="0"/>
        <w:autoSpaceDE/>
        <w:autoSpaceDN/>
        <w:bidi w:val="0"/>
        <w:adjustRightInd/>
        <w:spacing w:line="560" w:lineRule="exact"/>
        <w:ind w:firstLine="640" w:firstLineChars="200"/>
        <w:textAlignment w:val="auto"/>
        <w:rPr>
          <w:rFonts w:hint="eastAsia" w:ascii="仿宋_GB2312" w:eastAsia="仿宋_GB2312"/>
          <w:color w:val="auto"/>
          <w:spacing w:val="0"/>
          <w:kern w:val="0"/>
          <w:sz w:val="32"/>
          <w:szCs w:val="32"/>
        </w:rPr>
      </w:pPr>
      <w:r>
        <w:rPr>
          <w:rFonts w:hint="eastAsia" w:ascii="楷体_GB2312" w:hAnsi="楷体_GB2312" w:eastAsia="楷体_GB2312" w:cs="楷体_GB2312"/>
          <w:b w:val="0"/>
          <w:bCs w:val="0"/>
          <w:kern w:val="2"/>
          <w:sz w:val="32"/>
          <w:szCs w:val="32"/>
          <w:lang w:val="en-US" w:eastAsia="zh-CN" w:bidi="ar-SA"/>
        </w:rPr>
        <w:t>（一）继续做好秸秆机械化还田工作，推进秸秆科学还田，提升耕地质量。</w:t>
      </w:r>
      <w:r>
        <w:rPr>
          <w:rFonts w:hint="eastAsia" w:ascii="仿宋_GB2312" w:eastAsia="仿宋_GB2312"/>
          <w:color w:val="auto"/>
          <w:spacing w:val="0"/>
          <w:kern w:val="0"/>
          <w:sz w:val="32"/>
          <w:szCs w:val="32"/>
          <w:lang w:eastAsia="zh-CN"/>
        </w:rPr>
        <w:t>各乡</w:t>
      </w:r>
      <w:r>
        <w:rPr>
          <w:rFonts w:hint="eastAsia" w:ascii="仿宋_GB2312" w:eastAsia="仿宋_GB2312"/>
          <w:color w:val="auto"/>
          <w:spacing w:val="0"/>
          <w:kern w:val="0"/>
          <w:sz w:val="32"/>
          <w:szCs w:val="32"/>
        </w:rPr>
        <w:t>（镇）</w:t>
      </w:r>
      <w:r>
        <w:rPr>
          <w:rFonts w:hint="eastAsia" w:ascii="仿宋_GB2312" w:eastAsia="仿宋_GB2312"/>
          <w:color w:val="auto"/>
          <w:spacing w:val="0"/>
          <w:kern w:val="0"/>
          <w:sz w:val="32"/>
          <w:szCs w:val="32"/>
          <w:lang w:eastAsia="zh-CN"/>
        </w:rPr>
        <w:t>要结合区域实际</w:t>
      </w:r>
      <w:r>
        <w:rPr>
          <w:rFonts w:hint="eastAsia" w:ascii="仿宋_GB2312" w:eastAsia="仿宋_GB2312"/>
          <w:color w:val="auto"/>
          <w:spacing w:val="0"/>
          <w:kern w:val="0"/>
          <w:sz w:val="32"/>
          <w:szCs w:val="32"/>
        </w:rPr>
        <w:t>，持续推广秸秆科学还田适用技术，充分考虑整地、播种、田间管理、病虫害防控、农民实施意愿等因素，分区域、分作物推广实施浅旋、深耕翻埋、碎混、堆沤腐熟等秸秆还田技术模式，形成适应机械化生产、助力后茬作物稳产优质的秸秆还田规程，推进秸秆轻简化科学还田，实现肥料化利用，有效提升耕地质量</w:t>
      </w:r>
      <w:r>
        <w:rPr>
          <w:rFonts w:hint="eastAsia" w:ascii="仿宋_GB2312" w:eastAsia="仿宋_GB2312"/>
          <w:color w:val="auto"/>
          <w:spacing w:val="0"/>
          <w:kern w:val="0"/>
          <w:sz w:val="32"/>
          <w:szCs w:val="32"/>
          <w:lang w:eastAsia="zh-CN"/>
        </w:rPr>
        <w:t>。</w:t>
      </w:r>
    </w:p>
    <w:p w14:paraId="2D37ED65">
      <w:pPr>
        <w:pStyle w:val="11"/>
        <w:keepNext w:val="0"/>
        <w:keepLines w:val="0"/>
        <w:pageBreakBefore w:val="0"/>
        <w:widowControl w:val="0"/>
        <w:kinsoku/>
        <w:wordWrap/>
        <w:overflowPunct w:val="0"/>
        <w:topLinePunct w:val="0"/>
        <w:autoSpaceDE/>
        <w:autoSpaceDN/>
        <w:bidi w:val="0"/>
        <w:adjustRightInd/>
        <w:spacing w:line="560" w:lineRule="exact"/>
        <w:ind w:firstLine="640" w:firstLineChars="200"/>
        <w:textAlignment w:val="auto"/>
        <w:rPr>
          <w:rFonts w:hint="eastAsia" w:ascii="楷体" w:hAnsi="楷体" w:eastAsia="楷体" w:cs="楷体"/>
          <w:b/>
          <w:bCs/>
          <w:color w:val="auto"/>
          <w:spacing w:val="0"/>
          <w:kern w:val="0"/>
          <w:sz w:val="32"/>
          <w:szCs w:val="32"/>
        </w:rPr>
      </w:pPr>
      <w:r>
        <w:rPr>
          <w:rFonts w:hint="eastAsia" w:ascii="楷体_GB2312" w:hAnsi="楷体_GB2312" w:eastAsia="楷体_GB2312" w:cs="楷体_GB2312"/>
          <w:b w:val="0"/>
          <w:bCs w:val="0"/>
          <w:kern w:val="2"/>
          <w:sz w:val="32"/>
          <w:szCs w:val="32"/>
          <w:lang w:val="en-US" w:eastAsia="zh-CN" w:bidi="ar-SA"/>
        </w:rPr>
        <w:t>（二）积极培育秸秆利用社会化服务组织和市场化利用主体。</w:t>
      </w:r>
      <w:r>
        <w:rPr>
          <w:rFonts w:hint="eastAsia" w:ascii="仿宋_GB2312" w:eastAsia="仿宋_GB2312"/>
          <w:color w:val="auto"/>
          <w:spacing w:val="0"/>
          <w:kern w:val="0"/>
          <w:sz w:val="32"/>
          <w:szCs w:val="32"/>
        </w:rPr>
        <w:t>坚持政府引导、市场运作的原则，积极支持秸秆市场化利用主体和收储运社会化服务体系发展，推进秸秆收储运用专业化、标准化、市场化，大力培育秸秆收储运专业化人才队伍和社会化服务组织，依托秸秆综合利用市场主体构建县域全覆盖的秸秆收储运体系和供应网络，逐步实现秸秆收储运的专业化和市场化，促进秸秆离田综合利用产业结构优化和提质增效，延伸产业链、提升价值链。</w:t>
      </w:r>
      <w:r>
        <w:rPr>
          <w:rFonts w:hint="eastAsia" w:ascii="仿宋_GB2312" w:eastAsia="仿宋_GB2312"/>
          <w:color w:val="auto"/>
          <w:spacing w:val="0"/>
          <w:kern w:val="0"/>
          <w:sz w:val="32"/>
          <w:szCs w:val="32"/>
          <w:lang w:eastAsia="zh-CN"/>
        </w:rPr>
        <w:t>逐步</w:t>
      </w:r>
      <w:r>
        <w:rPr>
          <w:rFonts w:hint="eastAsia" w:ascii="仿宋_GB2312" w:eastAsia="仿宋_GB2312"/>
          <w:color w:val="auto"/>
          <w:spacing w:val="0"/>
          <w:kern w:val="0"/>
          <w:sz w:val="32"/>
          <w:szCs w:val="32"/>
        </w:rPr>
        <w:t>实现村有收储点、乡镇有收储站</w:t>
      </w:r>
      <w:r>
        <w:rPr>
          <w:rFonts w:hint="eastAsia" w:ascii="仿宋_GB2312" w:eastAsia="仿宋_GB2312"/>
          <w:color w:val="auto"/>
          <w:spacing w:val="0"/>
          <w:kern w:val="0"/>
          <w:sz w:val="32"/>
          <w:szCs w:val="32"/>
          <w:lang w:eastAsia="zh-CN"/>
        </w:rPr>
        <w:t>、县有</w:t>
      </w:r>
      <w:r>
        <w:rPr>
          <w:rFonts w:hint="eastAsia" w:ascii="仿宋_GB2312" w:eastAsia="仿宋_GB2312"/>
          <w:color w:val="auto"/>
          <w:spacing w:val="0"/>
          <w:kern w:val="0"/>
          <w:sz w:val="32"/>
          <w:szCs w:val="32"/>
        </w:rPr>
        <w:t>利用企业的秸秆综合利用格局。</w:t>
      </w:r>
    </w:p>
    <w:p w14:paraId="0DDDAC59">
      <w:pPr>
        <w:pStyle w:val="11"/>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仿宋_GB2312" w:eastAsia="仿宋_GB2312"/>
          <w:color w:val="auto"/>
          <w:spacing w:val="0"/>
          <w:kern w:val="0"/>
          <w:sz w:val="32"/>
          <w:szCs w:val="32"/>
          <w:u w:val="none" w:color="auto"/>
          <w:lang w:val="en-US" w:eastAsia="zh-CN"/>
        </w:rPr>
      </w:pPr>
      <w:r>
        <w:rPr>
          <w:rFonts w:hint="eastAsia" w:ascii="楷体_GB2312" w:hAnsi="楷体_GB2312" w:eastAsia="楷体_GB2312" w:cs="楷体_GB2312"/>
          <w:b w:val="0"/>
          <w:bCs w:val="0"/>
          <w:kern w:val="2"/>
          <w:sz w:val="32"/>
          <w:szCs w:val="32"/>
          <w:lang w:val="en-US" w:eastAsia="zh-CN" w:bidi="ar-SA"/>
        </w:rPr>
        <w:t>（三）持续扩大秸秆离田利用规模，有效提升秸秆离田效能，促进秸秆高值化、产业化利用。</w:t>
      </w:r>
      <w:r>
        <w:rPr>
          <w:rFonts w:hint="eastAsia" w:ascii="仿宋_GB2312" w:eastAsia="仿宋_GB2312"/>
          <w:color w:val="auto"/>
          <w:spacing w:val="0"/>
          <w:kern w:val="0"/>
          <w:sz w:val="32"/>
          <w:szCs w:val="32"/>
        </w:rPr>
        <w:t>鼓励种植养殖企业、新型农业合作组织、村集体经济组织和已有秸秆收储企业等组织机构积极投入秸秆离田收储利用，通过秸秆离田利用，将秸秆综合利用工作与加快产业发展、促进乡村集体经济振兴有效衔接，有效延伸秸秆产业链、提升秸秆价值链。</w:t>
      </w:r>
      <w:r>
        <w:rPr>
          <w:rFonts w:hint="eastAsia" w:ascii="仿宋_GB2312" w:eastAsia="仿宋_GB2312"/>
          <w:b w:val="0"/>
          <w:bCs w:val="0"/>
          <w:color w:val="auto"/>
          <w:spacing w:val="0"/>
          <w:kern w:val="0"/>
          <w:sz w:val="32"/>
          <w:szCs w:val="32"/>
        </w:rPr>
        <w:t>一是</w:t>
      </w:r>
      <w:r>
        <w:rPr>
          <w:rFonts w:hint="eastAsia" w:ascii="仿宋_GB2312" w:eastAsia="仿宋_GB2312"/>
          <w:color w:val="auto"/>
          <w:spacing w:val="0"/>
          <w:kern w:val="0"/>
          <w:sz w:val="32"/>
          <w:szCs w:val="32"/>
        </w:rPr>
        <w:t>推进秸秆离田后变饲，壮大饲草产业</w:t>
      </w:r>
      <w:r>
        <w:rPr>
          <w:rFonts w:hint="eastAsia" w:ascii="仿宋_GB2312" w:eastAsia="仿宋_GB2312"/>
          <w:color w:val="auto"/>
          <w:spacing w:val="0"/>
          <w:kern w:val="0"/>
          <w:sz w:val="32"/>
          <w:szCs w:val="32"/>
          <w:lang w:eastAsia="zh-CN"/>
        </w:rPr>
        <w:t>。推进</w:t>
      </w:r>
      <w:r>
        <w:rPr>
          <w:rFonts w:hint="eastAsia" w:ascii="仿宋_GB2312" w:eastAsia="仿宋_GB2312"/>
          <w:color w:val="auto"/>
          <w:spacing w:val="0"/>
          <w:kern w:val="0"/>
          <w:sz w:val="32"/>
          <w:szCs w:val="32"/>
        </w:rPr>
        <w:t>农牧、种养结合，实现秸秆饲料转化增值，增加农民收</w:t>
      </w:r>
      <w:r>
        <w:rPr>
          <w:rFonts w:hint="eastAsia" w:ascii="仿宋_GB2312" w:eastAsia="仿宋_GB2312"/>
          <w:color w:val="auto"/>
          <w:spacing w:val="0"/>
          <w:kern w:val="0"/>
          <w:sz w:val="32"/>
          <w:szCs w:val="32"/>
          <w:lang w:eastAsia="zh-CN"/>
        </w:rPr>
        <w:t>入。二</w:t>
      </w:r>
      <w:r>
        <w:rPr>
          <w:rFonts w:hint="eastAsia" w:ascii="仿宋_GB2312" w:eastAsia="仿宋_GB2312"/>
          <w:color w:val="auto"/>
          <w:spacing w:val="0"/>
          <w:kern w:val="0"/>
          <w:sz w:val="32"/>
          <w:szCs w:val="32"/>
        </w:rPr>
        <w:t>是</w:t>
      </w:r>
      <w:r>
        <w:rPr>
          <w:rFonts w:hint="eastAsia" w:ascii="仿宋_GB2312" w:eastAsia="仿宋_GB2312"/>
          <w:color w:val="auto"/>
          <w:spacing w:val="0"/>
          <w:kern w:val="0"/>
          <w:sz w:val="32"/>
          <w:szCs w:val="32"/>
          <w:lang w:eastAsia="zh-CN"/>
        </w:rPr>
        <w:t>扩大</w:t>
      </w:r>
      <w:r>
        <w:rPr>
          <w:rFonts w:hint="eastAsia" w:ascii="仿宋_GB2312" w:eastAsia="仿宋_GB2312"/>
          <w:color w:val="auto"/>
          <w:spacing w:val="0"/>
          <w:kern w:val="0"/>
          <w:sz w:val="32"/>
          <w:szCs w:val="32"/>
        </w:rPr>
        <w:t>秸秆基料化</w:t>
      </w:r>
      <w:r>
        <w:rPr>
          <w:rFonts w:hint="eastAsia" w:ascii="仿宋_GB2312" w:eastAsia="仿宋_GB2312"/>
          <w:color w:val="auto"/>
          <w:spacing w:val="0"/>
          <w:kern w:val="0"/>
          <w:sz w:val="32"/>
          <w:szCs w:val="32"/>
          <w:lang w:eastAsia="zh-CN"/>
        </w:rPr>
        <w:t>利用规模</w:t>
      </w:r>
      <w:r>
        <w:rPr>
          <w:rFonts w:hint="eastAsia" w:ascii="仿宋_GB2312" w:eastAsia="仿宋_GB2312"/>
          <w:color w:val="auto"/>
          <w:spacing w:val="0"/>
          <w:kern w:val="0"/>
          <w:sz w:val="32"/>
          <w:szCs w:val="32"/>
        </w:rPr>
        <w:t>，培养富民产业。大力发展以玉米、小麦秸秆为主要原料生产食用菌基质、栽培基质等，用于菌菇生产、集约化育苗、无土栽培、改良土壤等</w:t>
      </w:r>
      <w:r>
        <w:rPr>
          <w:rFonts w:hint="eastAsia" w:ascii="仿宋_GB2312" w:eastAsia="仿宋_GB2312"/>
          <w:color w:val="auto"/>
          <w:spacing w:val="0"/>
          <w:kern w:val="0"/>
          <w:sz w:val="32"/>
          <w:szCs w:val="32"/>
          <w:lang w:eastAsia="zh-CN"/>
        </w:rPr>
        <w:t>。三</w:t>
      </w:r>
      <w:r>
        <w:rPr>
          <w:rFonts w:hint="eastAsia" w:ascii="仿宋_GB2312" w:eastAsia="仿宋_GB2312"/>
          <w:color w:val="auto"/>
          <w:spacing w:val="0"/>
          <w:kern w:val="0"/>
          <w:sz w:val="32"/>
          <w:szCs w:val="32"/>
        </w:rPr>
        <w:t>是积极</w:t>
      </w:r>
      <w:r>
        <w:rPr>
          <w:rFonts w:hint="eastAsia" w:ascii="仿宋_GB2312" w:eastAsia="仿宋_GB2312"/>
          <w:color w:val="auto"/>
          <w:spacing w:val="0"/>
          <w:kern w:val="0"/>
          <w:sz w:val="32"/>
          <w:szCs w:val="32"/>
          <w:lang w:eastAsia="zh-CN"/>
        </w:rPr>
        <w:t>探索</w:t>
      </w:r>
      <w:r>
        <w:rPr>
          <w:rFonts w:hint="eastAsia" w:ascii="仿宋_GB2312" w:eastAsia="仿宋_GB2312"/>
          <w:color w:val="auto"/>
          <w:spacing w:val="0"/>
          <w:kern w:val="0"/>
          <w:sz w:val="32"/>
          <w:szCs w:val="32"/>
        </w:rPr>
        <w:t>引进原料化生产技术</w:t>
      </w:r>
      <w:r>
        <w:rPr>
          <w:rFonts w:hint="eastAsia" w:ascii="仿宋_GB2312" w:eastAsia="仿宋_GB2312"/>
          <w:color w:val="auto"/>
          <w:spacing w:val="0"/>
          <w:kern w:val="0"/>
          <w:sz w:val="32"/>
          <w:szCs w:val="32"/>
          <w:lang w:eastAsia="zh-CN"/>
        </w:rPr>
        <w:t>。</w:t>
      </w:r>
      <w:r>
        <w:rPr>
          <w:rFonts w:hint="eastAsia" w:ascii="仿宋_GB2312" w:eastAsia="仿宋_GB2312"/>
          <w:color w:val="auto"/>
          <w:spacing w:val="0"/>
          <w:kern w:val="0"/>
          <w:sz w:val="32"/>
          <w:szCs w:val="32"/>
        </w:rPr>
        <w:t>鼓励扶持发展以秸秆为主要原料的草编工艺制品、新型建材、复合材料、餐具等加工产业，拓展秸秆利用渠道，延伸秸秆利用产业链条，提高秸秆高值化、产业化利用水平，大力发展秸秆利用富民产业。</w:t>
      </w:r>
      <w:r>
        <w:rPr>
          <w:rFonts w:hint="eastAsia" w:ascii="仿宋_GB2312" w:eastAsia="仿宋_GB2312"/>
          <w:color w:val="auto"/>
          <w:spacing w:val="0"/>
          <w:kern w:val="0"/>
          <w:sz w:val="32"/>
          <w:szCs w:val="32"/>
          <w:lang w:eastAsia="zh-CN"/>
        </w:rPr>
        <w:t>四</w:t>
      </w:r>
      <w:r>
        <w:rPr>
          <w:rFonts w:hint="eastAsia" w:ascii="仿宋_GB2312" w:eastAsia="仿宋_GB2312"/>
          <w:color w:val="auto"/>
          <w:spacing w:val="0"/>
          <w:kern w:val="0"/>
          <w:sz w:val="32"/>
          <w:szCs w:val="32"/>
        </w:rPr>
        <w:t>是鼓励秸秆离田后变能源降碳，助力“双碳”工作。</w:t>
      </w:r>
      <w:r>
        <w:rPr>
          <w:rFonts w:hint="eastAsia" w:ascii="仿宋_GB2312" w:eastAsia="仿宋_GB2312"/>
          <w:color w:val="auto"/>
          <w:spacing w:val="0"/>
          <w:kern w:val="0"/>
          <w:sz w:val="32"/>
          <w:szCs w:val="32"/>
          <w:lang w:eastAsia="zh-CN"/>
        </w:rPr>
        <w:t>加强秸秆离田生物质发电利用，</w:t>
      </w:r>
      <w:r>
        <w:rPr>
          <w:rFonts w:hint="eastAsia" w:ascii="仿宋_GB2312" w:eastAsia="仿宋_GB2312"/>
          <w:color w:val="auto"/>
          <w:spacing w:val="0"/>
          <w:kern w:val="0"/>
          <w:sz w:val="32"/>
          <w:szCs w:val="32"/>
          <w:u w:val="single" w:color="auto"/>
        </w:rPr>
        <w:t>鼓</w:t>
      </w:r>
      <w:r>
        <w:rPr>
          <w:rFonts w:hint="eastAsia" w:ascii="仿宋_GB2312" w:eastAsia="仿宋_GB2312"/>
          <w:color w:val="auto"/>
          <w:spacing w:val="0"/>
          <w:kern w:val="0"/>
          <w:sz w:val="32"/>
          <w:szCs w:val="32"/>
          <w:u w:val="none" w:color="auto"/>
        </w:rPr>
        <w:t>励发展</w:t>
      </w:r>
      <w:r>
        <w:rPr>
          <w:rFonts w:hint="eastAsia" w:ascii="仿宋_GB2312" w:eastAsia="仿宋_GB2312"/>
          <w:color w:val="auto"/>
          <w:spacing w:val="0"/>
          <w:kern w:val="0"/>
          <w:sz w:val="32"/>
          <w:szCs w:val="32"/>
          <w:u w:val="none" w:color="auto"/>
          <w:lang w:eastAsia="zh-CN"/>
        </w:rPr>
        <w:t>秸秆</w:t>
      </w:r>
      <w:r>
        <w:rPr>
          <w:rFonts w:hint="eastAsia" w:ascii="仿宋_GB2312" w:eastAsia="仿宋_GB2312"/>
          <w:color w:val="auto"/>
          <w:spacing w:val="0"/>
          <w:kern w:val="0"/>
          <w:sz w:val="32"/>
          <w:szCs w:val="32"/>
          <w:u w:val="none" w:color="auto"/>
          <w:lang w:val="en-US" w:eastAsia="zh-CN"/>
        </w:rPr>
        <w:t>-</w:t>
      </w:r>
      <w:r>
        <w:rPr>
          <w:rFonts w:hint="eastAsia" w:ascii="仿宋_GB2312" w:eastAsia="仿宋_GB2312"/>
          <w:color w:val="auto"/>
          <w:spacing w:val="0"/>
          <w:kern w:val="0"/>
          <w:sz w:val="32"/>
          <w:szCs w:val="32"/>
          <w:u w:val="none" w:color="auto"/>
          <w:lang w:eastAsia="zh-CN"/>
        </w:rPr>
        <w:t>煤结合生物质发电利用，生物燃气利用，</w:t>
      </w:r>
      <w:r>
        <w:rPr>
          <w:rFonts w:hint="eastAsia" w:ascii="仿宋_GB2312" w:eastAsia="仿宋_GB2312"/>
          <w:color w:val="auto"/>
          <w:spacing w:val="0"/>
          <w:kern w:val="0"/>
          <w:sz w:val="32"/>
          <w:szCs w:val="32"/>
          <w:u w:val="none" w:color="auto"/>
        </w:rPr>
        <w:t>积极有序发展以秸秆为主要原料的固化成型燃料生物质能利用，引导秸秆能源化应用，促进农业绿色发展。</w:t>
      </w:r>
    </w:p>
    <w:p w14:paraId="22423E33">
      <w:pPr>
        <w:keepNext w:val="0"/>
        <w:keepLines w:val="0"/>
        <w:pageBreakBefore w:val="0"/>
        <w:widowControl/>
        <w:kinsoku/>
        <w:wordWrap/>
        <w:topLinePunct w:val="0"/>
        <w:autoSpaceDE/>
        <w:autoSpaceDN/>
        <w:bidi w:val="0"/>
        <w:adjustRightInd/>
        <w:snapToGrid w:val="0"/>
        <w:spacing w:before="0" w:beforeAutospacing="0" w:after="0" w:afterAutospacing="0" w:line="560" w:lineRule="exact"/>
        <w:ind w:left="0" w:right="0" w:firstLine="640" w:firstLineChars="200"/>
        <w:jc w:val="left"/>
        <w:textAlignment w:val="auto"/>
        <w:rPr>
          <w:rFonts w:hint="eastAsia" w:ascii="楷体" w:hAnsi="楷体" w:eastAsia="楷体" w:cs="楷体"/>
          <w:b/>
          <w:bCs/>
          <w:color w:val="auto"/>
          <w:spacing w:val="0"/>
          <w:kern w:val="0"/>
          <w:sz w:val="32"/>
          <w:szCs w:val="32"/>
          <w:lang w:val="en-US" w:eastAsia="zh-CN" w:bidi="ar-SA"/>
        </w:rPr>
      </w:pPr>
      <w:r>
        <w:rPr>
          <w:rFonts w:hint="eastAsia" w:ascii="楷体_GB2312" w:hAnsi="楷体_GB2312" w:eastAsia="楷体_GB2312" w:cs="楷体_GB2312"/>
          <w:b w:val="0"/>
          <w:bCs w:val="0"/>
          <w:sz w:val="32"/>
          <w:szCs w:val="32"/>
          <w:lang w:val="en-US" w:eastAsia="zh-CN"/>
        </w:rPr>
        <w:t>（四）试点运用“梨树模式”，实现“藏粮于地”与“藏粮于技”的统一。</w:t>
      </w:r>
      <w:r>
        <w:rPr>
          <w:rFonts w:hint="eastAsia" w:ascii="仿宋_GB2312" w:eastAsia="仿宋_GB2312"/>
          <w:color w:val="auto"/>
          <w:spacing w:val="0"/>
          <w:kern w:val="0"/>
          <w:sz w:val="32"/>
          <w:szCs w:val="32"/>
          <w:u w:val="none" w:color="auto"/>
          <w:lang w:eastAsia="zh-CN"/>
        </w:rPr>
        <w:t>探索构建</w:t>
      </w:r>
      <w:r>
        <w:rPr>
          <w:rFonts w:hint="eastAsia" w:ascii="仿宋_GB2312" w:eastAsia="仿宋_GB2312"/>
          <w:color w:val="auto"/>
          <w:spacing w:val="0"/>
          <w:kern w:val="0"/>
          <w:sz w:val="32"/>
          <w:szCs w:val="32"/>
          <w:u w:val="none" w:color="auto"/>
        </w:rPr>
        <w:t>以作物秸秆覆盖免耕栽培为核心，</w:t>
      </w:r>
      <w:r>
        <w:rPr>
          <w:rFonts w:hint="eastAsia" w:ascii="仿宋_GB2312" w:eastAsia="仿宋_GB2312"/>
          <w:color w:val="auto"/>
          <w:spacing w:val="0"/>
          <w:kern w:val="0"/>
          <w:sz w:val="32"/>
          <w:szCs w:val="32"/>
        </w:rPr>
        <w:t>包括机械收获与秸秆覆盖、免耕播种与施肥、病虫草害防治、轮作等技术环节的全程机械化技术体系</w:t>
      </w:r>
      <w:r>
        <w:rPr>
          <w:rFonts w:hint="eastAsia" w:ascii="仿宋_GB2312" w:eastAsia="仿宋_GB2312"/>
          <w:color w:val="auto"/>
          <w:spacing w:val="0"/>
          <w:kern w:val="0"/>
          <w:sz w:val="32"/>
          <w:szCs w:val="32"/>
          <w:lang w:eastAsia="zh-CN"/>
        </w:rPr>
        <w:t>，实现</w:t>
      </w:r>
      <w:r>
        <w:rPr>
          <w:rFonts w:hint="eastAsia" w:ascii="仿宋_GB2312" w:eastAsia="仿宋_GB2312"/>
          <w:color w:val="auto"/>
          <w:spacing w:val="0"/>
          <w:kern w:val="0"/>
          <w:sz w:val="32"/>
          <w:szCs w:val="32"/>
        </w:rPr>
        <w:t>减少</w:t>
      </w:r>
      <w:r>
        <w:rPr>
          <w:rFonts w:hint="eastAsia" w:ascii="仿宋_GB2312" w:eastAsia="仿宋_GB2312"/>
          <w:color w:val="auto"/>
          <w:spacing w:val="0"/>
          <w:kern w:val="0"/>
          <w:sz w:val="32"/>
          <w:szCs w:val="32"/>
          <w:lang w:eastAsia="zh-CN"/>
        </w:rPr>
        <w:t>耕作次数</w:t>
      </w:r>
      <w:r>
        <w:rPr>
          <w:rFonts w:hint="eastAsia" w:ascii="仿宋_GB2312" w:eastAsia="仿宋_GB2312"/>
          <w:color w:val="auto"/>
          <w:spacing w:val="0"/>
          <w:kern w:val="0"/>
          <w:sz w:val="32"/>
          <w:szCs w:val="32"/>
        </w:rPr>
        <w:t>，改善土壤结构，增加土地肥力和保水能力，实现减化肥、省人工、保产量的效果。</w:t>
      </w:r>
    </w:p>
    <w:p w14:paraId="2E979412">
      <w:pPr>
        <w:keepNext w:val="0"/>
        <w:keepLines w:val="0"/>
        <w:pageBreakBefore w:val="0"/>
        <w:widowControl/>
        <w:kinsoku/>
        <w:wordWrap/>
        <w:topLinePunct w:val="0"/>
        <w:autoSpaceDE/>
        <w:autoSpaceDN/>
        <w:bidi w:val="0"/>
        <w:adjustRightInd/>
        <w:snapToGrid w:val="0"/>
        <w:spacing w:before="0" w:beforeAutospacing="0" w:after="0" w:afterAutospacing="0" w:line="560" w:lineRule="exact"/>
        <w:ind w:left="0" w:right="0" w:firstLine="640" w:firstLineChars="200"/>
        <w:jc w:val="left"/>
        <w:textAlignment w:val="auto"/>
        <w:rPr>
          <w:rFonts w:hint="eastAsia" w:ascii="仿宋_GB2312" w:hAnsi="Cambria" w:eastAsia="仿宋_GB2312" w:cs="黑体"/>
          <w:color w:val="auto"/>
          <w:spacing w:val="0"/>
          <w:kern w:val="0"/>
          <w:sz w:val="32"/>
          <w:szCs w:val="32"/>
          <w:lang w:val="en-US" w:eastAsia="zh-CN" w:bidi="ar-SA"/>
        </w:rPr>
      </w:pPr>
      <w:r>
        <w:rPr>
          <w:rFonts w:hint="eastAsia" w:ascii="楷体_GB2312" w:hAnsi="楷体_GB2312" w:eastAsia="楷体_GB2312" w:cs="楷体_GB2312"/>
          <w:b w:val="0"/>
          <w:bCs w:val="0"/>
          <w:sz w:val="32"/>
          <w:szCs w:val="32"/>
          <w:lang w:val="en-US" w:eastAsia="zh-CN"/>
        </w:rPr>
        <w:t>（五）积极开展农作物秸秆资源台账建设。</w:t>
      </w:r>
      <w:r>
        <w:rPr>
          <w:rFonts w:hint="eastAsia" w:ascii="仿宋_GB2312" w:eastAsia="仿宋_GB2312"/>
          <w:color w:val="auto"/>
          <w:spacing w:val="0"/>
          <w:kern w:val="0"/>
          <w:sz w:val="32"/>
          <w:szCs w:val="32"/>
        </w:rPr>
        <w:t>根据秸秆资源台账系统平台建设要求，更新设备，配备人员开展培训，建立乡村两级所有农作物种植面积、种类、秸秆综合利用情况资源详细台账，全面摸排秸秆利用社会化服务组织和市场主体，做到底清数明、数据详实，为做好秸秆综合利用工作奠定科学的数据基础，为制定秸秆综合利用政策、规划布局、产业发展等提供数据支撑。</w:t>
      </w:r>
    </w:p>
    <w:p w14:paraId="6F14890D">
      <w:pPr>
        <w:pStyle w:val="11"/>
        <w:keepNext w:val="0"/>
        <w:keepLines w:val="0"/>
        <w:pageBreakBefore w:val="0"/>
        <w:widowControl w:val="0"/>
        <w:kinsoku/>
        <w:wordWrap/>
        <w:overflowPunct w:val="0"/>
        <w:topLinePunct w:val="0"/>
        <w:autoSpaceDE/>
        <w:autoSpaceDN/>
        <w:bidi w:val="0"/>
        <w:adjustRightInd/>
        <w:snapToGrid w:val="0"/>
        <w:spacing w:beforeAutospacing="0" w:afterAutospacing="0" w:line="560" w:lineRule="exact"/>
        <w:ind w:firstLine="640" w:firstLineChars="200"/>
        <w:jc w:val="left"/>
        <w:textAlignment w:val="auto"/>
        <w:rPr>
          <w:rFonts w:hint="eastAsia" w:ascii="仿宋_GB2312" w:eastAsia="仿宋_GB2312"/>
          <w:color w:val="auto"/>
          <w:spacing w:val="0"/>
          <w:kern w:val="0"/>
          <w:sz w:val="32"/>
          <w:szCs w:val="32"/>
          <w:u w:val="none"/>
          <w:lang w:eastAsia="zh-CN"/>
        </w:rPr>
      </w:pPr>
      <w:r>
        <w:rPr>
          <w:rFonts w:hint="eastAsia" w:ascii="楷体_GB2312" w:hAnsi="楷体_GB2312" w:eastAsia="楷体_GB2312" w:cs="楷体_GB2312"/>
          <w:b w:val="0"/>
          <w:bCs w:val="0"/>
          <w:kern w:val="2"/>
          <w:sz w:val="32"/>
          <w:szCs w:val="32"/>
          <w:lang w:val="en-US" w:eastAsia="zh-CN" w:bidi="ar-SA"/>
        </w:rPr>
        <w:t>（六）提升现代农机智慧监测能力。</w:t>
      </w:r>
      <w:r>
        <w:rPr>
          <w:rFonts w:hint="eastAsia" w:ascii="仿宋_GB2312" w:eastAsia="仿宋_GB2312"/>
          <w:color w:val="auto"/>
          <w:spacing w:val="0"/>
          <w:kern w:val="0"/>
          <w:sz w:val="32"/>
          <w:szCs w:val="32"/>
        </w:rPr>
        <w:t>积极推进“互联网+农机作业”，构建“智慧农机”体系</w:t>
      </w:r>
      <w:r>
        <w:rPr>
          <w:rFonts w:hint="eastAsia" w:ascii="仿宋_GB2312" w:eastAsia="仿宋_GB2312"/>
          <w:color w:val="auto"/>
          <w:spacing w:val="0"/>
          <w:kern w:val="0"/>
          <w:sz w:val="32"/>
          <w:szCs w:val="32"/>
          <w:lang w:eastAsia="zh-CN"/>
        </w:rPr>
        <w:t>。</w:t>
      </w:r>
      <w:r>
        <w:rPr>
          <w:rFonts w:hint="eastAsia" w:ascii="仿宋" w:hAnsi="仿宋" w:eastAsia="仿宋" w:cs="仿宋"/>
          <w:color w:val="auto"/>
          <w:spacing w:val="0"/>
          <w:kern w:val="0"/>
          <w:sz w:val="32"/>
          <w:szCs w:val="32"/>
          <w:lang w:eastAsia="zh-CN"/>
        </w:rPr>
        <w:t>各乡</w:t>
      </w:r>
      <w:r>
        <w:rPr>
          <w:rFonts w:hint="eastAsia" w:ascii="仿宋_GB2312" w:eastAsia="仿宋_GB2312"/>
          <w:color w:val="auto"/>
          <w:spacing w:val="0"/>
          <w:kern w:val="0"/>
          <w:sz w:val="32"/>
          <w:szCs w:val="32"/>
        </w:rPr>
        <w:t>（镇）</w:t>
      </w:r>
      <w:r>
        <w:rPr>
          <w:rFonts w:hint="eastAsia" w:ascii="仿宋" w:hAnsi="仿宋" w:eastAsia="仿宋" w:cs="仿宋"/>
          <w:color w:val="auto"/>
          <w:spacing w:val="0"/>
          <w:kern w:val="0"/>
          <w:sz w:val="32"/>
          <w:szCs w:val="32"/>
          <w:lang w:eastAsia="zh-CN"/>
        </w:rPr>
        <w:t>要强化宣传，</w:t>
      </w:r>
      <w:r>
        <w:rPr>
          <w:rFonts w:hint="eastAsia" w:ascii="仿宋" w:hAnsi="仿宋" w:eastAsia="仿宋" w:cs="仿宋"/>
          <w:color w:val="auto"/>
          <w:spacing w:val="0"/>
          <w:kern w:val="0"/>
          <w:sz w:val="32"/>
          <w:szCs w:val="32"/>
          <w:lang w:val="en-US" w:eastAsia="zh-CN"/>
        </w:rPr>
        <w:t>组织</w:t>
      </w:r>
      <w:r>
        <w:rPr>
          <w:rFonts w:hint="eastAsia" w:ascii="仿宋" w:hAnsi="仿宋" w:eastAsia="仿宋" w:cs="仿宋"/>
          <w:color w:val="auto"/>
          <w:spacing w:val="0"/>
          <w:kern w:val="0"/>
          <w:sz w:val="32"/>
          <w:szCs w:val="32"/>
          <w:lang w:eastAsia="zh-CN"/>
        </w:rPr>
        <w:t>机手自愿自行安装农机智慧终端</w:t>
      </w:r>
      <w:r>
        <w:rPr>
          <w:rFonts w:hint="eastAsia" w:ascii="仿宋" w:hAnsi="仿宋" w:eastAsia="仿宋" w:cs="仿宋"/>
          <w:color w:val="auto"/>
          <w:spacing w:val="0"/>
          <w:kern w:val="0"/>
          <w:sz w:val="32"/>
          <w:szCs w:val="32"/>
          <w:lang w:val="en-US" w:eastAsia="zh-CN"/>
        </w:rPr>
        <w:t>。</w:t>
      </w:r>
      <w:r>
        <w:rPr>
          <w:rFonts w:hint="eastAsia" w:ascii="仿宋" w:hAnsi="仿宋" w:eastAsia="仿宋" w:cs="仿宋"/>
          <w:color w:val="auto"/>
          <w:spacing w:val="0"/>
          <w:kern w:val="0"/>
          <w:sz w:val="32"/>
          <w:szCs w:val="32"/>
          <w:lang w:eastAsia="zh-CN"/>
        </w:rPr>
        <w:t>安装工作要与县农业农村局环保站对接，所装终端要与县级系统兼容匹配，以便</w:t>
      </w:r>
      <w:r>
        <w:rPr>
          <w:rFonts w:hint="eastAsia" w:ascii="仿宋" w:hAnsi="仿宋" w:eastAsia="仿宋" w:cs="仿宋"/>
          <w:color w:val="auto"/>
          <w:spacing w:val="0"/>
          <w:kern w:val="0"/>
          <w:sz w:val="32"/>
          <w:szCs w:val="32"/>
        </w:rPr>
        <w:t>全面监控农机运行轨</w:t>
      </w:r>
      <w:r>
        <w:rPr>
          <w:rFonts w:hint="eastAsia" w:ascii="仿宋_GB2312" w:eastAsia="仿宋_GB2312"/>
          <w:color w:val="auto"/>
          <w:spacing w:val="0"/>
          <w:kern w:val="0"/>
          <w:sz w:val="32"/>
          <w:szCs w:val="32"/>
        </w:rPr>
        <w:t>迹、作业面积、作业质量，实现远程数据采集、数据存储、数据传输，定位作业、动态管理、应急调度全覆盖</w:t>
      </w:r>
      <w:r>
        <w:rPr>
          <w:rFonts w:hint="eastAsia" w:ascii="仿宋_GB2312" w:eastAsia="仿宋_GB2312"/>
          <w:color w:val="auto"/>
          <w:spacing w:val="0"/>
          <w:kern w:val="0"/>
          <w:sz w:val="32"/>
          <w:szCs w:val="32"/>
          <w:lang w:eastAsia="zh-CN"/>
        </w:rPr>
        <w:t>，</w:t>
      </w:r>
      <w:r>
        <w:rPr>
          <w:rFonts w:hint="eastAsia" w:ascii="仿宋_GB2312" w:eastAsia="仿宋_GB2312"/>
          <w:color w:val="auto"/>
          <w:spacing w:val="0"/>
          <w:kern w:val="0"/>
          <w:sz w:val="32"/>
          <w:szCs w:val="32"/>
        </w:rPr>
        <w:t>为我县秸秆综合利用及农业生产工作的开展提供大数据基础。</w:t>
      </w:r>
      <w:r>
        <w:rPr>
          <w:rFonts w:hint="eastAsia" w:ascii="仿宋_GB2312" w:eastAsia="仿宋_GB2312"/>
          <w:color w:val="auto"/>
          <w:spacing w:val="0"/>
          <w:kern w:val="0"/>
          <w:sz w:val="32"/>
          <w:szCs w:val="32"/>
          <w:u w:val="none"/>
          <w:lang w:eastAsia="zh-CN"/>
        </w:rPr>
        <w:t>对于前期已安装的农机智慧终端设备逐步进行北斗主机更换。</w:t>
      </w:r>
    </w:p>
    <w:p w14:paraId="17A186DD">
      <w:pPr>
        <w:pStyle w:val="11"/>
        <w:keepNext w:val="0"/>
        <w:keepLines w:val="0"/>
        <w:pageBreakBefore w:val="0"/>
        <w:widowControl w:val="0"/>
        <w:kinsoku/>
        <w:wordWrap/>
        <w:overflowPunct w:val="0"/>
        <w:topLinePunct w:val="0"/>
        <w:autoSpaceDE/>
        <w:autoSpaceDN/>
        <w:bidi w:val="0"/>
        <w:adjustRightInd/>
        <w:spacing w:line="560" w:lineRule="exact"/>
        <w:ind w:firstLine="640" w:firstLineChars="200"/>
        <w:textAlignment w:val="auto"/>
        <w:rPr>
          <w:rFonts w:hint="eastAsia" w:ascii="仿宋_GB2312" w:eastAsia="仿宋_GB2312"/>
          <w:color w:val="auto"/>
          <w:spacing w:val="0"/>
          <w:kern w:val="0"/>
          <w:sz w:val="32"/>
          <w:szCs w:val="32"/>
        </w:rPr>
      </w:pPr>
      <w:r>
        <w:rPr>
          <w:rFonts w:hint="eastAsia" w:ascii="楷体_GB2312" w:hAnsi="楷体_GB2312" w:eastAsia="楷体_GB2312" w:cs="楷体_GB2312"/>
          <w:b w:val="0"/>
          <w:bCs w:val="0"/>
          <w:kern w:val="2"/>
          <w:sz w:val="32"/>
          <w:szCs w:val="32"/>
          <w:lang w:val="en-US" w:eastAsia="zh-CN" w:bidi="ar-SA"/>
        </w:rPr>
        <w:t>（七）开展生态效应监测。</w:t>
      </w:r>
      <w:r>
        <w:rPr>
          <w:rFonts w:hint="eastAsia" w:ascii="仿宋_GB2312" w:eastAsia="仿宋_GB2312"/>
          <w:color w:val="auto"/>
          <w:spacing w:val="0"/>
          <w:kern w:val="0"/>
          <w:sz w:val="32"/>
          <w:szCs w:val="32"/>
        </w:rPr>
        <w:t>在省市农业部门指导下</w:t>
      </w:r>
      <w:r>
        <w:rPr>
          <w:rFonts w:hint="eastAsia" w:ascii="仿宋_GB2312" w:eastAsia="仿宋_GB2312"/>
          <w:color w:val="auto"/>
          <w:spacing w:val="0"/>
          <w:kern w:val="0"/>
          <w:sz w:val="32"/>
          <w:szCs w:val="32"/>
          <w:lang w:eastAsia="zh-CN"/>
        </w:rPr>
        <w:t>持续</w:t>
      </w:r>
      <w:r>
        <w:rPr>
          <w:rFonts w:hint="eastAsia" w:ascii="仿宋_GB2312" w:eastAsia="仿宋_GB2312"/>
          <w:color w:val="auto"/>
          <w:spacing w:val="0"/>
          <w:kern w:val="0"/>
          <w:sz w:val="32"/>
          <w:szCs w:val="32"/>
        </w:rPr>
        <w:t>开展秸秆还田效应监测与评价，继续在演礼镇</w:t>
      </w:r>
      <w:r>
        <w:rPr>
          <w:rFonts w:hint="eastAsia" w:ascii="仿宋_GB2312" w:eastAsia="仿宋_GB2312"/>
          <w:color w:val="auto"/>
          <w:spacing w:val="0"/>
          <w:kern w:val="0"/>
          <w:sz w:val="32"/>
          <w:szCs w:val="32"/>
          <w:lang w:eastAsia="zh-CN"/>
        </w:rPr>
        <w:t>和</w:t>
      </w:r>
      <w:r>
        <w:rPr>
          <w:rFonts w:hint="eastAsia" w:ascii="仿宋_GB2312" w:eastAsia="仿宋_GB2312"/>
          <w:color w:val="auto"/>
          <w:spacing w:val="0"/>
          <w:kern w:val="0"/>
          <w:sz w:val="32"/>
          <w:szCs w:val="32"/>
          <w:lang w:val="en-US" w:eastAsia="zh-CN"/>
        </w:rPr>
        <w:t>东冶镇</w:t>
      </w:r>
      <w:r>
        <w:rPr>
          <w:rFonts w:hint="eastAsia" w:ascii="仿宋_GB2312" w:eastAsia="仿宋_GB2312"/>
          <w:color w:val="auto"/>
          <w:spacing w:val="0"/>
          <w:kern w:val="0"/>
          <w:sz w:val="32"/>
          <w:szCs w:val="32"/>
        </w:rPr>
        <w:t>布设</w:t>
      </w:r>
      <w:r>
        <w:rPr>
          <w:rFonts w:hint="eastAsia" w:ascii="仿宋_GB2312" w:eastAsia="仿宋_GB2312"/>
          <w:color w:val="auto"/>
          <w:spacing w:val="0"/>
          <w:kern w:val="0"/>
          <w:sz w:val="32"/>
          <w:szCs w:val="32"/>
          <w:lang w:val="en-US" w:eastAsia="zh-CN"/>
        </w:rPr>
        <w:t>2个</w:t>
      </w:r>
      <w:r>
        <w:rPr>
          <w:rFonts w:hint="eastAsia" w:ascii="仿宋_GB2312" w:eastAsia="仿宋_GB2312"/>
          <w:color w:val="auto"/>
          <w:spacing w:val="0"/>
          <w:kern w:val="0"/>
          <w:sz w:val="32"/>
          <w:szCs w:val="32"/>
        </w:rPr>
        <w:t>秸秆还田生态效应监测点位，完善秸秆还田生态效应评价指标及监测方法，积累秸秆还田生态效应大数据，科学评价秸秆还田的生态环境效应，为指导秸秆还田生产实际、优化秸秆还田技术模式、辅助秸秆还田等有关决策提供充分的科学理论依据。</w:t>
      </w:r>
    </w:p>
    <w:p w14:paraId="54824C3C">
      <w:pPr>
        <w:pStyle w:val="11"/>
        <w:keepNext w:val="0"/>
        <w:keepLines w:val="0"/>
        <w:pageBreakBefore w:val="0"/>
        <w:widowControl w:val="0"/>
        <w:kinsoku/>
        <w:wordWrap/>
        <w:overflowPunct w:val="0"/>
        <w:topLinePunct w:val="0"/>
        <w:autoSpaceDE/>
        <w:autoSpaceDN/>
        <w:bidi w:val="0"/>
        <w:adjustRightInd/>
        <w:spacing w:line="560" w:lineRule="exact"/>
        <w:ind w:firstLine="640" w:firstLineChars="200"/>
        <w:textAlignment w:val="auto"/>
        <w:rPr>
          <w:rFonts w:hint="eastAsia" w:ascii="仿宋_GB2312" w:eastAsia="仿宋_GB2312"/>
          <w:color w:val="auto"/>
          <w:spacing w:val="0"/>
          <w:kern w:val="0"/>
          <w:sz w:val="32"/>
          <w:szCs w:val="32"/>
        </w:rPr>
      </w:pPr>
      <w:r>
        <w:rPr>
          <w:rFonts w:hint="eastAsia" w:ascii="楷体_GB2312" w:hAnsi="楷体_GB2312" w:eastAsia="楷体_GB2312" w:cs="楷体_GB2312"/>
          <w:b w:val="0"/>
          <w:bCs w:val="0"/>
          <w:kern w:val="2"/>
          <w:sz w:val="32"/>
          <w:szCs w:val="32"/>
          <w:lang w:val="en-US" w:eastAsia="zh-CN" w:bidi="ar-SA"/>
        </w:rPr>
        <w:t>（八）加强秸秆禁烧监管和综合利用激励奖补。</w:t>
      </w:r>
      <w:r>
        <w:rPr>
          <w:rFonts w:hint="eastAsia" w:ascii="仿宋_GB2312" w:eastAsia="仿宋_GB2312"/>
          <w:color w:val="auto"/>
          <w:spacing w:val="0"/>
          <w:kern w:val="0"/>
          <w:sz w:val="32"/>
          <w:szCs w:val="32"/>
        </w:rPr>
        <w:t>为全面落实好202</w:t>
      </w:r>
      <w:r>
        <w:rPr>
          <w:rFonts w:hint="eastAsia" w:ascii="仿宋_GB2312" w:eastAsia="仿宋_GB2312"/>
          <w:color w:val="auto"/>
          <w:spacing w:val="0"/>
          <w:kern w:val="0"/>
          <w:sz w:val="32"/>
          <w:szCs w:val="32"/>
          <w:lang w:val="en-US" w:eastAsia="zh-CN"/>
        </w:rPr>
        <w:t>6</w:t>
      </w:r>
      <w:r>
        <w:rPr>
          <w:rFonts w:hint="eastAsia" w:ascii="仿宋_GB2312" w:eastAsia="仿宋_GB2312"/>
          <w:color w:val="auto"/>
          <w:spacing w:val="0"/>
          <w:kern w:val="0"/>
          <w:sz w:val="32"/>
          <w:szCs w:val="32"/>
        </w:rPr>
        <w:t>年度秸秆禁烧和综合利用重点任务，按照《阳城县推进农作物秸秆综合利用和禁止露天焚烧实施办法》要求，各乡（镇）要严格落实秸秆禁烧和综合利用工作主体责任，积极开展整乡（镇）、整村推进工作，有效提高秸秆综合利用水平；生态环境、林业、公安部门和各乡（镇）人民政府要加强秸秆露天焚烧的</w:t>
      </w:r>
      <w:r>
        <w:rPr>
          <w:rFonts w:hint="eastAsia" w:ascii="仿宋_GB2312" w:eastAsia="仿宋_GB2312"/>
          <w:color w:val="auto"/>
          <w:spacing w:val="0"/>
          <w:kern w:val="0"/>
          <w:sz w:val="32"/>
          <w:szCs w:val="32"/>
          <w:lang w:eastAsia="zh-CN"/>
        </w:rPr>
        <w:t>监管</w:t>
      </w:r>
      <w:r>
        <w:rPr>
          <w:rFonts w:hint="eastAsia" w:ascii="仿宋_GB2312" w:eastAsia="仿宋_GB2312"/>
          <w:color w:val="auto"/>
          <w:spacing w:val="0"/>
          <w:kern w:val="0"/>
          <w:sz w:val="32"/>
          <w:szCs w:val="32"/>
        </w:rPr>
        <w:t>、检查、处罚，建立健全部门联动、乡（镇）为主、村组落实的防控机制，实施乡（镇）、村、组三级网格化监管，有效杜绝秸秆焚烧现象；农业农村部门要及时研究秸秆综合利用的重大问题，宣传推广秸秆机械化还田、离田利用先进技术和机具，开展秸秆收储运用体系建设、技术指导、宣传教育培训，</w:t>
      </w:r>
      <w:r>
        <w:rPr>
          <w:rFonts w:hint="eastAsia" w:ascii="仿宋_GB2312" w:eastAsia="仿宋_GB2312"/>
          <w:color w:val="auto"/>
          <w:spacing w:val="0"/>
          <w:kern w:val="0"/>
          <w:sz w:val="32"/>
          <w:szCs w:val="32"/>
          <w:lang w:eastAsia="zh-CN"/>
        </w:rPr>
        <w:t>建立健全秸秆综合利用激励奖补机制</w:t>
      </w:r>
      <w:r>
        <w:rPr>
          <w:rFonts w:hint="eastAsia" w:ascii="仿宋_GB2312" w:eastAsia="仿宋_GB2312"/>
          <w:color w:val="auto"/>
          <w:spacing w:val="0"/>
          <w:kern w:val="0"/>
          <w:sz w:val="32"/>
          <w:szCs w:val="32"/>
        </w:rPr>
        <w:t>，对组织不力、监管不严、处置不当、失职渎职、由市级以上生态环境部门通报发生火情</w:t>
      </w:r>
      <w:r>
        <w:rPr>
          <w:rFonts w:hint="eastAsia" w:ascii="仿宋_GB2312" w:eastAsia="仿宋_GB2312"/>
          <w:color w:val="auto"/>
          <w:spacing w:val="0"/>
          <w:kern w:val="0"/>
          <w:sz w:val="32"/>
          <w:szCs w:val="32"/>
          <w:lang w:eastAsia="zh-CN"/>
        </w:rPr>
        <w:t>和秸秆乱堆乱放、随处抛洒，影响农村人居环境现象</w:t>
      </w:r>
      <w:r>
        <w:rPr>
          <w:rFonts w:hint="eastAsia" w:ascii="仿宋_GB2312" w:eastAsia="仿宋_GB2312"/>
          <w:color w:val="auto"/>
          <w:spacing w:val="0"/>
          <w:kern w:val="0"/>
          <w:sz w:val="32"/>
          <w:szCs w:val="32"/>
        </w:rPr>
        <w:t>，</w:t>
      </w:r>
      <w:r>
        <w:rPr>
          <w:rFonts w:hint="eastAsia" w:ascii="仿宋_GB2312" w:eastAsia="仿宋_GB2312"/>
          <w:color w:val="auto"/>
          <w:spacing w:val="0"/>
          <w:kern w:val="0"/>
          <w:sz w:val="32"/>
          <w:szCs w:val="32"/>
          <w:lang w:eastAsia="zh-CN"/>
        </w:rPr>
        <w:t>与奖补挂钩。对发生</w:t>
      </w:r>
      <w:r>
        <w:rPr>
          <w:rFonts w:hint="eastAsia" w:ascii="仿宋_GB2312" w:eastAsia="仿宋_GB2312"/>
          <w:color w:val="auto"/>
          <w:spacing w:val="0"/>
          <w:kern w:val="0"/>
          <w:sz w:val="32"/>
          <w:szCs w:val="32"/>
        </w:rPr>
        <w:t>大面积焚烧秸秆</w:t>
      </w:r>
      <w:r>
        <w:rPr>
          <w:rFonts w:hint="eastAsia" w:ascii="仿宋_GB2312" w:eastAsia="仿宋_GB2312"/>
          <w:color w:val="auto"/>
          <w:spacing w:val="0"/>
          <w:kern w:val="0"/>
          <w:sz w:val="32"/>
          <w:szCs w:val="32"/>
          <w:lang w:eastAsia="zh-CN"/>
        </w:rPr>
        <w:t>、</w:t>
      </w:r>
      <w:r>
        <w:rPr>
          <w:rFonts w:hint="eastAsia" w:ascii="仿宋_GB2312" w:eastAsia="仿宋_GB2312"/>
          <w:color w:val="auto"/>
          <w:spacing w:val="0"/>
          <w:kern w:val="0"/>
          <w:sz w:val="32"/>
          <w:szCs w:val="32"/>
        </w:rPr>
        <w:t>造成</w:t>
      </w:r>
      <w:r>
        <w:rPr>
          <w:rFonts w:hint="eastAsia" w:ascii="仿宋_GB2312" w:eastAsia="仿宋_GB2312"/>
          <w:color w:val="auto"/>
          <w:spacing w:val="0"/>
          <w:kern w:val="0"/>
          <w:sz w:val="32"/>
          <w:szCs w:val="32"/>
          <w:lang w:eastAsia="zh-CN"/>
        </w:rPr>
        <w:t>较大社会影响的</w:t>
      </w:r>
      <w:r>
        <w:rPr>
          <w:rFonts w:hint="eastAsia" w:ascii="仿宋_GB2312" w:eastAsia="仿宋_GB2312"/>
          <w:color w:val="auto"/>
          <w:spacing w:val="0"/>
          <w:kern w:val="0"/>
          <w:sz w:val="32"/>
          <w:szCs w:val="32"/>
        </w:rPr>
        <w:t>，</w:t>
      </w:r>
      <w:r>
        <w:rPr>
          <w:rFonts w:hint="eastAsia" w:ascii="仿宋_GB2312" w:eastAsia="仿宋_GB2312"/>
          <w:color w:val="auto"/>
          <w:spacing w:val="0"/>
          <w:kern w:val="0"/>
          <w:sz w:val="32"/>
          <w:szCs w:val="32"/>
          <w:lang w:eastAsia="zh-CN"/>
        </w:rPr>
        <w:t>要</w:t>
      </w:r>
      <w:r>
        <w:rPr>
          <w:rFonts w:hint="eastAsia" w:ascii="仿宋_GB2312" w:eastAsia="仿宋_GB2312"/>
          <w:color w:val="auto"/>
          <w:spacing w:val="0"/>
          <w:kern w:val="0"/>
          <w:sz w:val="32"/>
          <w:szCs w:val="32"/>
        </w:rPr>
        <w:t>严肃追责问责。</w:t>
      </w:r>
    </w:p>
    <w:p w14:paraId="1DF57649">
      <w:pPr>
        <w:pStyle w:val="11"/>
        <w:keepNext w:val="0"/>
        <w:keepLines w:val="0"/>
        <w:pageBreakBefore w:val="0"/>
        <w:widowControl w:val="0"/>
        <w:kinsoku/>
        <w:wordWrap/>
        <w:overflowPunct w:val="0"/>
        <w:topLinePunct w:val="0"/>
        <w:autoSpaceDE/>
        <w:autoSpaceDN/>
        <w:bidi w:val="0"/>
        <w:adjustRightInd/>
        <w:spacing w:line="560" w:lineRule="exact"/>
        <w:ind w:firstLine="640" w:firstLineChars="200"/>
        <w:textAlignment w:val="auto"/>
        <w:rPr>
          <w:rFonts w:hint="eastAsia" w:ascii="黑体" w:hAnsi="黑体" w:eastAsia="黑体" w:cs="黑体"/>
          <w:color w:val="auto"/>
          <w:spacing w:val="0"/>
          <w:kern w:val="0"/>
          <w:sz w:val="32"/>
          <w:szCs w:val="32"/>
        </w:rPr>
      </w:pPr>
      <w:r>
        <w:rPr>
          <w:rFonts w:hint="eastAsia" w:ascii="黑体" w:hAnsi="黑体" w:eastAsia="黑体" w:cs="黑体"/>
          <w:color w:val="auto"/>
          <w:spacing w:val="0"/>
          <w:kern w:val="0"/>
          <w:sz w:val="32"/>
          <w:szCs w:val="32"/>
        </w:rPr>
        <w:t>四、工作要求</w:t>
      </w:r>
    </w:p>
    <w:p w14:paraId="27D717ED">
      <w:pPr>
        <w:pStyle w:val="11"/>
        <w:keepNext w:val="0"/>
        <w:keepLines w:val="0"/>
        <w:pageBreakBefore w:val="0"/>
        <w:widowControl w:val="0"/>
        <w:kinsoku/>
        <w:wordWrap/>
        <w:overflowPunct w:val="0"/>
        <w:topLinePunct w:val="0"/>
        <w:autoSpaceDE/>
        <w:autoSpaceDN/>
        <w:bidi w:val="0"/>
        <w:adjustRightInd/>
        <w:spacing w:line="560" w:lineRule="exact"/>
        <w:ind w:firstLine="640" w:firstLineChars="200"/>
        <w:textAlignment w:val="auto"/>
        <w:rPr>
          <w:rFonts w:hint="eastAsia" w:ascii="仿宋_GB2312" w:eastAsia="仿宋_GB2312"/>
          <w:color w:val="auto"/>
          <w:spacing w:val="0"/>
          <w:kern w:val="0"/>
          <w:sz w:val="32"/>
          <w:szCs w:val="32"/>
        </w:rPr>
      </w:pPr>
      <w:r>
        <w:rPr>
          <w:rFonts w:hint="eastAsia" w:ascii="楷体_GB2312" w:hAnsi="楷体_GB2312" w:eastAsia="楷体_GB2312" w:cs="楷体_GB2312"/>
          <w:b w:val="0"/>
          <w:bCs w:val="0"/>
          <w:kern w:val="2"/>
          <w:sz w:val="32"/>
          <w:szCs w:val="32"/>
          <w:lang w:val="en-US" w:eastAsia="zh-CN" w:bidi="ar-SA"/>
        </w:rPr>
        <w:t>（一）加强组织领导。</w:t>
      </w:r>
      <w:r>
        <w:rPr>
          <w:rFonts w:hint="eastAsia" w:ascii="仿宋_GB2312" w:eastAsia="仿宋_GB2312"/>
          <w:color w:val="auto"/>
          <w:spacing w:val="0"/>
          <w:kern w:val="0"/>
          <w:sz w:val="32"/>
          <w:szCs w:val="32"/>
        </w:rPr>
        <w:t>各乡（镇）要加强组织推动，成立工作</w:t>
      </w:r>
      <w:r>
        <w:rPr>
          <w:rFonts w:hint="eastAsia" w:ascii="仿宋_GB2312" w:eastAsia="仿宋_GB2312"/>
          <w:color w:val="auto"/>
          <w:spacing w:val="0"/>
          <w:kern w:val="0"/>
          <w:sz w:val="32"/>
          <w:szCs w:val="32"/>
          <w:lang w:eastAsia="zh-CN"/>
        </w:rPr>
        <w:t>专班</w:t>
      </w:r>
      <w:r>
        <w:rPr>
          <w:rFonts w:hint="eastAsia" w:ascii="仿宋_GB2312" w:eastAsia="仿宋_GB2312"/>
          <w:color w:val="auto"/>
          <w:spacing w:val="0"/>
          <w:kern w:val="0"/>
          <w:sz w:val="32"/>
          <w:szCs w:val="32"/>
        </w:rPr>
        <w:t>，因地制宜地制定本乡（镇）实施方案，明确工作目标，实化工作举措，强化责任落实，形成“责有人担、事有人管、活有人干”的良好氛围，同时做好辖区内乡（镇）秸秆收储站和村级收储点常态化安全监管，扎实推进秸秆综合利用各项工作落实落地。</w:t>
      </w:r>
    </w:p>
    <w:p w14:paraId="2DBE4C2B">
      <w:pPr>
        <w:pStyle w:val="11"/>
        <w:keepNext w:val="0"/>
        <w:keepLines w:val="0"/>
        <w:pageBreakBefore w:val="0"/>
        <w:widowControl w:val="0"/>
        <w:kinsoku/>
        <w:wordWrap/>
        <w:overflowPunct w:val="0"/>
        <w:topLinePunct w:val="0"/>
        <w:autoSpaceDE/>
        <w:autoSpaceDN/>
        <w:bidi w:val="0"/>
        <w:adjustRightInd/>
        <w:spacing w:line="560" w:lineRule="exact"/>
        <w:ind w:firstLine="640" w:firstLineChars="200"/>
        <w:textAlignment w:val="auto"/>
        <w:rPr>
          <w:rFonts w:hint="eastAsia" w:ascii="仿宋_GB2312" w:eastAsia="仿宋_GB2312"/>
          <w:color w:val="auto"/>
          <w:spacing w:val="0"/>
          <w:kern w:val="0"/>
          <w:sz w:val="32"/>
          <w:szCs w:val="32"/>
        </w:rPr>
      </w:pPr>
      <w:r>
        <w:rPr>
          <w:rFonts w:hint="eastAsia" w:ascii="楷体_GB2312" w:hAnsi="楷体_GB2312" w:eastAsia="楷体_GB2312" w:cs="楷体_GB2312"/>
          <w:b w:val="0"/>
          <w:bCs w:val="0"/>
          <w:kern w:val="2"/>
          <w:sz w:val="32"/>
          <w:szCs w:val="32"/>
          <w:lang w:val="en-US" w:eastAsia="zh-CN" w:bidi="ar-SA"/>
        </w:rPr>
        <w:t>（二）加强政策保障。</w:t>
      </w:r>
      <w:r>
        <w:rPr>
          <w:rFonts w:hint="eastAsia" w:ascii="仿宋_GB2312" w:eastAsia="仿宋_GB2312"/>
          <w:color w:val="auto"/>
          <w:spacing w:val="0"/>
          <w:kern w:val="0"/>
          <w:sz w:val="32"/>
          <w:szCs w:val="32"/>
        </w:rPr>
        <w:t>各乡（镇）要认真贯彻落实省人大常委会《关于促进农作物秸秆综合利用和禁止露天焚烧的决定》和《阳城县推进农作物秸秆综合利用和禁止露天焚烧实施办法》，推动地方落实税收、信贷、用地、用电、运输等方面的优惠政策措施</w:t>
      </w:r>
      <w:r>
        <w:rPr>
          <w:rFonts w:hint="eastAsia" w:ascii="仿宋_GB2312" w:eastAsia="仿宋_GB2312"/>
          <w:color w:val="auto"/>
          <w:spacing w:val="0"/>
          <w:kern w:val="0"/>
          <w:sz w:val="32"/>
          <w:szCs w:val="32"/>
          <w:lang w:eastAsia="zh-CN"/>
        </w:rPr>
        <w:t>，</w:t>
      </w:r>
      <w:r>
        <w:rPr>
          <w:rFonts w:hint="eastAsia" w:ascii="仿宋_GB2312" w:eastAsia="仿宋_GB2312"/>
          <w:color w:val="auto"/>
          <w:spacing w:val="0"/>
          <w:kern w:val="0"/>
          <w:sz w:val="32"/>
          <w:szCs w:val="32"/>
        </w:rPr>
        <w:t>加大向秸秆还田、</w:t>
      </w:r>
      <w:r>
        <w:rPr>
          <w:rFonts w:hint="eastAsia" w:ascii="仿宋_GB2312" w:eastAsia="仿宋_GB2312"/>
          <w:color w:val="auto"/>
          <w:spacing w:val="0"/>
          <w:kern w:val="0"/>
          <w:sz w:val="32"/>
          <w:szCs w:val="32"/>
          <w:lang w:eastAsia="zh-CN"/>
        </w:rPr>
        <w:t>离田</w:t>
      </w:r>
      <w:r>
        <w:rPr>
          <w:rFonts w:hint="eastAsia" w:ascii="仿宋_GB2312" w:eastAsia="仿宋_GB2312"/>
          <w:color w:val="auto"/>
          <w:spacing w:val="0"/>
          <w:kern w:val="0"/>
          <w:sz w:val="32"/>
          <w:szCs w:val="32"/>
        </w:rPr>
        <w:t>收储运、加工利用等方面的支持力度，推动秸秆综合利用产业化发展。</w:t>
      </w:r>
    </w:p>
    <w:p w14:paraId="43EBF820">
      <w:pPr>
        <w:pStyle w:val="11"/>
        <w:keepNext w:val="0"/>
        <w:keepLines w:val="0"/>
        <w:pageBreakBefore w:val="0"/>
        <w:widowControl w:val="0"/>
        <w:kinsoku/>
        <w:wordWrap/>
        <w:overflowPunct w:val="0"/>
        <w:topLinePunct w:val="0"/>
        <w:autoSpaceDE/>
        <w:autoSpaceDN/>
        <w:bidi w:val="0"/>
        <w:adjustRightInd/>
        <w:spacing w:line="560" w:lineRule="exact"/>
        <w:ind w:firstLine="640" w:firstLineChars="200"/>
        <w:textAlignment w:val="auto"/>
        <w:rPr>
          <w:rFonts w:hint="eastAsia" w:ascii="仿宋_GB2312" w:eastAsia="仿宋_GB2312"/>
          <w:color w:val="auto"/>
          <w:spacing w:val="0"/>
          <w:kern w:val="0"/>
          <w:sz w:val="32"/>
          <w:szCs w:val="32"/>
        </w:rPr>
      </w:pPr>
      <w:r>
        <w:rPr>
          <w:rFonts w:hint="eastAsia" w:ascii="楷体_GB2312" w:hAnsi="楷体_GB2312" w:eastAsia="楷体_GB2312" w:cs="楷体_GB2312"/>
          <w:b w:val="0"/>
          <w:bCs w:val="0"/>
          <w:kern w:val="2"/>
          <w:sz w:val="32"/>
          <w:szCs w:val="32"/>
          <w:lang w:val="en-US" w:eastAsia="zh-CN" w:bidi="ar-SA"/>
        </w:rPr>
        <w:t>（三）强化技术支撑。</w:t>
      </w:r>
      <w:r>
        <w:rPr>
          <w:rFonts w:hint="eastAsia" w:ascii="仿宋_GB2312" w:eastAsia="仿宋_GB2312"/>
          <w:color w:val="auto"/>
          <w:spacing w:val="0"/>
          <w:kern w:val="0"/>
          <w:sz w:val="32"/>
          <w:szCs w:val="32"/>
        </w:rPr>
        <w:t>要充分依托地方技术力量，组建秸秆综合利用技术专家组，指导建立农作物秸秆从收到用全链条利用模式，确定区域主推技术和技术路线，并为秸秆综合利用方案制定、任务落实提供决策咨询服务。</w:t>
      </w:r>
    </w:p>
    <w:p w14:paraId="544996D8">
      <w:pPr>
        <w:pStyle w:val="11"/>
        <w:keepNext w:val="0"/>
        <w:keepLines w:val="0"/>
        <w:pageBreakBefore w:val="0"/>
        <w:widowControl w:val="0"/>
        <w:kinsoku/>
        <w:wordWrap/>
        <w:overflowPunct w:val="0"/>
        <w:topLinePunct w:val="0"/>
        <w:autoSpaceDE/>
        <w:autoSpaceDN/>
        <w:bidi w:val="0"/>
        <w:adjustRightInd/>
        <w:spacing w:line="560" w:lineRule="exact"/>
        <w:ind w:firstLine="640" w:firstLineChars="200"/>
        <w:textAlignment w:val="auto"/>
        <w:rPr>
          <w:rFonts w:hint="eastAsia" w:ascii="仿宋_GB2312" w:eastAsia="仿宋_GB2312"/>
          <w:color w:val="auto"/>
          <w:spacing w:val="0"/>
          <w:kern w:val="0"/>
          <w:sz w:val="32"/>
          <w:szCs w:val="32"/>
          <w:lang w:val="en-US" w:eastAsia="zh-CN"/>
        </w:rPr>
      </w:pPr>
      <w:r>
        <w:rPr>
          <w:rFonts w:hint="eastAsia" w:ascii="楷体_GB2312" w:hAnsi="楷体_GB2312" w:eastAsia="楷体_GB2312" w:cs="楷体_GB2312"/>
          <w:b w:val="0"/>
          <w:bCs w:val="0"/>
          <w:kern w:val="2"/>
          <w:sz w:val="32"/>
          <w:szCs w:val="32"/>
          <w:lang w:val="en-US" w:eastAsia="zh-CN" w:bidi="ar-SA"/>
        </w:rPr>
        <w:t>（四）加强宣传引导。</w:t>
      </w:r>
      <w:r>
        <w:rPr>
          <w:rFonts w:hint="eastAsia" w:ascii="仿宋_GB2312" w:eastAsia="仿宋_GB2312"/>
          <w:color w:val="auto"/>
          <w:spacing w:val="0"/>
          <w:kern w:val="0"/>
          <w:sz w:val="32"/>
          <w:szCs w:val="32"/>
        </w:rPr>
        <w:t>要充分利用各种宣传媒体，开展多形式、全方位的宣传活动，让广大群众充分认识露天焚烧及弃置秸秆的危害性，逐步提高农民群众秸秆综合利用的意识和自觉性，在全社会营造关注、关心秸秆综合利用的良好环境。</w:t>
      </w:r>
      <w:r>
        <w:rPr>
          <w:rFonts w:hint="eastAsia" w:ascii="仿宋_GB2312" w:eastAsia="仿宋_GB2312"/>
          <w:color w:val="auto"/>
          <w:spacing w:val="0"/>
          <w:kern w:val="0"/>
          <w:sz w:val="32"/>
          <w:szCs w:val="32"/>
          <w:lang w:eastAsia="zh-CN"/>
        </w:rPr>
        <w:t>同时要做好</w:t>
      </w:r>
      <w:r>
        <w:rPr>
          <w:rFonts w:hint="eastAsia" w:ascii="仿宋_GB2312" w:eastAsia="仿宋_GB2312"/>
          <w:color w:val="auto"/>
          <w:spacing w:val="0"/>
          <w:kern w:val="0"/>
          <w:sz w:val="32"/>
          <w:szCs w:val="32"/>
          <w:lang w:val="en-US" w:eastAsia="zh-CN"/>
        </w:rPr>
        <w:t>舆情应对工作，切实发挥舆论宣传引导作用。</w:t>
      </w:r>
    </w:p>
    <w:p w14:paraId="79AA76E6">
      <w:pPr>
        <w:keepNext w:val="0"/>
        <w:keepLines w:val="0"/>
        <w:pageBreakBefore w:val="0"/>
        <w:kinsoku/>
        <w:wordWrap/>
        <w:topLinePunct w:val="0"/>
        <w:autoSpaceDE/>
        <w:autoSpaceDN/>
        <w:bidi w:val="0"/>
        <w:adjustRightInd/>
        <w:spacing w:line="560" w:lineRule="exact"/>
        <w:ind w:left="0" w:leftChars="0" w:firstLine="640" w:firstLineChars="200"/>
        <w:textAlignment w:val="auto"/>
        <w:rPr>
          <w:rFonts w:hint="eastAsia" w:ascii="仿宋" w:hAnsi="仿宋" w:eastAsia="仿宋" w:cs="仿宋"/>
          <w:color w:val="auto"/>
          <w:sz w:val="32"/>
          <w:szCs w:val="32"/>
        </w:rPr>
      </w:pPr>
    </w:p>
    <w:p w14:paraId="0FBABA89">
      <w:pPr>
        <w:keepNext w:val="0"/>
        <w:keepLines w:val="0"/>
        <w:pageBreakBefore w:val="0"/>
        <w:kinsoku/>
        <w:wordWrap/>
        <w:topLinePunct w:val="0"/>
        <w:autoSpaceDE/>
        <w:autoSpaceDN/>
        <w:bidi w:val="0"/>
        <w:adjustRightInd/>
        <w:spacing w:line="56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附件</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阳城县秸秆综合利用工作领导组</w:t>
      </w:r>
    </w:p>
    <w:p w14:paraId="1EE49E2D">
      <w:pPr>
        <w:keepNext w:val="0"/>
        <w:keepLines w:val="0"/>
        <w:pageBreakBefore w:val="0"/>
        <w:kinsoku/>
        <w:wordWrap/>
        <w:topLinePunct w:val="0"/>
        <w:autoSpaceDE/>
        <w:autoSpaceDN/>
        <w:bidi w:val="0"/>
        <w:adjustRightInd/>
        <w:spacing w:line="56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2</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eastAsia="zh-CN"/>
        </w:rPr>
        <w:t>阳城县秸秆综合利用技术专家组</w:t>
      </w:r>
    </w:p>
    <w:p w14:paraId="136CE5DB">
      <w:pPr>
        <w:widowControl w:val="0"/>
        <w:wordWrap/>
        <w:overflowPunct w:val="0"/>
        <w:adjustRightInd w:val="0"/>
        <w:snapToGrid w:val="0"/>
        <w:spacing w:after="0" w:line="560" w:lineRule="exact"/>
        <w:textAlignment w:val="auto"/>
        <w:rPr>
          <w:rFonts w:hint="eastAsia" w:ascii="仿宋_GB2312" w:hAnsi="仿宋_GB2312" w:eastAsia="仿宋_GB2312" w:cs="仿宋_GB2312"/>
          <w:color w:val="auto"/>
          <w:spacing w:val="0"/>
          <w:sz w:val="32"/>
          <w:szCs w:val="32"/>
          <w:lang w:val="en-US" w:eastAsia="zh-CN"/>
        </w:rPr>
      </w:pPr>
    </w:p>
    <w:p w14:paraId="0C99D6C1">
      <w:pPr>
        <w:widowControl w:val="0"/>
        <w:wordWrap/>
        <w:overflowPunct w:val="0"/>
        <w:adjustRightInd w:val="0"/>
        <w:snapToGrid w:val="0"/>
        <w:spacing w:after="0" w:line="560" w:lineRule="exact"/>
        <w:ind w:firstLine="2560" w:firstLineChars="800"/>
        <w:textAlignment w:val="auto"/>
        <w:rPr>
          <w:rFonts w:hint="eastAsia" w:ascii="仿宋_GB2312" w:hAnsi="仿宋_GB2312" w:eastAsia="仿宋_GB2312" w:cs="仿宋_GB2312"/>
          <w:color w:val="auto"/>
          <w:spacing w:val="0"/>
          <w:sz w:val="32"/>
          <w:szCs w:val="32"/>
          <w:lang w:val="en-US" w:eastAsia="zh-CN"/>
        </w:rPr>
      </w:pPr>
    </w:p>
    <w:p w14:paraId="7D85824B">
      <w:pPr>
        <w:widowControl w:val="0"/>
        <w:wordWrap/>
        <w:overflowPunct w:val="0"/>
        <w:adjustRightInd w:val="0"/>
        <w:snapToGrid w:val="0"/>
        <w:spacing w:after="0" w:line="560" w:lineRule="exact"/>
        <w:ind w:firstLine="2560" w:firstLineChars="800"/>
        <w:textAlignment w:val="auto"/>
        <w:rPr>
          <w:rFonts w:hint="eastAsia" w:ascii="仿宋_GB2312" w:hAnsi="仿宋_GB2312" w:eastAsia="仿宋_GB2312" w:cs="仿宋_GB2312"/>
          <w:color w:val="auto"/>
          <w:spacing w:val="0"/>
          <w:sz w:val="32"/>
          <w:szCs w:val="32"/>
          <w:lang w:val="en-US" w:eastAsia="zh-CN"/>
        </w:rPr>
      </w:pPr>
    </w:p>
    <w:p w14:paraId="1317C123">
      <w:pPr>
        <w:widowControl w:val="0"/>
        <w:wordWrap/>
        <w:overflowPunct w:val="0"/>
        <w:adjustRightInd w:val="0"/>
        <w:snapToGrid w:val="0"/>
        <w:spacing w:after="0" w:line="560" w:lineRule="exact"/>
        <w:ind w:firstLine="2560" w:firstLineChars="800"/>
        <w:textAlignment w:val="auto"/>
        <w:rPr>
          <w:rFonts w:hint="eastAsia" w:ascii="仿宋_GB2312" w:hAnsi="仿宋_GB2312" w:eastAsia="仿宋_GB2312" w:cs="仿宋_GB2312"/>
          <w:color w:val="auto"/>
          <w:spacing w:val="0"/>
          <w:sz w:val="32"/>
          <w:szCs w:val="32"/>
          <w:lang w:val="en-US" w:eastAsia="zh-CN"/>
        </w:rPr>
      </w:pPr>
    </w:p>
    <w:p w14:paraId="2F92ED82">
      <w:pPr>
        <w:widowControl w:val="0"/>
        <w:wordWrap/>
        <w:overflowPunct w:val="0"/>
        <w:adjustRightInd w:val="0"/>
        <w:snapToGrid w:val="0"/>
        <w:spacing w:after="0" w:line="560" w:lineRule="exact"/>
        <w:ind w:firstLine="2560" w:firstLineChars="800"/>
        <w:textAlignment w:val="auto"/>
        <w:rPr>
          <w:rFonts w:hint="eastAsia" w:ascii="仿宋_GB2312" w:hAnsi="仿宋_GB2312" w:eastAsia="仿宋_GB2312" w:cs="仿宋_GB2312"/>
          <w:color w:val="auto"/>
          <w:spacing w:val="0"/>
          <w:sz w:val="32"/>
          <w:szCs w:val="32"/>
          <w:lang w:eastAsia="zh-CN"/>
        </w:rPr>
      </w:pPr>
      <w:r>
        <w:rPr>
          <w:rFonts w:hint="eastAsia" w:ascii="仿宋_GB2312" w:hAnsi="仿宋_GB2312" w:eastAsia="仿宋_GB2312" w:cs="仿宋_GB2312"/>
          <w:color w:val="auto"/>
          <w:spacing w:val="0"/>
          <w:sz w:val="32"/>
          <w:szCs w:val="32"/>
          <w:lang w:val="en-US" w:eastAsia="zh-CN"/>
        </w:rPr>
        <w:t xml:space="preserve">    </w:t>
      </w:r>
      <w:r>
        <w:rPr>
          <w:rFonts w:hint="eastAsia" w:ascii="仿宋_GB2312" w:hAnsi="仿宋_GB2312" w:eastAsia="仿宋_GB2312" w:cs="仿宋_GB2312"/>
          <w:spacing w:val="0"/>
          <w:sz w:val="32"/>
          <w:szCs w:val="32"/>
        </w:rPr>
        <w:t>中共阳城县委农村工作领导小组</w:t>
      </w:r>
      <w:r>
        <w:rPr>
          <w:rFonts w:hint="eastAsia" w:ascii="仿宋_GB2312" w:hAnsi="仿宋_GB2312" w:eastAsia="仿宋_GB2312" w:cs="仿宋_GB2312"/>
          <w:spacing w:val="0"/>
          <w:sz w:val="32"/>
          <w:szCs w:val="32"/>
          <w:lang w:eastAsia="zh-CN"/>
        </w:rPr>
        <w:t>办公室</w:t>
      </w:r>
    </w:p>
    <w:p w14:paraId="2B0BFD70">
      <w:pPr>
        <w:widowControl w:val="0"/>
        <w:wordWrap/>
        <w:overflowPunct w:val="0"/>
        <w:adjustRightInd w:val="0"/>
        <w:snapToGrid w:val="0"/>
        <w:spacing w:after="0" w:line="560" w:lineRule="exact"/>
        <w:ind w:leftChars="1400" w:firstLine="1280" w:firstLineChars="400"/>
        <w:jc w:val="both"/>
        <w:textAlignment w:val="auto"/>
        <w:rPr>
          <w:rFonts w:hint="eastAsia" w:ascii="仿宋_GB2312" w:hAnsi="仿宋_GB2312" w:eastAsia="仿宋_GB2312" w:cs="仿宋_GB2312"/>
          <w:color w:val="auto"/>
          <w:spacing w:val="0"/>
          <w:sz w:val="32"/>
          <w:szCs w:val="32"/>
        </w:rPr>
      </w:pPr>
      <w:r>
        <w:rPr>
          <w:rFonts w:hint="eastAsia" w:ascii="仿宋_GB2312" w:hAnsi="仿宋_GB2312" w:eastAsia="仿宋_GB2312" w:cs="仿宋_GB2312"/>
          <w:color w:val="auto"/>
          <w:spacing w:val="0"/>
          <w:sz w:val="32"/>
          <w:szCs w:val="32"/>
          <w:lang w:val="en-US" w:eastAsia="zh-CN"/>
        </w:rPr>
        <w:t xml:space="preserve">    </w:t>
      </w:r>
      <w:r>
        <w:rPr>
          <w:rFonts w:hint="eastAsia" w:ascii="仿宋_GB2312" w:hAnsi="仿宋_GB2312" w:eastAsia="仿宋_GB2312" w:cs="仿宋_GB2312"/>
          <w:color w:val="auto"/>
          <w:spacing w:val="0"/>
          <w:sz w:val="32"/>
          <w:szCs w:val="32"/>
        </w:rPr>
        <w:t>202</w:t>
      </w:r>
      <w:r>
        <w:rPr>
          <w:rFonts w:hint="eastAsia" w:ascii="仿宋_GB2312" w:hAnsi="仿宋_GB2312" w:eastAsia="仿宋_GB2312" w:cs="仿宋_GB2312"/>
          <w:color w:val="auto"/>
          <w:spacing w:val="0"/>
          <w:sz w:val="32"/>
          <w:szCs w:val="32"/>
          <w:lang w:val="en-US" w:eastAsia="zh-CN"/>
        </w:rPr>
        <w:t>6</w:t>
      </w:r>
      <w:r>
        <w:rPr>
          <w:rFonts w:hint="eastAsia" w:ascii="仿宋_GB2312" w:hAnsi="仿宋_GB2312" w:eastAsia="仿宋_GB2312" w:cs="仿宋_GB2312"/>
          <w:color w:val="auto"/>
          <w:spacing w:val="0"/>
          <w:sz w:val="32"/>
          <w:szCs w:val="32"/>
        </w:rPr>
        <w:t>年</w:t>
      </w:r>
      <w:r>
        <w:rPr>
          <w:rFonts w:hint="eastAsia" w:ascii="仿宋_GB2312" w:hAnsi="仿宋_GB2312" w:eastAsia="仿宋_GB2312" w:cs="仿宋_GB2312"/>
          <w:color w:val="auto"/>
          <w:spacing w:val="0"/>
          <w:sz w:val="32"/>
          <w:szCs w:val="32"/>
          <w:lang w:val="en-US" w:eastAsia="zh-CN"/>
        </w:rPr>
        <w:t>8</w:t>
      </w:r>
      <w:r>
        <w:rPr>
          <w:rFonts w:hint="eastAsia" w:ascii="仿宋_GB2312" w:hAnsi="仿宋_GB2312" w:eastAsia="仿宋_GB2312" w:cs="仿宋_GB2312"/>
          <w:color w:val="auto"/>
          <w:spacing w:val="0"/>
          <w:sz w:val="32"/>
          <w:szCs w:val="32"/>
        </w:rPr>
        <w:t>月</w:t>
      </w:r>
      <w:r>
        <w:rPr>
          <w:rFonts w:hint="eastAsia" w:ascii="仿宋_GB2312" w:hAnsi="仿宋_GB2312" w:eastAsia="仿宋_GB2312" w:cs="仿宋_GB2312"/>
          <w:color w:val="auto"/>
          <w:spacing w:val="0"/>
          <w:sz w:val="32"/>
          <w:szCs w:val="32"/>
          <w:lang w:val="en-US" w:eastAsia="zh-CN"/>
        </w:rPr>
        <w:t>5</w:t>
      </w:r>
      <w:r>
        <w:rPr>
          <w:rFonts w:hint="eastAsia" w:ascii="仿宋_GB2312" w:hAnsi="仿宋_GB2312" w:eastAsia="仿宋_GB2312" w:cs="仿宋_GB2312"/>
          <w:color w:val="auto"/>
          <w:spacing w:val="0"/>
          <w:sz w:val="32"/>
          <w:szCs w:val="32"/>
        </w:rPr>
        <w:t>日</w:t>
      </w:r>
    </w:p>
    <w:p w14:paraId="3C562857">
      <w:pPr>
        <w:widowControl w:val="0"/>
        <w:wordWrap/>
        <w:overflowPunct w:val="0"/>
        <w:adjustRightInd w:val="0"/>
        <w:snapToGrid w:val="0"/>
        <w:spacing w:after="0" w:line="560" w:lineRule="exact"/>
        <w:ind w:leftChars="1400" w:firstLine="1280" w:firstLineChars="400"/>
        <w:jc w:val="both"/>
        <w:textAlignment w:val="auto"/>
        <w:rPr>
          <w:rFonts w:hint="eastAsia" w:ascii="仿宋_GB2312" w:hAnsi="仿宋_GB2312" w:eastAsia="仿宋_GB2312" w:cs="仿宋_GB2312"/>
          <w:color w:val="auto"/>
          <w:spacing w:val="0"/>
          <w:sz w:val="32"/>
          <w:szCs w:val="32"/>
        </w:rPr>
      </w:pPr>
    </w:p>
    <w:p w14:paraId="34C0FC89">
      <w:pPr>
        <w:ind w:left="0" w:leftChars="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eastAsia="zh-CN"/>
        </w:rPr>
        <w:t>（此件公开发布）</w:t>
      </w:r>
    </w:p>
    <w:p w14:paraId="42CA22BC">
      <w:pPr>
        <w:ind w:left="0" w:leftChars="0" w:firstLine="0" w:firstLineChars="0"/>
        <w:rPr>
          <w:rFonts w:hint="eastAsia" w:ascii="黑体" w:hAnsi="黑体" w:eastAsia="黑体" w:cs="黑体"/>
          <w:color w:val="auto"/>
          <w:spacing w:val="0"/>
          <w:kern w:val="0"/>
          <w:sz w:val="32"/>
          <w:szCs w:val="32"/>
          <w:lang w:val="en-US" w:eastAsia="zh-CN" w:bidi="ar-SA"/>
        </w:rPr>
      </w:pPr>
      <w:r>
        <w:rPr>
          <w:rFonts w:hint="eastAsia" w:ascii="黑体" w:hAnsi="黑体" w:eastAsia="黑体" w:cs="黑体"/>
          <w:color w:val="auto"/>
          <w:spacing w:val="0"/>
          <w:kern w:val="0"/>
          <w:sz w:val="32"/>
          <w:szCs w:val="32"/>
          <w:lang w:val="en-US" w:eastAsia="zh-CN" w:bidi="ar-SA"/>
        </w:rPr>
        <w:t>附件1</w:t>
      </w:r>
    </w:p>
    <w:p w14:paraId="67618302">
      <w:pPr>
        <w:ind w:left="0" w:leftChars="0" w:firstLine="0" w:firstLineChars="0"/>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阳城县秸秆综合利用工作领导组</w:t>
      </w:r>
    </w:p>
    <w:p w14:paraId="4C68C21E">
      <w:pPr>
        <w:rPr>
          <w:rFonts w:hint="eastAsia" w:ascii="仿宋" w:hAnsi="仿宋" w:eastAsia="仿宋" w:cs="仿宋"/>
          <w:color w:val="auto"/>
          <w:sz w:val="32"/>
          <w:szCs w:val="32"/>
        </w:rPr>
      </w:pPr>
    </w:p>
    <w:p w14:paraId="46197BE6">
      <w:pPr>
        <w:rPr>
          <w:rFonts w:hint="eastAsia" w:ascii="仿宋" w:hAnsi="仿宋" w:eastAsia="仿宋" w:cs="仿宋"/>
          <w:color w:val="auto"/>
          <w:sz w:val="32"/>
          <w:szCs w:val="32"/>
        </w:rPr>
      </w:pPr>
      <w:r>
        <w:rPr>
          <w:rFonts w:hint="eastAsia" w:ascii="仿宋" w:hAnsi="仿宋" w:eastAsia="仿宋" w:cs="仿宋"/>
          <w:color w:val="auto"/>
          <w:sz w:val="32"/>
          <w:szCs w:val="32"/>
        </w:rPr>
        <w:t>组　长：</w:t>
      </w:r>
      <w:r>
        <w:rPr>
          <w:rFonts w:hint="eastAsia" w:ascii="仿宋" w:hAnsi="仿宋" w:eastAsia="仿宋" w:cs="仿宋"/>
          <w:color w:val="auto"/>
          <w:sz w:val="32"/>
          <w:szCs w:val="32"/>
          <w:lang w:eastAsia="zh-CN"/>
        </w:rPr>
        <w:t>李鑫杰</w:t>
      </w:r>
      <w:r>
        <w:rPr>
          <w:rFonts w:hint="eastAsia" w:ascii="仿宋" w:hAnsi="仿宋" w:eastAsia="仿宋" w:cs="仿宋"/>
          <w:color w:val="auto"/>
          <w:sz w:val="32"/>
          <w:szCs w:val="32"/>
        </w:rPr>
        <w:t>　县政府副县长</w:t>
      </w:r>
    </w:p>
    <w:p w14:paraId="31B263F1">
      <w:pPr>
        <w:rPr>
          <w:rFonts w:hint="eastAsia" w:ascii="仿宋" w:hAnsi="仿宋" w:eastAsia="仿宋" w:cs="仿宋"/>
          <w:color w:val="auto"/>
          <w:sz w:val="32"/>
          <w:szCs w:val="32"/>
        </w:rPr>
      </w:pPr>
      <w:r>
        <w:rPr>
          <w:rFonts w:hint="eastAsia" w:ascii="仿宋" w:hAnsi="仿宋" w:eastAsia="仿宋" w:cs="仿宋"/>
          <w:color w:val="auto"/>
          <w:sz w:val="32"/>
          <w:szCs w:val="32"/>
        </w:rPr>
        <w:t>副组长：</w:t>
      </w:r>
      <w:r>
        <w:rPr>
          <w:rFonts w:hint="eastAsia" w:ascii="仿宋" w:hAnsi="仿宋" w:eastAsia="仿宋" w:cs="仿宋"/>
          <w:b w:val="0"/>
          <w:bCs w:val="0"/>
          <w:color w:val="auto"/>
          <w:sz w:val="32"/>
          <w:szCs w:val="32"/>
          <w:lang w:eastAsia="zh-CN"/>
        </w:rPr>
        <w:t>栗泽锋</w:t>
      </w:r>
      <w:r>
        <w:rPr>
          <w:rFonts w:hint="eastAsia" w:ascii="仿宋" w:hAnsi="仿宋" w:eastAsia="仿宋" w:cs="仿宋"/>
          <w:color w:val="auto"/>
          <w:sz w:val="32"/>
          <w:szCs w:val="32"/>
        </w:rPr>
        <w:t>　县政府办公室副主任</w:t>
      </w:r>
    </w:p>
    <w:p w14:paraId="1BB86CC8">
      <w:pPr>
        <w:rPr>
          <w:rFonts w:hint="eastAsia" w:ascii="仿宋" w:hAnsi="仿宋" w:eastAsia="仿宋" w:cs="仿宋"/>
          <w:color w:val="auto"/>
          <w:sz w:val="32"/>
          <w:szCs w:val="32"/>
        </w:rPr>
      </w:pPr>
      <w:r>
        <w:rPr>
          <w:rFonts w:hint="eastAsia" w:ascii="仿宋" w:hAnsi="仿宋" w:eastAsia="仿宋" w:cs="仿宋"/>
          <w:color w:val="auto"/>
          <w:sz w:val="32"/>
          <w:szCs w:val="32"/>
        </w:rPr>
        <w:t>　　　　陈建斌　县农业农村局局长</w:t>
      </w:r>
    </w:p>
    <w:p w14:paraId="0C69C150">
      <w:pPr>
        <w:rPr>
          <w:rFonts w:hint="eastAsia" w:ascii="仿宋" w:hAnsi="仿宋" w:eastAsia="仿宋" w:cs="仿宋"/>
          <w:color w:val="auto"/>
          <w:sz w:val="32"/>
          <w:szCs w:val="32"/>
        </w:rPr>
      </w:pPr>
      <w:r>
        <w:rPr>
          <w:rFonts w:hint="eastAsia" w:ascii="仿宋" w:hAnsi="仿宋" w:eastAsia="仿宋" w:cs="仿宋"/>
          <w:color w:val="auto"/>
          <w:sz w:val="32"/>
          <w:szCs w:val="32"/>
        </w:rPr>
        <w:t>　　　　刘卫宏　县农业农村局党组成员</w:t>
      </w:r>
    </w:p>
    <w:p w14:paraId="5ADF0692">
      <w:pPr>
        <w:rPr>
          <w:rFonts w:hint="eastAsia" w:ascii="仿宋" w:hAnsi="仿宋" w:eastAsia="仿宋" w:cs="仿宋"/>
          <w:color w:val="auto"/>
          <w:sz w:val="32"/>
          <w:szCs w:val="32"/>
        </w:rPr>
      </w:pPr>
      <w:r>
        <w:rPr>
          <w:rFonts w:hint="eastAsia" w:ascii="仿宋" w:hAnsi="仿宋" w:eastAsia="仿宋" w:cs="仿宋"/>
          <w:color w:val="auto"/>
          <w:sz w:val="32"/>
          <w:szCs w:val="32"/>
        </w:rPr>
        <w:t>成　员：王向军　县财政局局长</w:t>
      </w:r>
    </w:p>
    <w:p w14:paraId="054F09DF">
      <w:pPr>
        <w:rPr>
          <w:rFonts w:hint="eastAsia" w:ascii="仿宋" w:hAnsi="仿宋" w:eastAsia="仿宋" w:cs="仿宋"/>
          <w:b w:val="0"/>
          <w:bCs w:val="0"/>
          <w:color w:val="auto"/>
          <w:sz w:val="32"/>
          <w:szCs w:val="32"/>
        </w:rPr>
      </w:pPr>
      <w:r>
        <w:rPr>
          <w:rFonts w:hint="eastAsia" w:ascii="仿宋" w:hAnsi="仿宋" w:eastAsia="仿宋" w:cs="仿宋"/>
          <w:color w:val="auto"/>
          <w:sz w:val="32"/>
          <w:szCs w:val="32"/>
        </w:rPr>
        <w:t>　　　</w:t>
      </w:r>
      <w:r>
        <w:rPr>
          <w:rFonts w:hint="eastAsia" w:ascii="仿宋" w:hAnsi="仿宋" w:eastAsia="仿宋" w:cs="仿宋"/>
          <w:b w:val="0"/>
          <w:bCs w:val="0"/>
          <w:color w:val="auto"/>
          <w:sz w:val="32"/>
          <w:szCs w:val="32"/>
        </w:rPr>
        <w:t>　</w:t>
      </w:r>
      <w:r>
        <w:rPr>
          <w:rFonts w:hint="eastAsia" w:ascii="仿宋" w:hAnsi="仿宋" w:eastAsia="仿宋" w:cs="仿宋"/>
          <w:b w:val="0"/>
          <w:bCs w:val="0"/>
          <w:color w:val="auto"/>
          <w:sz w:val="32"/>
          <w:szCs w:val="32"/>
          <w:lang w:eastAsia="zh-CN"/>
        </w:rPr>
        <w:t>张亮峰</w:t>
      </w:r>
      <w:r>
        <w:rPr>
          <w:rFonts w:hint="eastAsia" w:ascii="仿宋" w:hAnsi="仿宋" w:eastAsia="仿宋" w:cs="仿宋"/>
          <w:b w:val="0"/>
          <w:bCs w:val="0"/>
          <w:color w:val="auto"/>
          <w:sz w:val="32"/>
          <w:szCs w:val="32"/>
        </w:rPr>
        <w:t xml:space="preserve">  市生态环境局阳城分局局长</w:t>
      </w:r>
    </w:p>
    <w:p w14:paraId="761A4430">
      <w:pPr>
        <w:rPr>
          <w:rFonts w:hint="eastAsia" w:ascii="仿宋" w:hAnsi="仿宋" w:eastAsia="仿宋" w:cs="仿宋"/>
          <w:color w:val="auto"/>
          <w:sz w:val="32"/>
          <w:szCs w:val="32"/>
        </w:rPr>
      </w:pPr>
      <w:r>
        <w:rPr>
          <w:rFonts w:hint="eastAsia" w:ascii="仿宋" w:hAnsi="仿宋" w:eastAsia="仿宋" w:cs="仿宋"/>
          <w:b w:val="0"/>
          <w:bCs w:val="0"/>
          <w:color w:val="auto"/>
          <w:sz w:val="32"/>
          <w:szCs w:val="32"/>
        </w:rPr>
        <w:t>　　　　</w:t>
      </w:r>
      <w:r>
        <w:rPr>
          <w:rFonts w:hint="eastAsia" w:ascii="仿宋" w:hAnsi="仿宋" w:eastAsia="仿宋" w:cs="仿宋"/>
          <w:b w:val="0"/>
          <w:bCs w:val="0"/>
          <w:color w:val="auto"/>
          <w:sz w:val="32"/>
          <w:szCs w:val="32"/>
          <w:lang w:eastAsia="zh-CN"/>
        </w:rPr>
        <w:t>于建龙</w:t>
      </w:r>
      <w:r>
        <w:rPr>
          <w:rFonts w:hint="eastAsia" w:ascii="仿宋" w:hAnsi="仿宋" w:eastAsia="仿宋" w:cs="仿宋"/>
          <w:b w:val="0"/>
          <w:bCs w:val="0"/>
          <w:color w:val="auto"/>
          <w:sz w:val="32"/>
          <w:szCs w:val="32"/>
        </w:rPr>
        <w:t xml:space="preserve">  县</w:t>
      </w:r>
      <w:r>
        <w:rPr>
          <w:rFonts w:hint="eastAsia" w:ascii="仿宋" w:hAnsi="仿宋" w:eastAsia="仿宋" w:cs="仿宋"/>
          <w:color w:val="auto"/>
          <w:sz w:val="32"/>
          <w:szCs w:val="32"/>
        </w:rPr>
        <w:t>林业局局长</w:t>
      </w:r>
    </w:p>
    <w:p w14:paraId="6F40328A">
      <w:pPr>
        <w:rPr>
          <w:rFonts w:hint="eastAsia" w:ascii="仿宋" w:hAnsi="仿宋" w:eastAsia="仿宋" w:cs="仿宋"/>
          <w:color w:val="auto"/>
          <w:sz w:val="32"/>
          <w:szCs w:val="32"/>
        </w:rPr>
      </w:pPr>
      <w:r>
        <w:rPr>
          <w:rFonts w:hint="eastAsia" w:ascii="仿宋" w:hAnsi="仿宋" w:eastAsia="仿宋" w:cs="仿宋"/>
          <w:color w:val="auto"/>
          <w:sz w:val="32"/>
          <w:szCs w:val="32"/>
        </w:rPr>
        <w:t>　　　　谭学斌  县畜牧兽医服务中心主任</w:t>
      </w:r>
    </w:p>
    <w:p w14:paraId="4BAB9819">
      <w:pPr>
        <w:rPr>
          <w:rFonts w:hint="eastAsia" w:ascii="仿宋" w:hAnsi="仿宋" w:eastAsia="仿宋" w:cs="仿宋"/>
          <w:color w:val="auto"/>
          <w:sz w:val="32"/>
          <w:szCs w:val="32"/>
        </w:rPr>
      </w:pPr>
      <w:r>
        <w:rPr>
          <w:rFonts w:hint="eastAsia" w:ascii="仿宋" w:hAnsi="仿宋" w:eastAsia="仿宋" w:cs="仿宋"/>
          <w:color w:val="auto"/>
          <w:sz w:val="32"/>
          <w:szCs w:val="32"/>
        </w:rPr>
        <w:t>　　　　各乡（镇）乡（镇）长</w:t>
      </w:r>
      <w:bookmarkStart w:id="1" w:name="_GoBack"/>
      <w:bookmarkEnd w:id="1"/>
    </w:p>
    <w:p w14:paraId="5CE65F45">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领导组下设办公室，办公室设在县农业农村局，办公室主任由县农业农村局局长陈建斌兼任，副主任由县农业农村局党组成员刘卫宏兼任，县</w:t>
      </w:r>
      <w:r>
        <w:rPr>
          <w:rFonts w:hint="eastAsia" w:ascii="仿宋" w:hAnsi="仿宋" w:eastAsia="仿宋" w:cs="仿宋"/>
          <w:color w:val="auto"/>
          <w:sz w:val="32"/>
          <w:szCs w:val="32"/>
          <w:lang w:eastAsia="zh-CN"/>
        </w:rPr>
        <w:t>农业农村局环保站</w:t>
      </w:r>
      <w:r>
        <w:rPr>
          <w:rFonts w:hint="eastAsia" w:ascii="仿宋" w:hAnsi="仿宋" w:eastAsia="仿宋" w:cs="仿宋"/>
          <w:color w:val="auto"/>
          <w:sz w:val="32"/>
          <w:szCs w:val="32"/>
        </w:rPr>
        <w:t>负责具体相关工作。</w:t>
      </w:r>
    </w:p>
    <w:p w14:paraId="3615FB47">
      <w:pPr>
        <w:ind w:left="0" w:leftChars="0" w:firstLine="0" w:firstLineChars="0"/>
        <w:rPr>
          <w:rFonts w:hint="eastAsia" w:ascii="仿宋" w:hAnsi="仿宋" w:eastAsia="仿宋" w:cs="仿宋"/>
          <w:color w:val="auto"/>
          <w:sz w:val="32"/>
          <w:szCs w:val="32"/>
        </w:rPr>
      </w:pPr>
    </w:p>
    <w:p w14:paraId="6BEF87A8">
      <w:pPr>
        <w:ind w:left="0" w:leftChars="0" w:firstLine="0" w:firstLineChars="0"/>
        <w:rPr>
          <w:rFonts w:hint="eastAsia" w:ascii="仿宋" w:hAnsi="仿宋" w:eastAsia="仿宋" w:cs="仿宋"/>
          <w:color w:val="auto"/>
          <w:sz w:val="32"/>
          <w:szCs w:val="32"/>
        </w:rPr>
      </w:pPr>
    </w:p>
    <w:p w14:paraId="231DFA73">
      <w:pPr>
        <w:ind w:left="0" w:leftChars="0" w:firstLine="0" w:firstLineChars="0"/>
        <w:rPr>
          <w:rFonts w:hint="eastAsia" w:ascii="仿宋" w:hAnsi="仿宋" w:eastAsia="仿宋" w:cs="仿宋"/>
          <w:color w:val="auto"/>
          <w:sz w:val="32"/>
          <w:szCs w:val="32"/>
        </w:rPr>
      </w:pPr>
    </w:p>
    <w:p w14:paraId="1A74F832">
      <w:pPr>
        <w:ind w:left="0" w:leftChars="0" w:firstLine="0" w:firstLineChars="0"/>
        <w:rPr>
          <w:rFonts w:hint="eastAsia" w:ascii="仿宋" w:hAnsi="仿宋" w:eastAsia="仿宋" w:cs="仿宋"/>
          <w:color w:val="auto"/>
          <w:sz w:val="32"/>
          <w:szCs w:val="32"/>
        </w:rPr>
      </w:pPr>
    </w:p>
    <w:p w14:paraId="4F7BDD8C">
      <w:pPr>
        <w:ind w:left="0" w:leftChars="0" w:firstLine="0" w:firstLineChars="0"/>
        <w:rPr>
          <w:rFonts w:hint="eastAsia" w:ascii="黑体" w:hAnsi="黑体" w:eastAsia="黑体" w:cs="黑体"/>
          <w:color w:val="auto"/>
          <w:spacing w:val="0"/>
          <w:kern w:val="0"/>
          <w:sz w:val="32"/>
          <w:szCs w:val="32"/>
          <w:lang w:val="en-US" w:eastAsia="zh-CN" w:bidi="ar-SA"/>
        </w:rPr>
      </w:pPr>
      <w:r>
        <w:rPr>
          <w:rFonts w:hint="eastAsia" w:ascii="黑体" w:hAnsi="黑体" w:eastAsia="黑体" w:cs="黑体"/>
          <w:color w:val="auto"/>
          <w:spacing w:val="0"/>
          <w:kern w:val="0"/>
          <w:sz w:val="32"/>
          <w:szCs w:val="32"/>
          <w:lang w:val="en-US" w:eastAsia="zh-CN" w:bidi="ar-SA"/>
        </w:rPr>
        <w:t>附件2</w:t>
      </w:r>
    </w:p>
    <w:p w14:paraId="1DCBC4A0">
      <w:pPr>
        <w:ind w:left="0" w:leftChars="0" w:firstLine="0" w:firstLineChars="0"/>
        <w:jc w:val="both"/>
        <w:rPr>
          <w:rFonts w:hint="eastAsia" w:ascii="方正小标宋简体" w:hAnsi="方正小标宋简体" w:eastAsia="方正小标宋简体" w:cs="方正小标宋简体"/>
          <w:color w:val="auto"/>
          <w:sz w:val="44"/>
          <w:szCs w:val="44"/>
        </w:rPr>
      </w:pPr>
    </w:p>
    <w:p w14:paraId="2488228D">
      <w:pPr>
        <w:ind w:left="0" w:leftChars="0" w:firstLine="0" w:firstLineChars="0"/>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阳城县秸秆综合利用技术专家组</w:t>
      </w:r>
    </w:p>
    <w:p w14:paraId="74B20763">
      <w:pPr>
        <w:rPr>
          <w:rFonts w:hint="eastAsia" w:ascii="仿宋" w:hAnsi="仿宋" w:eastAsia="仿宋" w:cs="仿宋"/>
          <w:color w:val="auto"/>
          <w:sz w:val="32"/>
          <w:szCs w:val="32"/>
        </w:rPr>
      </w:pPr>
    </w:p>
    <w:p w14:paraId="5C004045">
      <w:pPr>
        <w:rPr>
          <w:rFonts w:hint="eastAsia" w:ascii="仿宋" w:hAnsi="仿宋" w:eastAsia="仿宋" w:cs="仿宋"/>
          <w:color w:val="auto"/>
          <w:sz w:val="32"/>
          <w:szCs w:val="32"/>
        </w:rPr>
      </w:pPr>
      <w:r>
        <w:rPr>
          <w:rFonts w:hint="eastAsia" w:ascii="仿宋" w:hAnsi="仿宋" w:eastAsia="仿宋" w:cs="仿宋"/>
          <w:color w:val="auto"/>
          <w:sz w:val="32"/>
          <w:szCs w:val="32"/>
        </w:rPr>
        <w:t>组　　长：刘卫宏   县农业农村局农业经济师</w:t>
      </w:r>
    </w:p>
    <w:p w14:paraId="57EA0651">
      <w:pPr>
        <w:rPr>
          <w:rFonts w:hint="eastAsia" w:ascii="仿宋" w:hAnsi="仿宋" w:eastAsia="仿宋" w:cs="仿宋"/>
          <w:color w:val="auto"/>
          <w:sz w:val="32"/>
          <w:szCs w:val="32"/>
        </w:rPr>
      </w:pPr>
      <w:r>
        <w:rPr>
          <w:rFonts w:hint="eastAsia" w:ascii="仿宋" w:hAnsi="仿宋" w:eastAsia="仿宋" w:cs="仿宋"/>
          <w:color w:val="auto"/>
          <w:sz w:val="32"/>
          <w:szCs w:val="32"/>
        </w:rPr>
        <w:t>副 组 长：吉建兵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县农业农村局农艺师</w:t>
      </w:r>
    </w:p>
    <w:p w14:paraId="6B6C37E4">
      <w:pPr>
        <w:rPr>
          <w:rFonts w:hint="eastAsia" w:ascii="仿宋" w:hAnsi="仿宋" w:eastAsia="仿宋" w:cs="仿宋"/>
          <w:color w:val="auto"/>
          <w:sz w:val="32"/>
          <w:szCs w:val="32"/>
        </w:rPr>
      </w:pPr>
      <w:r>
        <w:rPr>
          <w:rFonts w:hint="eastAsia" w:ascii="仿宋" w:hAnsi="仿宋" w:eastAsia="仿宋" w:cs="仿宋"/>
          <w:color w:val="auto"/>
          <w:sz w:val="32"/>
          <w:szCs w:val="32"/>
        </w:rPr>
        <w:t>成　　员：李向明   县农业农村局农业经济师</w:t>
      </w:r>
    </w:p>
    <w:p w14:paraId="23B5ED5D">
      <w:pPr>
        <w:rPr>
          <w:rFonts w:hint="eastAsia" w:ascii="仿宋" w:hAnsi="仿宋" w:eastAsia="仿宋" w:cs="仿宋"/>
          <w:color w:val="auto"/>
          <w:sz w:val="32"/>
          <w:szCs w:val="32"/>
        </w:rPr>
      </w:pPr>
      <w:r>
        <w:rPr>
          <w:rFonts w:hint="eastAsia" w:ascii="仿宋" w:hAnsi="仿宋" w:eastAsia="仿宋" w:cs="仿宋"/>
          <w:color w:val="auto"/>
          <w:sz w:val="32"/>
          <w:szCs w:val="32"/>
        </w:rPr>
        <w:t>　　　　  董学兵   县农业农村局</w:t>
      </w:r>
      <w:r>
        <w:rPr>
          <w:rFonts w:hint="eastAsia" w:ascii="仿宋" w:hAnsi="仿宋" w:eastAsia="仿宋" w:cs="仿宋"/>
          <w:color w:val="auto"/>
          <w:sz w:val="32"/>
          <w:szCs w:val="32"/>
          <w:lang w:eastAsia="zh-CN"/>
        </w:rPr>
        <w:t>农机化</w:t>
      </w:r>
      <w:r>
        <w:rPr>
          <w:rFonts w:hint="eastAsia" w:ascii="仿宋" w:hAnsi="仿宋" w:eastAsia="仿宋" w:cs="仿宋"/>
          <w:color w:val="auto"/>
          <w:sz w:val="32"/>
          <w:szCs w:val="32"/>
        </w:rPr>
        <w:t>工程师</w:t>
      </w:r>
    </w:p>
    <w:p w14:paraId="1D63B204">
      <w:pPr>
        <w:rPr>
          <w:rFonts w:hint="eastAsia" w:ascii="仿宋" w:hAnsi="仿宋" w:eastAsia="仿宋" w:cs="仿宋"/>
          <w:color w:val="auto"/>
          <w:sz w:val="32"/>
          <w:szCs w:val="32"/>
        </w:rPr>
      </w:pPr>
      <w:r>
        <w:rPr>
          <w:rFonts w:hint="eastAsia" w:ascii="仿宋" w:hAnsi="仿宋" w:eastAsia="仿宋" w:cs="仿宋"/>
          <w:color w:val="auto"/>
          <w:sz w:val="32"/>
          <w:szCs w:val="32"/>
        </w:rPr>
        <w:t>　　　　  孙素军   县农业农村局技师</w:t>
      </w:r>
    </w:p>
    <w:p w14:paraId="07B56622">
      <w:pPr>
        <w:ind w:firstLine="1600" w:firstLineChars="500"/>
        <w:rPr>
          <w:rFonts w:hint="eastAsia" w:ascii="仿宋" w:hAnsi="仿宋" w:eastAsia="仿宋" w:cs="仿宋"/>
          <w:color w:val="auto"/>
          <w:sz w:val="32"/>
          <w:szCs w:val="32"/>
        </w:rPr>
      </w:pPr>
      <w:r>
        <w:rPr>
          <w:rFonts w:hint="eastAsia" w:ascii="仿宋" w:hAnsi="仿宋" w:eastAsia="仿宋" w:cs="仿宋"/>
          <w:color w:val="auto"/>
          <w:sz w:val="32"/>
          <w:szCs w:val="32"/>
        </w:rPr>
        <w:t>刘晓兵   县农业农村局高级农艺师</w:t>
      </w:r>
    </w:p>
    <w:p w14:paraId="180321D2">
      <w:pPr>
        <w:rPr>
          <w:rFonts w:hint="eastAsia" w:ascii="仿宋" w:hAnsi="仿宋" w:eastAsia="仿宋" w:cs="仿宋"/>
          <w:color w:val="auto"/>
          <w:sz w:val="32"/>
          <w:szCs w:val="32"/>
        </w:rPr>
      </w:pPr>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eastAsia="zh-CN"/>
        </w:rPr>
        <w:t>王国兵</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县农业农村局</w:t>
      </w:r>
      <w:r>
        <w:rPr>
          <w:rFonts w:hint="eastAsia" w:ascii="仿宋" w:hAnsi="仿宋" w:eastAsia="仿宋" w:cs="仿宋"/>
          <w:color w:val="auto"/>
          <w:spacing w:val="-6"/>
          <w:sz w:val="32"/>
          <w:szCs w:val="32"/>
        </w:rPr>
        <w:t>助理工程师</w:t>
      </w:r>
    </w:p>
    <w:p w14:paraId="0AE3CFBB">
      <w:pPr>
        <w:rPr>
          <w:rFonts w:hint="eastAsia" w:ascii="仿宋" w:hAnsi="仿宋" w:eastAsia="仿宋" w:cs="仿宋"/>
          <w:color w:val="auto"/>
          <w:sz w:val="32"/>
          <w:szCs w:val="32"/>
        </w:rPr>
      </w:pPr>
      <w:r>
        <w:rPr>
          <w:rFonts w:hint="eastAsia" w:ascii="仿宋" w:hAnsi="仿宋" w:eastAsia="仿宋" w:cs="仿宋"/>
          <w:color w:val="auto"/>
          <w:sz w:val="32"/>
          <w:szCs w:val="32"/>
        </w:rPr>
        <w:t>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eastAsia="zh-CN"/>
        </w:rPr>
        <w:t>赵</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峰</w:t>
      </w:r>
      <w:r>
        <w:rPr>
          <w:rFonts w:hint="eastAsia" w:ascii="仿宋" w:hAnsi="仿宋" w:eastAsia="仿宋" w:cs="仿宋"/>
          <w:color w:val="auto"/>
          <w:sz w:val="32"/>
          <w:szCs w:val="32"/>
        </w:rPr>
        <w:t xml:space="preserve">   市生态环境局阳城分局</w:t>
      </w:r>
      <w:r>
        <w:rPr>
          <w:rFonts w:hint="eastAsia" w:ascii="仿宋" w:hAnsi="仿宋" w:eastAsia="仿宋" w:cs="仿宋"/>
          <w:color w:val="auto"/>
          <w:sz w:val="32"/>
          <w:szCs w:val="32"/>
          <w:lang w:eastAsia="zh-CN"/>
        </w:rPr>
        <w:t>技</w:t>
      </w:r>
      <w:r>
        <w:rPr>
          <w:rFonts w:hint="eastAsia" w:ascii="仿宋" w:hAnsi="仿宋" w:eastAsia="仿宋" w:cs="仿宋"/>
          <w:color w:val="auto"/>
          <w:sz w:val="32"/>
          <w:szCs w:val="32"/>
        </w:rPr>
        <w:t>师</w:t>
      </w:r>
    </w:p>
    <w:p w14:paraId="63AF334F">
      <w:pPr>
        <w:rPr>
          <w:rFonts w:hint="eastAsia" w:ascii="仿宋" w:hAnsi="仿宋" w:eastAsia="仿宋" w:cs="仿宋"/>
          <w:color w:val="auto"/>
          <w:sz w:val="32"/>
          <w:szCs w:val="32"/>
        </w:rPr>
      </w:pPr>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eastAsia="zh-CN"/>
        </w:rPr>
        <w:t>李详旭</w:t>
      </w:r>
      <w:r>
        <w:rPr>
          <w:rFonts w:hint="eastAsia" w:ascii="仿宋" w:hAnsi="仿宋" w:eastAsia="仿宋" w:cs="仿宋"/>
          <w:color w:val="auto"/>
          <w:sz w:val="32"/>
          <w:szCs w:val="32"/>
        </w:rPr>
        <w:t xml:space="preserve">   县畜牧兽医服务中心</w:t>
      </w:r>
      <w:r>
        <w:rPr>
          <w:rFonts w:hint="eastAsia" w:ascii="仿宋" w:hAnsi="仿宋" w:eastAsia="仿宋" w:cs="仿宋"/>
          <w:color w:val="auto"/>
          <w:sz w:val="32"/>
          <w:szCs w:val="32"/>
          <w:lang w:eastAsia="zh-CN"/>
        </w:rPr>
        <w:t>畜牧师</w:t>
      </w:r>
    </w:p>
    <w:p w14:paraId="6F8F5C24">
      <w:pPr>
        <w:rPr>
          <w:rFonts w:hint="eastAsia" w:ascii="仿宋" w:hAnsi="仿宋" w:eastAsia="仿宋" w:cs="仿宋"/>
          <w:color w:val="auto"/>
          <w:sz w:val="32"/>
          <w:szCs w:val="32"/>
        </w:rPr>
      </w:pPr>
      <w:r>
        <w:rPr>
          <w:rFonts w:hint="eastAsia" w:ascii="仿宋" w:hAnsi="仿宋" w:eastAsia="仿宋" w:cs="仿宋"/>
          <w:color w:val="auto"/>
          <w:sz w:val="32"/>
          <w:szCs w:val="32"/>
        </w:rPr>
        <w:t>特邀专家：刘玉祥   市农业农村局正高级农艺师</w:t>
      </w:r>
    </w:p>
    <w:p w14:paraId="5836280C">
      <w:pPr>
        <w:rPr>
          <w:rFonts w:hint="eastAsia" w:ascii="仿宋" w:hAnsi="仿宋" w:eastAsia="仿宋" w:cs="仿宋"/>
          <w:color w:val="auto"/>
          <w:sz w:val="32"/>
          <w:szCs w:val="32"/>
        </w:rPr>
      </w:pPr>
      <w:r>
        <w:rPr>
          <w:rFonts w:hint="eastAsia" w:ascii="仿宋" w:hAnsi="仿宋" w:eastAsia="仿宋" w:cs="仿宋"/>
          <w:color w:val="auto"/>
          <w:sz w:val="32"/>
          <w:szCs w:val="32"/>
        </w:rPr>
        <w:t>　　　　  李　阳   市农业农村局农业经济师</w:t>
      </w:r>
    </w:p>
    <w:p w14:paraId="1EC70F6B">
      <w:pPr>
        <w:rPr>
          <w:rFonts w:hint="eastAsia" w:ascii="仿宋" w:hAnsi="仿宋" w:eastAsia="仿宋" w:cs="仿宋"/>
          <w:color w:val="auto"/>
          <w:sz w:val="32"/>
          <w:szCs w:val="32"/>
        </w:rPr>
      </w:pPr>
      <w:r>
        <w:rPr>
          <w:rFonts w:hint="eastAsia" w:ascii="仿宋" w:hAnsi="仿宋" w:eastAsia="仿宋" w:cs="仿宋"/>
          <w:color w:val="auto"/>
          <w:sz w:val="32"/>
          <w:szCs w:val="32"/>
        </w:rPr>
        <w:t>　　　　  王露云   市农业农村局助理农艺师</w:t>
      </w:r>
    </w:p>
    <w:p w14:paraId="47A39ACE">
      <w:pPr>
        <w:rPr>
          <w:rFonts w:hint="eastAsia" w:ascii="仿宋" w:hAnsi="仿宋" w:eastAsia="仿宋" w:cs="仿宋"/>
          <w:color w:val="auto"/>
          <w:sz w:val="32"/>
          <w:szCs w:val="32"/>
        </w:rPr>
      </w:pPr>
      <w:r>
        <w:rPr>
          <w:rFonts w:hint="eastAsia" w:ascii="仿宋" w:hAnsi="仿宋" w:eastAsia="仿宋" w:cs="仿宋"/>
          <w:color w:val="auto"/>
          <w:sz w:val="32"/>
          <w:szCs w:val="32"/>
        </w:rPr>
        <w:tab/>
      </w:r>
      <w:bookmarkStart w:id="0" w:name="_Toc15853_WPSOffice_Level2"/>
    </w:p>
    <w:bookmarkEnd w:id="0"/>
    <w:p w14:paraId="6FCC4E08">
      <w:pPr>
        <w:widowControl w:val="0"/>
        <w:tabs>
          <w:tab w:val="left" w:pos="7920"/>
        </w:tabs>
        <w:wordWrap/>
        <w:adjustRightInd w:val="0"/>
        <w:spacing w:line="560" w:lineRule="exact"/>
        <w:ind w:right="-88" w:rightChars="-42"/>
        <w:jc w:val="left"/>
        <w:rPr>
          <w:rFonts w:hint="eastAsia" w:ascii="仿宋_GB2312" w:eastAsia="仿宋_GB2312"/>
          <w:color w:val="auto"/>
          <w:sz w:val="28"/>
          <w:szCs w:val="28"/>
          <w:lang w:val="en-US" w:eastAsia="zh-CN"/>
        </w:rPr>
      </w:pPr>
    </w:p>
    <w:p w14:paraId="790FF62C">
      <w:pPr>
        <w:widowControl w:val="0"/>
        <w:tabs>
          <w:tab w:val="left" w:pos="7920"/>
        </w:tabs>
        <w:wordWrap/>
        <w:adjustRightInd w:val="0"/>
        <w:spacing w:line="560" w:lineRule="exact"/>
        <w:ind w:right="-88" w:rightChars="-42"/>
        <w:jc w:val="left"/>
        <w:rPr>
          <w:rFonts w:hint="eastAsia" w:ascii="仿宋_GB2312" w:eastAsia="仿宋_GB2312"/>
          <w:color w:val="auto"/>
          <w:sz w:val="28"/>
          <w:szCs w:val="28"/>
          <w:lang w:val="en-US" w:eastAsia="zh-CN"/>
        </w:rPr>
      </w:pPr>
    </w:p>
    <w:p w14:paraId="12F0AFB2">
      <w:pPr>
        <w:widowControl w:val="0"/>
        <w:tabs>
          <w:tab w:val="left" w:pos="7920"/>
        </w:tabs>
        <w:wordWrap/>
        <w:adjustRightInd w:val="0"/>
        <w:spacing w:line="560" w:lineRule="exact"/>
        <w:ind w:right="-88" w:rightChars="-42"/>
        <w:jc w:val="left"/>
        <w:rPr>
          <w:rFonts w:hint="eastAsia" w:ascii="仿宋_GB2312" w:eastAsia="仿宋_GB2312"/>
          <w:color w:val="auto"/>
          <w:sz w:val="28"/>
          <w:szCs w:val="28"/>
          <w:lang w:val="en-US" w:eastAsia="zh-CN"/>
        </w:rPr>
      </w:pPr>
    </w:p>
    <w:p w14:paraId="3240409F">
      <w:pPr>
        <w:widowControl w:val="0"/>
        <w:tabs>
          <w:tab w:val="left" w:pos="7920"/>
        </w:tabs>
        <w:wordWrap/>
        <w:adjustRightInd w:val="0"/>
        <w:spacing w:line="560" w:lineRule="exact"/>
        <w:ind w:right="-88" w:rightChars="-42"/>
        <w:jc w:val="left"/>
        <w:rPr>
          <w:rFonts w:hint="eastAsia" w:ascii="仿宋_GB2312" w:eastAsia="仿宋_GB2312"/>
          <w:color w:val="auto"/>
          <w:sz w:val="28"/>
          <w:szCs w:val="28"/>
          <w:lang w:val="en-US" w:eastAsia="zh-CN"/>
        </w:rPr>
      </w:pPr>
    </w:p>
    <w:p w14:paraId="6C7FC63E">
      <w:pPr>
        <w:keepNext w:val="0"/>
        <w:keepLines w:val="0"/>
        <w:pageBreakBefore w:val="0"/>
        <w:widowControl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（此页无正文）</w:t>
      </w:r>
    </w:p>
    <w:p w14:paraId="13FE2201">
      <w:pPr>
        <w:rPr>
          <w:rFonts w:hint="eastAsia"/>
          <w:color w:val="auto"/>
          <w:lang w:val="en-US" w:eastAsia="zh-CN"/>
        </w:rPr>
      </w:pPr>
    </w:p>
    <w:p w14:paraId="2C9A9BDA">
      <w:pPr>
        <w:bidi w:val="0"/>
        <w:rPr>
          <w:rFonts w:hint="eastAsia" w:ascii="Calibri" w:hAnsi="Calibri" w:eastAsia="宋体" w:cs="黑体"/>
          <w:kern w:val="2"/>
          <w:sz w:val="21"/>
          <w:szCs w:val="24"/>
          <w:lang w:val="en-US" w:eastAsia="zh-CN" w:bidi="ar-SA"/>
        </w:rPr>
      </w:pPr>
    </w:p>
    <w:p w14:paraId="5A8EA716">
      <w:pPr>
        <w:bidi w:val="0"/>
        <w:rPr>
          <w:rFonts w:hint="eastAsia"/>
          <w:lang w:val="en-US" w:eastAsia="zh-CN"/>
        </w:rPr>
      </w:pPr>
    </w:p>
    <w:p w14:paraId="7BFA9730">
      <w:pPr>
        <w:bidi w:val="0"/>
        <w:rPr>
          <w:rFonts w:hint="eastAsia"/>
          <w:lang w:val="en-US" w:eastAsia="zh-CN"/>
        </w:rPr>
      </w:pPr>
    </w:p>
    <w:p w14:paraId="651257FA">
      <w:pPr>
        <w:bidi w:val="0"/>
        <w:rPr>
          <w:rFonts w:hint="eastAsia"/>
          <w:lang w:val="en-US" w:eastAsia="zh-CN"/>
        </w:rPr>
      </w:pPr>
    </w:p>
    <w:p w14:paraId="0F579A5B">
      <w:pPr>
        <w:bidi w:val="0"/>
        <w:rPr>
          <w:rFonts w:hint="eastAsia"/>
          <w:lang w:val="en-US" w:eastAsia="zh-CN"/>
        </w:rPr>
      </w:pPr>
    </w:p>
    <w:p w14:paraId="7E7EBC1F">
      <w:pPr>
        <w:bidi w:val="0"/>
        <w:rPr>
          <w:rFonts w:hint="eastAsia"/>
          <w:lang w:val="en-US" w:eastAsia="zh-CN"/>
        </w:rPr>
      </w:pPr>
    </w:p>
    <w:p w14:paraId="11F031AE">
      <w:pPr>
        <w:bidi w:val="0"/>
        <w:rPr>
          <w:rFonts w:hint="eastAsia"/>
          <w:lang w:val="en-US" w:eastAsia="zh-CN"/>
        </w:rPr>
      </w:pPr>
    </w:p>
    <w:p w14:paraId="03BEC3AD">
      <w:pPr>
        <w:bidi w:val="0"/>
        <w:rPr>
          <w:rFonts w:hint="eastAsia"/>
          <w:lang w:val="en-US" w:eastAsia="zh-CN"/>
        </w:rPr>
      </w:pPr>
    </w:p>
    <w:p w14:paraId="23F41067">
      <w:pPr>
        <w:bidi w:val="0"/>
        <w:rPr>
          <w:rFonts w:hint="eastAsia"/>
          <w:lang w:val="en-US" w:eastAsia="zh-CN"/>
        </w:rPr>
      </w:pPr>
    </w:p>
    <w:p w14:paraId="524B0BCE">
      <w:pPr>
        <w:bidi w:val="0"/>
        <w:rPr>
          <w:rFonts w:hint="eastAsia"/>
          <w:lang w:val="en-US" w:eastAsia="zh-CN"/>
        </w:rPr>
      </w:pPr>
    </w:p>
    <w:p w14:paraId="261ECFC9">
      <w:pPr>
        <w:bidi w:val="0"/>
        <w:rPr>
          <w:rFonts w:hint="eastAsia"/>
          <w:lang w:val="en-US" w:eastAsia="zh-CN"/>
        </w:rPr>
      </w:pPr>
    </w:p>
    <w:p w14:paraId="79E71F2C">
      <w:pPr>
        <w:bidi w:val="0"/>
        <w:rPr>
          <w:rFonts w:hint="eastAsia"/>
          <w:lang w:val="en-US" w:eastAsia="zh-CN"/>
        </w:rPr>
      </w:pPr>
    </w:p>
    <w:p w14:paraId="456D1AFF">
      <w:pPr>
        <w:bidi w:val="0"/>
        <w:rPr>
          <w:rFonts w:hint="eastAsia"/>
          <w:lang w:val="en-US" w:eastAsia="zh-CN"/>
        </w:rPr>
      </w:pPr>
    </w:p>
    <w:p w14:paraId="7BC180F4">
      <w:pPr>
        <w:bidi w:val="0"/>
        <w:rPr>
          <w:rFonts w:hint="eastAsia"/>
          <w:lang w:val="en-US" w:eastAsia="zh-CN"/>
        </w:rPr>
      </w:pPr>
    </w:p>
    <w:p w14:paraId="6D94B81A">
      <w:pPr>
        <w:bidi w:val="0"/>
        <w:rPr>
          <w:rFonts w:hint="eastAsia"/>
          <w:lang w:val="en-US" w:eastAsia="zh-CN"/>
        </w:rPr>
      </w:pPr>
    </w:p>
    <w:p w14:paraId="08D23D9B">
      <w:pPr>
        <w:bidi w:val="0"/>
        <w:rPr>
          <w:rFonts w:hint="eastAsia"/>
          <w:lang w:val="en-US" w:eastAsia="zh-CN"/>
        </w:rPr>
      </w:pPr>
    </w:p>
    <w:p w14:paraId="54D9A4AB">
      <w:pPr>
        <w:bidi w:val="0"/>
        <w:rPr>
          <w:rFonts w:hint="eastAsia"/>
          <w:lang w:val="en-US" w:eastAsia="zh-CN"/>
        </w:rPr>
      </w:pPr>
    </w:p>
    <w:p w14:paraId="7346875B">
      <w:pPr>
        <w:bidi w:val="0"/>
        <w:rPr>
          <w:rFonts w:hint="eastAsia"/>
          <w:lang w:val="en-US" w:eastAsia="zh-CN"/>
        </w:rPr>
      </w:pPr>
    </w:p>
    <w:p w14:paraId="5266C595">
      <w:pPr>
        <w:bidi w:val="0"/>
        <w:rPr>
          <w:rFonts w:hint="eastAsia"/>
          <w:lang w:val="en-US" w:eastAsia="zh-CN"/>
        </w:rPr>
      </w:pPr>
    </w:p>
    <w:p w14:paraId="726BCE01">
      <w:pPr>
        <w:bidi w:val="0"/>
        <w:rPr>
          <w:rFonts w:hint="eastAsia"/>
          <w:lang w:val="en-US" w:eastAsia="zh-CN"/>
        </w:rPr>
      </w:pPr>
    </w:p>
    <w:p w14:paraId="16CAF4E1">
      <w:pPr>
        <w:bidi w:val="0"/>
        <w:rPr>
          <w:rFonts w:hint="eastAsia"/>
          <w:lang w:val="en-US" w:eastAsia="zh-CN"/>
        </w:rPr>
      </w:pPr>
    </w:p>
    <w:p w14:paraId="22CF6C31">
      <w:pPr>
        <w:bidi w:val="0"/>
        <w:rPr>
          <w:rFonts w:hint="eastAsia"/>
          <w:lang w:val="en-US" w:eastAsia="zh-CN"/>
        </w:rPr>
      </w:pPr>
    </w:p>
    <w:p w14:paraId="431E2390">
      <w:pPr>
        <w:bidi w:val="0"/>
        <w:rPr>
          <w:rFonts w:hint="eastAsia"/>
          <w:lang w:val="en-US" w:eastAsia="zh-CN"/>
        </w:rPr>
      </w:pPr>
    </w:p>
    <w:p w14:paraId="09865F33">
      <w:pPr>
        <w:bidi w:val="0"/>
        <w:rPr>
          <w:rFonts w:hint="eastAsia"/>
          <w:lang w:val="en-US" w:eastAsia="zh-CN"/>
        </w:rPr>
      </w:pPr>
    </w:p>
    <w:p w14:paraId="4F99B358">
      <w:pPr>
        <w:bidi w:val="0"/>
        <w:rPr>
          <w:rFonts w:hint="eastAsia"/>
          <w:lang w:val="en-US" w:eastAsia="zh-CN"/>
        </w:rPr>
      </w:pPr>
    </w:p>
    <w:p w14:paraId="61C466CC">
      <w:pPr>
        <w:bidi w:val="0"/>
        <w:rPr>
          <w:rFonts w:hint="eastAsia"/>
          <w:lang w:val="en-US" w:eastAsia="zh-CN"/>
        </w:rPr>
      </w:pPr>
    </w:p>
    <w:p w14:paraId="13F464D2">
      <w:pPr>
        <w:bidi w:val="0"/>
        <w:rPr>
          <w:rFonts w:hint="eastAsia"/>
          <w:lang w:val="en-US" w:eastAsia="zh-CN"/>
        </w:rPr>
      </w:pPr>
    </w:p>
    <w:p w14:paraId="33566CDD">
      <w:pPr>
        <w:bidi w:val="0"/>
        <w:rPr>
          <w:rFonts w:hint="eastAsia"/>
          <w:lang w:val="en-US" w:eastAsia="zh-CN"/>
        </w:rPr>
      </w:pPr>
    </w:p>
    <w:p w14:paraId="72C2BE72">
      <w:pPr>
        <w:bidi w:val="0"/>
        <w:rPr>
          <w:rFonts w:hint="eastAsia"/>
          <w:lang w:val="en-US" w:eastAsia="zh-CN"/>
        </w:rPr>
      </w:pPr>
    </w:p>
    <w:p w14:paraId="42466022">
      <w:pPr>
        <w:bidi w:val="0"/>
        <w:rPr>
          <w:rFonts w:hint="eastAsia"/>
          <w:lang w:val="en-US" w:eastAsia="zh-CN"/>
        </w:rPr>
      </w:pPr>
    </w:p>
    <w:p w14:paraId="40181FED">
      <w:pPr>
        <w:bidi w:val="0"/>
        <w:jc w:val="left"/>
        <w:rPr>
          <w:rFonts w:hint="default"/>
          <w:lang w:val="en-US" w:eastAsia="zh-CN"/>
        </w:rPr>
      </w:pPr>
    </w:p>
    <w:p w14:paraId="211670A9">
      <w:pPr>
        <w:tabs>
          <w:tab w:val="left" w:pos="7920"/>
        </w:tabs>
        <w:adjustRightInd w:val="0"/>
        <w:spacing w:line="560" w:lineRule="exact"/>
        <w:ind w:right="-88" w:rightChars="-42" w:firstLine="280" w:firstLineChars="100"/>
        <w:rPr>
          <w:rFonts w:hint="eastAsia" w:eastAsia="仿宋_GB2312"/>
          <w:lang w:val="en-US" w:eastAsia="zh-CN"/>
        </w:rPr>
      </w:pPr>
      <w:r>
        <w:rPr>
          <w:rFonts w:hint="default" w:ascii="仿宋_GB2312" w:hAnsi="Calibri" w:eastAsia="仿宋_GB2312" w:cs="黑体"/>
          <w:kern w:val="2"/>
          <w:sz w:val="28"/>
          <w:szCs w:val="28"/>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38100</wp:posOffset>
                </wp:positionV>
                <wp:extent cx="5652135"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652135" cy="63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3pt;height:0.05pt;width:445.05pt;z-index:251660288;mso-width-relative:page;mso-height-relative:page;" filled="f" stroked="t" coordsize="21600,21600" o:gfxdata="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LNNOo1AAAAAQBAAAPAAAAAAAAAAEAIAAAACIAAABkcnMvZG93bnJldi54bWxQSwECFAAU&#10;AAAACACHTuJA9PPWzfUBAADnAwAADgAAAAAAAAABACAAAAAjAQAAZHJzL2Uyb0RvYy54bWxQSwUG&#10;AAAAAAYABgBZAQAAigUAAAAA&#10;">
                <v:fill on="f" focussize="0,0"/>
                <v:stroke weight="1.25pt" color="#000000" joinstyle="round"/>
                <v:imagedata o:title=""/>
                <o:lock v:ext="edit" aspectratio="f"/>
              </v:line>
            </w:pict>
          </mc:Fallback>
        </mc:AlternateContent>
      </w:r>
      <w:r>
        <w:rPr>
          <w:rFonts w:hint="default" w:ascii="仿宋_GB2312" w:hAnsi="Calibri" w:eastAsia="仿宋_GB2312" w:cs="黑体"/>
          <w:kern w:val="2"/>
          <w:sz w:val="28"/>
          <w:szCs w:val="28"/>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416560</wp:posOffset>
                </wp:positionV>
                <wp:extent cx="5652135"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652135" cy="63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32.8pt;height:0.05pt;width:445.05pt;z-index:251661312;mso-width-relative:page;mso-height-relative:page;" filled="f" stroked="t" coordsize="21600,21600" o:gfxdata="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D1bPYfWAAAABgEAAA8AAAAAAAAAAQAgAAAAIgAAAGRycy9kb3ducmV2LnhtbFBLAQIU&#10;ABQAAAAIAIdO4kDzLeQc9QEAAOcDAAAOAAAAAAAAAAEAIAAAACUBAABkcnMvZTJvRG9jLnhtbFBL&#10;BQYAAAAABgAGAFkBAACMBQAAAAA=&#10;">
                <v:fill on="f" focussize="0,0"/>
                <v:stroke weight="1.25pt" color="#000000" joinstyle="round"/>
                <v:imagedata o:title=""/>
                <o:lock v:ext="edit" aspectratio="f"/>
              </v:line>
            </w:pict>
          </mc:Fallback>
        </mc:AlternateContent>
      </w:r>
      <w:r>
        <w:rPr>
          <w:rFonts w:hint="eastAsia" w:ascii="仿宋_GB2312" w:eastAsia="仿宋_GB2312"/>
          <w:sz w:val="28"/>
          <w:szCs w:val="28"/>
        </w:rPr>
        <w:t>中共阳城县</w:t>
      </w:r>
      <w:r>
        <w:rPr>
          <w:rFonts w:hint="eastAsia" w:ascii="仿宋_GB2312" w:eastAsia="仿宋_GB2312"/>
          <w:sz w:val="28"/>
          <w:szCs w:val="28"/>
          <w:lang w:eastAsia="zh-CN"/>
        </w:rPr>
        <w:t>委</w:t>
      </w:r>
      <w:r>
        <w:rPr>
          <w:rFonts w:hint="eastAsia" w:ascii="仿宋_GB2312" w:eastAsia="仿宋_GB2312"/>
          <w:sz w:val="28"/>
          <w:szCs w:val="28"/>
        </w:rPr>
        <w:t>农</w:t>
      </w:r>
      <w:r>
        <w:rPr>
          <w:rFonts w:hint="eastAsia" w:ascii="仿宋_GB2312" w:eastAsia="仿宋_GB2312"/>
          <w:sz w:val="28"/>
          <w:szCs w:val="28"/>
          <w:lang w:eastAsia="zh-CN"/>
        </w:rPr>
        <w:t>村工作领导小组办公室</w:t>
      </w:r>
      <w:r>
        <w:rPr>
          <w:rFonts w:hint="eastAsia" w:ascii="仿宋_GB2312" w:eastAsia="仿宋_GB2312"/>
          <w:sz w:val="28"/>
          <w:szCs w:val="28"/>
          <w:lang w:val="en-US" w:eastAsia="zh-CN"/>
        </w:rPr>
        <w:t xml:space="preserve">   </w:t>
      </w:r>
      <w:r>
        <w:rPr>
          <w:rFonts w:hint="eastAsia" w:ascii="仿宋_GB2312" w:eastAsia="仿宋_GB2312"/>
          <w:sz w:val="30"/>
          <w:szCs w:val="30"/>
        </w:rPr>
        <w:t xml:space="preserve">  </w:t>
      </w:r>
      <w:r>
        <w:rPr>
          <w:rFonts w:hint="eastAsia" w:ascii="仿宋_GB2312" w:eastAsia="仿宋_GB2312"/>
          <w:sz w:val="30"/>
          <w:szCs w:val="30"/>
          <w:lang w:val="en-US" w:eastAsia="zh-CN"/>
        </w:rPr>
        <w:t xml:space="preserve"> </w:t>
      </w:r>
      <w:r>
        <w:rPr>
          <w:rFonts w:hint="eastAsia" w:ascii="仿宋_GB2312" w:eastAsia="仿宋_GB2312"/>
          <w:sz w:val="28"/>
          <w:szCs w:val="28"/>
        </w:rPr>
        <w:t>202</w:t>
      </w:r>
      <w:r>
        <w:rPr>
          <w:rFonts w:hint="eastAsia" w:ascii="仿宋_GB2312" w:eastAsia="仿宋_GB2312"/>
          <w:sz w:val="28"/>
          <w:szCs w:val="28"/>
          <w:lang w:val="en-US" w:eastAsia="zh-CN"/>
        </w:rPr>
        <w:t>6</w:t>
      </w:r>
      <w:r>
        <w:rPr>
          <w:rFonts w:hint="eastAsia" w:ascii="仿宋_GB2312" w:eastAsia="仿宋_GB2312"/>
          <w:sz w:val="28"/>
          <w:szCs w:val="28"/>
        </w:rPr>
        <w:t>年</w:t>
      </w:r>
      <w:r>
        <w:rPr>
          <w:rFonts w:hint="eastAsia" w:ascii="仿宋_GB2312" w:eastAsia="仿宋_GB2312"/>
          <w:sz w:val="28"/>
          <w:szCs w:val="28"/>
          <w:lang w:val="en-US" w:eastAsia="zh-CN"/>
        </w:rPr>
        <w:t>8</w:t>
      </w:r>
      <w:r>
        <w:rPr>
          <w:rFonts w:hint="eastAsia" w:ascii="仿宋_GB2312" w:eastAsia="仿宋_GB2312"/>
          <w:sz w:val="28"/>
          <w:szCs w:val="28"/>
        </w:rPr>
        <w:t>月</w:t>
      </w:r>
      <w:r>
        <w:rPr>
          <w:rFonts w:hint="eastAsia" w:ascii="仿宋_GB2312" w:eastAsia="仿宋_GB2312"/>
          <w:sz w:val="28"/>
          <w:szCs w:val="28"/>
          <w:lang w:val="en-US" w:eastAsia="zh-CN"/>
        </w:rPr>
        <w:t>5</w:t>
      </w:r>
      <w:r>
        <w:rPr>
          <w:rFonts w:hint="eastAsia" w:ascii="仿宋_GB2312" w:eastAsia="仿宋_GB2312"/>
          <w:sz w:val="28"/>
          <w:szCs w:val="28"/>
        </w:rPr>
        <w:t>日印发</w:t>
      </w:r>
    </w:p>
    <w:sectPr>
      <w:footerReference r:id="rId3" w:type="default"/>
      <w:pgSz w:w="11906" w:h="16838"/>
      <w:pgMar w:top="2098" w:right="1531" w:bottom="1984" w:left="1531" w:header="851" w:footer="1134" w:gutter="0"/>
      <w:pgNumType w:fmt="numberInDash" w:start="2"/>
      <w:cols w:space="72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auto"/>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新宋体">
    <w:altName w:val="Noto Sans Mono CJK SC"/>
    <w:panose1 w:val="02010609030101010101"/>
    <w:charset w:val="86"/>
    <w:family w:val="auto"/>
    <w:pitch w:val="default"/>
    <w:sig w:usb0="00000000" w:usb1="00000000" w:usb2="00000006" w:usb3="00000000" w:csb0="00040001" w:csb1="00000000"/>
  </w:font>
  <w:font w:name="Noto Sans Mono CJK SC">
    <w:panose1 w:val="020B0500000000000000"/>
    <w:charset w:val="86"/>
    <w:family w:val="auto"/>
    <w:pitch w:val="default"/>
    <w:sig w:usb0="30000083" w:usb1="2BDF3C10" w:usb2="00000016" w:usb3="00000000" w:csb0="602E0107" w:csb1="00000000"/>
  </w:font>
  <w:font w:name="仿宋">
    <w:altName w:val="方正仿宋_GBK"/>
    <w:panose1 w:val="02010609060101010101"/>
    <w:charset w:val="86"/>
    <w:family w:val="auto"/>
    <w:pitch w:val="default"/>
    <w:sig w:usb0="00000000" w:usb1="00000000" w:usb2="00000016"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A207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B3D9C3">
                          <w:pPr>
                            <w:pStyle w:val="3"/>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DB3D9C3">
                    <w:pPr>
                      <w:pStyle w:val="3"/>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VerticalSpacing w:val="164"/>
  <w:displayHorizontalDrawingGridEvery w:val="1"/>
  <w:displayVerticalDrawingGridEvery w:val="2"/>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FA6B99"/>
    <w:rsid w:val="33FDB0C4"/>
    <w:rsid w:val="45FBA5BD"/>
    <w:rsid w:val="5B6EF4C0"/>
    <w:rsid w:val="6F67D455"/>
    <w:rsid w:val="74DDFD02"/>
    <w:rsid w:val="77EFC015"/>
    <w:rsid w:val="7DF7871F"/>
    <w:rsid w:val="7EFF8320"/>
    <w:rsid w:val="7F7D5BDD"/>
    <w:rsid w:val="7F9F266C"/>
    <w:rsid w:val="8F3F4AE5"/>
    <w:rsid w:val="AFF7AA83"/>
    <w:rsid w:val="BF5D10A5"/>
    <w:rsid w:val="D3FF969E"/>
    <w:rsid w:val="DAFBBAA1"/>
    <w:rsid w:val="DCEE4D20"/>
    <w:rsid w:val="F5EA71C3"/>
    <w:rsid w:val="F7BE6139"/>
    <w:rsid w:val="F8EF76E8"/>
    <w:rsid w:val="FE7F4F5F"/>
    <w:rsid w:val="FF5ACBD4"/>
    <w:rsid w:val="FFFFD86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2"/>
    <w:basedOn w:val="1"/>
    <w:next w:val="1"/>
    <w:semiHidden/>
    <w:unhideWhenUsed/>
    <w:qFormat/>
    <w:uiPriority w:val="0"/>
    <w:pPr>
      <w:keepNext/>
      <w:keepLines/>
      <w:spacing w:before="260" w:beforeAutospacing="0" w:after="260" w:afterAutospacing="0" w:line="240" w:lineRule="auto"/>
      <w:ind w:firstLine="0" w:firstLineChars="0"/>
      <w:jc w:val="center"/>
      <w:outlineLvl w:val="1"/>
    </w:pPr>
    <w:rPr>
      <w:rFonts w:ascii="Arial" w:hAnsi="Arial" w:eastAsia="方正小标宋简体"/>
      <w:sz w:val="36"/>
    </w:rPr>
  </w:style>
  <w:style w:type="character" w:default="1" w:styleId="8">
    <w:name w:val="Default Paragraph Font"/>
    <w:semiHidden/>
    <w:qFormat/>
    <w:uiPriority w:val="0"/>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footer"/>
    <w:basedOn w:val="1"/>
    <w:unhideWhenUsed/>
    <w:qFormat/>
    <w:uiPriority w:val="0"/>
    <w:pPr>
      <w:tabs>
        <w:tab w:val="center" w:pos="4153"/>
        <w:tab w:val="right" w:pos="8306"/>
      </w:tabs>
      <w:snapToGrid w:val="0"/>
      <w:jc w:val="left"/>
    </w:pPr>
    <w:rPr>
      <w:rFonts w:eastAsia="仿宋_GB2312"/>
      <w:sz w:val="18"/>
      <w:szCs w:val="20"/>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rPr>
  </w:style>
  <w:style w:type="paragraph" w:styleId="6">
    <w:name w:val="Body Text First Indent"/>
    <w:qFormat/>
    <w:uiPriority w:val="0"/>
    <w:pPr>
      <w:widowControl w:val="0"/>
      <w:ind w:firstLine="420"/>
      <w:jc w:val="both"/>
    </w:pPr>
    <w:rPr>
      <w:rFonts w:ascii="Times New Roman" w:hAnsi="Times New Roman" w:eastAsia="宋体" w:cs="Times New Roman"/>
      <w:kern w:val="2"/>
      <w:sz w:val="32"/>
      <w:szCs w:val="32"/>
      <w:lang w:val="en-US" w:eastAsia="zh-CN" w:bidi="ar-SA"/>
    </w:rPr>
  </w:style>
  <w:style w:type="character" w:styleId="9">
    <w:name w:val="Strong"/>
    <w:basedOn w:val="8"/>
    <w:qFormat/>
    <w:uiPriority w:val="0"/>
    <w:rPr>
      <w:b/>
    </w:rPr>
  </w:style>
  <w:style w:type="character" w:styleId="10">
    <w:name w:val="page number"/>
    <w:basedOn w:val="8"/>
    <w:qFormat/>
    <w:uiPriority w:val="0"/>
  </w:style>
  <w:style w:type="paragraph" w:customStyle="1" w:styleId="11">
    <w:name w:val="No Spacing_ad81b47b-6779-4c76-b471-79375858c8cb"/>
    <w:basedOn w:val="1"/>
    <w:qFormat/>
    <w:uiPriority w:val="99"/>
    <w:pPr>
      <w:ind w:firstLine="200" w:firstLineChars="200"/>
    </w:pPr>
    <w:rPr>
      <w:rFonts w:ascii="Cambria" w:hAnsi="Cambria" w:eastAsia="宋体" w:cs="Times New Roman"/>
      <w:sz w:val="24"/>
      <w:lang w:val="en-US" w:eastAsia="zh-CN" w:bidi="ar-SA"/>
    </w:rPr>
  </w:style>
  <w:style w:type="paragraph" w:customStyle="1" w:styleId="12">
    <w:name w:val="无间隔1"/>
    <w:next w:val="1"/>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3">
    <w:name w:val="NormalCharacter"/>
    <w:qFormat/>
    <w:uiPriority w:val="99"/>
    <w:rPr>
      <w:rFonts w:ascii="Calibri" w:hAnsi="Calibri" w:eastAsia="宋体" w:cs="Calibr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6232</Words>
  <Characters>6354</Characters>
  <Lines>0</Lines>
  <Paragraphs>0</Paragraphs>
  <TotalTime>44</TotalTime>
  <ScaleCrop>false</ScaleCrop>
  <LinksUpToDate>false</LinksUpToDate>
  <CharactersWithSpaces>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2022-02-23T17:34:00Z</dcterms:created>
  <dc:creator>Administrator</dc:creator>
  <cp:lastModifiedBy>baixin</cp:lastModifiedBy>
  <cp:lastPrinted>2026-08-28T18:02:00Z</cp:lastPrinted>
  <dcterms:modified xsi:type="dcterms:W3CDTF">2026-09-07T09:18:22Z</dcterms:modified>
  <dc:title>（2025年度秸秆方案草稿）</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922D17CA45B8535797E2906AB6D6E41D_43</vt:lpwstr>
  </property>
  <property fmtid="{D5CDD505-2E9C-101B-9397-08002B2CF9AE}" pid="4" name="KSOTemplateDocerSaveRecord">
    <vt:lpwstr>eyJoZGlkIjoiNTFhMjI0MjE3Njk0ZGEyZWMwYjdmZTVhNTAwZTI2OTAiLCJ1c2VySWQiOiI0Mzc1MDU2NjgifQ==</vt:lpwstr>
  </property>
</Properties>
</file>