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" w:eastAsia="仿宋_GB2312" w:cs="仿宋_GB2312"/>
          <w:sz w:val="20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年畜牧业高质量发展项目实施方案批复清单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sz w:val="20"/>
          <w:szCs w:val="20"/>
          <w:lang w:val="en-US" w:eastAsia="zh-CN" w:bidi="ar-SA"/>
        </w:rPr>
        <w:t>单位：万元</w:t>
      </w:r>
    </w:p>
    <w:tbl>
      <w:tblPr>
        <w:tblStyle w:val="3"/>
        <w:tblW w:w="13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928"/>
        <w:gridCol w:w="2535"/>
        <w:gridCol w:w="990"/>
        <w:gridCol w:w="960"/>
        <w:gridCol w:w="1140"/>
        <w:gridCol w:w="5381"/>
        <w:gridCol w:w="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实施单位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项目名称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类型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投资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市级</w:t>
            </w:r>
            <w:r>
              <w:rPr>
                <w:rFonts w:hint="eastAsia" w:ascii="国标黑体" w:hAnsi="国标黑体" w:eastAsia="国标黑体" w:cs="国标黑体"/>
                <w:sz w:val="20"/>
                <w:szCs w:val="20"/>
                <w:lang w:val="en-US" w:eastAsia="zh-CN" w:bidi="ar-SA"/>
              </w:rPr>
              <w:t>补助</w:t>
            </w: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资金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0"/>
                <w:szCs w:val="20"/>
                <w:lang w:eastAsia="zh-CN" w:bidi="ar-SA"/>
              </w:rPr>
              <w:t>建设内容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sz w:val="18"/>
                <w:szCs w:val="18"/>
              </w:rPr>
            </w:pPr>
            <w:r>
              <w:rPr>
                <w:rFonts w:hint="eastAsia" w:ascii="国标黑体" w:hAnsi="国标黑体" w:eastAsia="国标黑体" w:cs="国标黑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山西天扬农业发展有限公司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山西天扬农业发展有限公司畜禽品种改良项目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  <w:t>畜禽品种改良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180头后备母牛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晋城汇鸿农牧科技有限公司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晋城汇鸿农牧科技有限公司畜禽品种改良项目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  <w:t>畜禽品种改良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100头后备母牛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阳城县毅垣养殖农民专业合作社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阳城县毅垣养殖农民专业合作社畜禽品种改良项目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  <w:t>畜禽品种改良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100头后备母牛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阳城香山禽业有限公司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阳城香山禽业有限公司30万羽蛋鸡项目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  <w:t>基础设施建设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建设一个饲料原料加工车间，挡土墙及硬化地面1200平方米，购进色选机、筛选机、豆粕仓各一套。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山西龙凤祥禽业有限公司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山西龙凤祥禽业有限公司10万羽蛋鸡项目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  <w:t>基础设施建设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建设翻抛车间一座，购置安装粪污处理设施设备。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阳城县福隆生态肉鸡养殖有限公司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阳城县福隆生态肉鸡养殖有限公司数字化升级项目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数字化升级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全场监控与网络服务器，数字化调控系统以及能耗监测系统，环境控制系统，智能终端数据对接系统及设备。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晋城市犇犇农牧股份有限公司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晋城市犇犇农牧股份有限公司数字化升级项目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数字化升级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166.2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牛场智能化管理系统（含小程序），应用网络与生物安全系统，精准饲喂车智能化改造，TMR日粮机精准配料智能化改造，智能疫苗冷藏库，牛只数字称重设备，牛只终端数据采集与应用耗材。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阳城县壬辰甲秀养殖有限公司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阳城县壬辰甲秀养殖有限公司数字化升级项目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数字化升级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167.5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养殖云，巡检机器人（含巡检云），环控云（含硬件），中控云。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阳城县翼比高养鸡农民专业合作社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阳城县翼比高养鸡农民专业合作社省级兽药抗菌药减量化项目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标准化创建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创建省级兽药抗菌药减量化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阳城温氏畜牧有限公司芹池种猪二场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阳城温氏畜牧有限公司省级兽药抗菌药减量化项目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  <w:t>标准化创建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创建省级兽药抗菌药减量化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beforeLines="50" w:line="620" w:lineRule="exact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01A1"/>
    <w:rsid w:val="0C1C227E"/>
    <w:rsid w:val="19A7784D"/>
    <w:rsid w:val="1BE35EAC"/>
    <w:rsid w:val="1BF12377"/>
    <w:rsid w:val="222C235B"/>
    <w:rsid w:val="229A666B"/>
    <w:rsid w:val="29373393"/>
    <w:rsid w:val="2A8E1129"/>
    <w:rsid w:val="2B1070EF"/>
    <w:rsid w:val="2DF9419E"/>
    <w:rsid w:val="37DE0CD4"/>
    <w:rsid w:val="3C800AD2"/>
    <w:rsid w:val="3CBE461C"/>
    <w:rsid w:val="43414C39"/>
    <w:rsid w:val="51B27F88"/>
    <w:rsid w:val="536632F4"/>
    <w:rsid w:val="55236D3E"/>
    <w:rsid w:val="555920AA"/>
    <w:rsid w:val="57EC78BB"/>
    <w:rsid w:val="58BB0FC3"/>
    <w:rsid w:val="5BE10621"/>
    <w:rsid w:val="5F5B7496"/>
    <w:rsid w:val="607D688C"/>
    <w:rsid w:val="618D0306"/>
    <w:rsid w:val="69326578"/>
    <w:rsid w:val="6C6A3860"/>
    <w:rsid w:val="749B1FF5"/>
    <w:rsid w:val="75F42D83"/>
    <w:rsid w:val="78AB56FE"/>
    <w:rsid w:val="7C8A02AF"/>
    <w:rsid w:val="7C8D2C10"/>
    <w:rsid w:val="7CFE49B6"/>
    <w:rsid w:val="7DA21FE4"/>
    <w:rsid w:val="7F930C99"/>
    <w:rsid w:val="B7FFC871"/>
    <w:rsid w:val="EFF18B6E"/>
    <w:rsid w:val="FFFB9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 First Indent 2_69387261-4133-4a63-8811-99e4a0ca497a"/>
    <w:basedOn w:val="1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01"/>
    <w:basedOn w:val="4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1446</Words>
  <Characters>1540</Characters>
  <Lines>0</Lines>
  <Paragraphs>0</Paragraphs>
  <TotalTime>3</TotalTime>
  <ScaleCrop>false</ScaleCrop>
  <LinksUpToDate>false</LinksUpToDate>
  <CharactersWithSpaces>1583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2025-04-08T00:18:00Z</dcterms:created>
  <dc:creator>Administrator</dc:creator>
  <cp:lastModifiedBy>greatwall</cp:lastModifiedBy>
  <cp:lastPrinted>2025-04-16T10:09:00Z</cp:lastPrinted>
  <dcterms:modified xsi:type="dcterms:W3CDTF">2026-06-02T16:48:08Z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KSOTemplateDocerSaveRecord">
    <vt:lpwstr>eyJoZGlkIjoiZTcyOGY2M2NkYzc1YjBhY2UyNjc4MjA3Nzg0YTdiOTIiLCJ1c2VySWQiOiIyMDA1NTY4NjUifQ==</vt:lpwstr>
  </property>
  <property fmtid="{D5CDD505-2E9C-101B-9397-08002B2CF9AE}" pid="4" name="ICV">
    <vt:lpwstr>E3E348FC5AC07AEFC8981E6A4B341718</vt:lpwstr>
  </property>
</Properties>
</file>