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61" w:tblpY="578"/>
        <w:tblOverlap w:val="never"/>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50"/>
        <w:gridCol w:w="2685"/>
        <w:gridCol w:w="1665"/>
        <w:gridCol w:w="153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55"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CESI黑体-GB2312" w:hAnsi="CESI黑体-GB2312" w:eastAsia="CESI黑体-GB2312" w:cs="CESI黑体-GB2312"/>
                <w:i w:val="0"/>
                <w:iCs w:val="0"/>
                <w:color w:val="000000"/>
                <w:kern w:val="0"/>
                <w:sz w:val="36"/>
                <w:szCs w:val="36"/>
                <w:u w:val="none"/>
                <w:lang w:val="en-US" w:eastAsia="zh-CN" w:bidi="ar"/>
              </w:rPr>
            </w:pPr>
            <w:bookmarkStart w:id="0" w:name="_GoBack"/>
            <w:bookmarkEnd w:id="0"/>
            <w:r>
              <w:rPr>
                <w:rFonts w:hint="eastAsia" w:ascii="方正小标宋简体" w:hAnsi="方正小标宋简体" w:eastAsia="方正小标宋简体" w:cs="方正小标宋简体"/>
                <w:spacing w:val="0"/>
                <w:sz w:val="30"/>
                <w:szCs w:val="30"/>
                <w:lang w:val="en-US" w:eastAsia="zh-CN"/>
              </w:rPr>
              <w:t>附件1</w:t>
            </w:r>
          </w:p>
          <w:p>
            <w:pPr>
              <w:keepNext w:val="0"/>
              <w:keepLines w:val="0"/>
              <w:widowControl/>
              <w:suppressLineNumbers w:val="0"/>
              <w:jc w:val="center"/>
              <w:textAlignment w:val="center"/>
              <w:rPr>
                <w:rFonts w:ascii="CESI黑体-GB2312" w:hAnsi="CESI黑体-GB2312" w:eastAsia="CESI黑体-GB2312" w:cs="CESI黑体-GB2312"/>
                <w:i w:val="0"/>
                <w:iCs w:val="0"/>
                <w:color w:val="000000"/>
                <w:sz w:val="36"/>
                <w:szCs w:val="36"/>
                <w:u w:val="none"/>
              </w:rPr>
            </w:pPr>
            <w:r>
              <w:rPr>
                <w:rFonts w:hint="eastAsia" w:ascii="CESI黑体-GB2312" w:hAnsi="CESI黑体-GB2312" w:eastAsia="CESI黑体-GB2312" w:cs="CESI黑体-GB2312"/>
                <w:i w:val="0"/>
                <w:iCs w:val="0"/>
                <w:color w:val="000000"/>
                <w:kern w:val="0"/>
                <w:sz w:val="36"/>
                <w:szCs w:val="36"/>
                <w:u w:val="none"/>
                <w:lang w:val="en-US" w:eastAsia="zh-CN" w:bidi="ar"/>
              </w:rPr>
              <w:t>阳城县2026年中央、省级第二批常态化帮扶资金分配表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w:t>
            </w:r>
          </w:p>
        </w:tc>
        <w:tc>
          <w:tcPr>
            <w:tcW w:w="16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6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6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319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资金来源 （万元）</w:t>
            </w:r>
          </w:p>
        </w:tc>
        <w:tc>
          <w:tcPr>
            <w:tcW w:w="1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w:t>
            </w:r>
          </w:p>
        </w:tc>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阳城县杂粮薯类种植补贴</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83</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蚕桑产业巩固拓展脱贫攻坚成果有效衔接乡村振兴项目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苏村村“高标准智慧农业产业园”建设项目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r>
              <w:rPr>
                <w:rFonts w:hint="eastAsia" w:ascii="仿宋_GB2312" w:hAnsi="宋体" w:eastAsia="仿宋_GB2312" w:cs="仿宋_GB2312"/>
                <w:i w:val="0"/>
                <w:iCs w:val="0"/>
                <w:color w:val="000000"/>
                <w:kern w:val="0"/>
                <w:sz w:val="20"/>
                <w:szCs w:val="20"/>
                <w:u w:val="none"/>
                <w:lang w:val="en-US" w:eastAsia="zh-CN" w:bidi="ar"/>
              </w:rPr>
              <w:t>（乡村振兴中心）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阳城县小额信贷贴息项目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r>
              <w:rPr>
                <w:rFonts w:hint="eastAsia" w:ascii="仿宋_GB2312" w:hAnsi="宋体" w:eastAsia="仿宋_GB2312" w:cs="仿宋_GB2312"/>
                <w:i w:val="0"/>
                <w:iCs w:val="0"/>
                <w:color w:val="000000"/>
                <w:kern w:val="0"/>
                <w:sz w:val="20"/>
                <w:szCs w:val="20"/>
                <w:u w:val="none"/>
                <w:lang w:val="en-US" w:eastAsia="zh-CN" w:bidi="ar"/>
              </w:rPr>
              <w:t>（乡村振兴中心）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阳城县2026年脱贫家庭大学本科新生资助</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r>
              <w:rPr>
                <w:rFonts w:hint="eastAsia" w:ascii="仿宋_GB2312" w:hAnsi="宋体" w:eastAsia="仿宋_GB2312" w:cs="仿宋_GB2312"/>
                <w:i w:val="0"/>
                <w:iCs w:val="0"/>
                <w:color w:val="000000"/>
                <w:kern w:val="0"/>
                <w:sz w:val="20"/>
                <w:szCs w:val="20"/>
                <w:u w:val="none"/>
                <w:lang w:val="en-US" w:eastAsia="zh-CN" w:bidi="ar"/>
              </w:rPr>
              <w:t>（乡村振兴中心）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外出务工一次性交通补贴</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r>
              <w:rPr>
                <w:rFonts w:hint="eastAsia" w:ascii="仿宋_GB2312" w:hAnsi="宋体" w:eastAsia="仿宋_GB2312" w:cs="仿宋_GB2312"/>
                <w:i w:val="0"/>
                <w:iCs w:val="0"/>
                <w:color w:val="000000"/>
                <w:kern w:val="0"/>
                <w:sz w:val="20"/>
                <w:szCs w:val="20"/>
                <w:u w:val="none"/>
                <w:lang w:val="en-US" w:eastAsia="zh-CN" w:bidi="ar"/>
              </w:rPr>
              <w:t>（乡村振兴中心）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常态化帮扶资金项目审计管理</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横山源阳城白山羊保种扩繁二期项目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次营西壮隆帆40万羽肉鸡项目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次营侯井鑫硕猪场项目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65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68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董封后交新建存栏10万羽蛋鸡项目</w:t>
            </w:r>
          </w:p>
        </w:tc>
        <w:tc>
          <w:tcPr>
            <w:tcW w:w="166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530" w:type="dxa"/>
            <w:tcBorders>
              <w:top w:val="nil"/>
              <w:left w:val="single" w:color="000000" w:sz="8" w:space="0"/>
              <w:bottom w:val="single" w:color="auto" w:sz="4"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auto" w:sz="4"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6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68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31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资金来源 （万元）</w:t>
            </w:r>
          </w:p>
        </w:tc>
        <w:tc>
          <w:tcPr>
            <w:tcW w:w="163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9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6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c>
          <w:tcPr>
            <w:tcW w:w="268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中央</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w:t>
            </w:r>
          </w:p>
        </w:tc>
        <w:tc>
          <w:tcPr>
            <w:tcW w:w="1635"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林业局</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阳城县巩固脱贫生态管护项目</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65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68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赛村村水毁道路维修工程</w:t>
            </w:r>
          </w:p>
        </w:tc>
        <w:tc>
          <w:tcPr>
            <w:tcW w:w="166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530"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董封乡董封至上河线农村水毁道路修复养护</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董封乡坡丰村过水路面水毁修复养护工程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横河镇水头至老洞水毁恢复工程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蟒河镇台头村安置点水毁道路安置工程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人社局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阳城县稳岗补助</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131</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兴润集中供水扩建工程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76</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横河镇水头村至横河村水网提质改造工程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温沟集中供水改建工程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町店村水网改造工程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鹿渠村牛沟引水工程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西窊村水网改造工程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古河村水网改造工程</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苏村村供水设施建设项目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6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6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319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资金来源 （万元）</w:t>
            </w:r>
          </w:p>
        </w:tc>
        <w:tc>
          <w:tcPr>
            <w:tcW w:w="1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w:t>
            </w:r>
          </w:p>
        </w:tc>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贾庄村更换智能水表工程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莲花村村委碲化镉光伏项目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鹿渠村村委碲化镉光伏项目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赤头村村委碲化镉光伏项目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护驾村村委碲化镉光伏项目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驾岭村村委碲化镉光伏项目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44.5</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暖辿村村委碲化镉光伏项目光伏电站</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河北镇蛇窊村村委碲化镉光伏项目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发改局（</w:t>
            </w:r>
            <w:r>
              <w:rPr>
                <w:rFonts w:hint="default" w:ascii="仿宋_GB2312" w:hAnsi="宋体" w:eastAsia="仿宋_GB2312" w:cs="仿宋_GB2312"/>
                <w:i w:val="0"/>
                <w:iCs w:val="0"/>
                <w:color w:val="000000"/>
                <w:kern w:val="0"/>
                <w:sz w:val="20"/>
                <w:szCs w:val="20"/>
                <w:u w:val="none"/>
                <w:lang w:val="en-US" w:eastAsia="zh-CN" w:bidi="ar"/>
              </w:rPr>
              <w:t>能源局</w:t>
            </w:r>
            <w:r>
              <w:rPr>
                <w:rFonts w:hint="eastAsia" w:ascii="仿宋_GB2312" w:hAnsi="宋体" w:eastAsia="仿宋_GB2312" w:cs="仿宋_GB2312"/>
                <w:i w:val="0"/>
                <w:iCs w:val="0"/>
                <w:color w:val="000000"/>
                <w:kern w:val="0"/>
                <w:sz w:val="20"/>
                <w:szCs w:val="20"/>
                <w:u w:val="none"/>
                <w:lang w:val="en-US" w:eastAsia="zh-CN" w:bidi="ar"/>
              </w:rPr>
              <w:t>）</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秋泉村屋顶分布式光伏建设项目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44.5</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北留镇</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壁河村安置点综合服务中心建设项目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河北镇安置点修缮工程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河北，土孟安置点综合服务中心建设工程</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160</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天掌村饲料化养蚕项目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230</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6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河北镇九甲村犇驰养牛场提升项目</w:t>
            </w:r>
          </w:p>
        </w:tc>
        <w:tc>
          <w:tcPr>
            <w:tcW w:w="166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63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合计</w:t>
            </w:r>
          </w:p>
        </w:tc>
        <w:tc>
          <w:tcPr>
            <w:tcW w:w="268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1981</w:t>
            </w:r>
          </w:p>
        </w:tc>
        <w:tc>
          <w:tcPr>
            <w:tcW w:w="1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268</w:t>
            </w:r>
          </w:p>
        </w:tc>
        <w:tc>
          <w:tcPr>
            <w:tcW w:w="1635"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firstLine="5120" w:firstLineChars="1600"/>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1814" w:right="1531" w:bottom="1701" w:left="1587" w:header="851" w:footer="1276" w:gutter="0"/>
          <w:pgBorders>
            <w:top w:val="none" w:sz="0" w:space="0"/>
            <w:left w:val="none" w:sz="0" w:space="0"/>
            <w:bottom w:val="none" w:sz="0" w:space="0"/>
            <w:right w:val="none" w:sz="0" w:space="0"/>
          </w:pgBorders>
          <w:pgNumType w:fmt="numberInDash" w:start="2"/>
          <w:cols w:space="0" w:num="1"/>
          <w:rtlGutter w:val="0"/>
          <w:docGrid w:type="lines" w:linePitch="312" w:charSpace="0"/>
        </w:sectPr>
      </w:pPr>
      <w:r>
        <w:rPr>
          <w:rFonts w:hint="eastAsia" w:ascii="仿宋_GB2312" w:hAnsi="仿宋_GB2312" w:eastAsia="仿宋_GB2312" w:cs="仿宋_GB2312"/>
          <w:sz w:val="32"/>
          <w:szCs w:val="32"/>
          <w:lang w:val="en-US" w:eastAsia="zh-CN"/>
        </w:rPr>
        <w:br w:type="page"/>
      </w:r>
    </w:p>
    <w:tbl>
      <w:tblPr>
        <w:tblStyle w:val="7"/>
        <w:tblpPr w:leftFromText="180" w:rightFromText="180" w:vertAnchor="text" w:horzAnchor="page" w:tblpX="1076" w:tblpY="585"/>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1875"/>
        <w:gridCol w:w="2550"/>
        <w:gridCol w:w="187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050"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方正小标宋简体" w:hAnsi="方正小标宋简体" w:eastAsia="方正小标宋简体" w:cs="方正小标宋简体"/>
                <w:spacing w:val="0"/>
                <w:sz w:val="30"/>
                <w:szCs w:val="30"/>
                <w:lang w:val="en-US" w:eastAsia="zh-CN"/>
              </w:rPr>
            </w:pPr>
            <w:r>
              <w:rPr>
                <w:rFonts w:hint="eastAsia" w:ascii="方正小标宋简体" w:hAnsi="方正小标宋简体" w:eastAsia="方正小标宋简体" w:cs="方正小标宋简体"/>
                <w:spacing w:val="0"/>
                <w:sz w:val="30"/>
                <w:szCs w:val="30"/>
                <w:lang w:val="en-US" w:eastAsia="zh-CN"/>
              </w:rPr>
              <w:t>附件2</w:t>
            </w:r>
          </w:p>
          <w:p>
            <w:pPr>
              <w:keepNext w:val="0"/>
              <w:keepLines w:val="0"/>
              <w:widowControl/>
              <w:suppressLineNumbers w:val="0"/>
              <w:jc w:val="center"/>
              <w:textAlignment w:val="center"/>
              <w:rPr>
                <w:rFonts w:ascii="CESI黑体-GB2312" w:hAnsi="CESI黑体-GB2312" w:eastAsia="CESI黑体-GB2312" w:cs="CESI黑体-GB2312"/>
                <w:i w:val="0"/>
                <w:iCs w:val="0"/>
                <w:color w:val="000000"/>
                <w:sz w:val="36"/>
                <w:szCs w:val="36"/>
                <w:u w:val="none"/>
              </w:rPr>
            </w:pPr>
            <w:r>
              <w:rPr>
                <w:rFonts w:hint="eastAsia" w:ascii="CESI黑体-GB2312" w:hAnsi="CESI黑体-GB2312" w:eastAsia="CESI黑体-GB2312" w:cs="CESI黑体-GB2312"/>
                <w:i w:val="0"/>
                <w:iCs w:val="0"/>
                <w:color w:val="000000"/>
                <w:kern w:val="0"/>
                <w:sz w:val="36"/>
                <w:szCs w:val="36"/>
                <w:u w:val="none"/>
                <w:lang w:val="en-US" w:eastAsia="zh-CN" w:bidi="ar"/>
              </w:rPr>
              <w:t>阳城县2026年县级第一批常态化帮扶资金分配表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87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w:t>
            </w: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金额 </w:t>
            </w:r>
            <w:r>
              <w:rPr>
                <w:rStyle w:val="11"/>
                <w:rFonts w:hAnsi="宋体"/>
                <w:lang w:val="en-US" w:eastAsia="zh-CN" w:bidi="ar"/>
              </w:rPr>
              <w:t xml:space="preserve"> （万元）</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河北镇驾岭村小杂粮加工及秸秆综合利用项目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河北镇东交村土地托管农业项目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次营镇庄头村养蚕种制种基地建设项目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次营镇逯甲村原种蚕基地建设项目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横河镇劝头村书画写生研学接待中心建设项目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董封乡</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董封乡桐窊村饲料加工项目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东冶镇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东冶镇小王庄村农业种植、烘干精选一体化项目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蟒河镇孔池村森源生态驴养殖项目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凤城镇上芹村冷藏仓储建设项目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凤城镇隆岭村农产品深加工项目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凤城镇官道村农机托管项目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寺头乡</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寺头乡寺头村桑叶系列焦饼生产建设项目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寺头乡</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寺头乡安上村智慧蚕种生产建设项目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町店镇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町店镇上黄岩村农机具采购及农机具存放厂房建设</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西河乡</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西河乡上庄头村鹌鹑生态养殖基地工程建设项目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白桑镇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白桑镇南香台村粮食仓储物流与加工项目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金额 </w:t>
            </w:r>
            <w:r>
              <w:rPr>
                <w:rStyle w:val="11"/>
                <w:rFonts w:hAnsi="宋体"/>
                <w:lang w:val="en-US" w:eastAsia="zh-CN" w:bidi="ar"/>
              </w:rPr>
              <w:t xml:space="preserve"> （万元）</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白桑镇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白桑镇淇汭村豆制品加工厂建设项目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演礼镇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演礼镇坪上粮食烘干项目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芹池镇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芹池镇大永固村粮食晾晒仓储</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润城镇</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润城镇下庄村农业综合开发项目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农业农村局（</w:t>
            </w:r>
            <w:r>
              <w:rPr>
                <w:rFonts w:hint="default" w:ascii="仿宋_GB2312" w:hAnsi="宋体" w:eastAsia="仿宋_GB2312" w:cs="仿宋_GB2312"/>
                <w:i w:val="0"/>
                <w:iCs w:val="0"/>
                <w:color w:val="000000"/>
                <w:kern w:val="0"/>
                <w:sz w:val="20"/>
                <w:szCs w:val="20"/>
                <w:u w:val="none"/>
                <w:lang w:val="en-US" w:eastAsia="zh-CN" w:bidi="ar"/>
              </w:rPr>
              <w:t>乡村振兴中心</w:t>
            </w:r>
            <w:r>
              <w:rPr>
                <w:rFonts w:hint="eastAsia" w:ascii="仿宋_GB2312" w:hAnsi="宋体" w:eastAsia="仿宋_GB2312" w:cs="仿宋_GB2312"/>
                <w:i w:val="0"/>
                <w:iCs w:val="0"/>
                <w:color w:val="000000"/>
                <w:kern w:val="0"/>
                <w:sz w:val="20"/>
                <w:szCs w:val="20"/>
                <w:u w:val="none"/>
                <w:lang w:val="en-US" w:eastAsia="zh-CN" w:bidi="ar"/>
              </w:rPr>
              <w:t>）</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晋城市防贫综合保险</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71.363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张家庄村桑叶挂面生产加工建设项目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蟒河镇泥河村食用菌基地改扩建及生产加工项目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蟒河镇出水村蟒河山茱萸初加工及仓储建设项目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农业农村局</w:t>
            </w:r>
          </w:p>
        </w:tc>
        <w:tc>
          <w:tcPr>
            <w:tcW w:w="2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凤城镇阳高泉村红薯加工项目</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70</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河北镇九甲村犇驰养牛场提升项目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畜牧中心</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董封后交新建存栏10万羽蛋鸡项目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林业局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阳城县巩固脱贫生态管护项目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西头村水毁道路维修改造工程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次营镇南次营至上义农村道路修复养护工程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董封乡柴圪塔村阳店线至鳔沟道路水毁修复养护</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横河镇水头至老洞水毁恢复工程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横河镇木沐坪至秋铺灾毁恢复工程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河北镇吉德村村内水毁道路修复项目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次营镇长辿沟村河西至谭甲庄农村道路水毁恢复工程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演礼镇台底-清池挡墙修复</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w:t>
            </w:r>
          </w:p>
        </w:tc>
        <w:tc>
          <w:tcPr>
            <w:tcW w:w="2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金额 </w:t>
            </w:r>
            <w:r>
              <w:rPr>
                <w:rStyle w:val="11"/>
                <w:rFonts w:hAnsi="宋体"/>
                <w:lang w:val="en-US" w:eastAsia="zh-CN" w:bidi="ar"/>
              </w:rPr>
              <w:t xml:space="preserve"> （万元）</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演礼镇献义-胡凹沟涵洞修复</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交通局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河北镇东交至石窑水毁道路修复项目</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人社局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阳城县稳岗补助</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贾庄村更换智能水表工程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黄甲提水工程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圪桃窊引水工程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南梁提水工程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回龙村提水工程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大宁提水工程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清池护村坝修复工程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47</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蟒河邢西沟水土保持工程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48</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水务局</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劝头河道治理工程</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87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合计</w:t>
            </w:r>
          </w:p>
        </w:tc>
        <w:tc>
          <w:tcPr>
            <w:tcW w:w="2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1952.413</w:t>
            </w:r>
          </w:p>
        </w:tc>
        <w:tc>
          <w:tcPr>
            <w:tcW w:w="1875"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both"/>
        <w:textAlignment w:val="center"/>
        <w:rPr>
          <w:rFonts w:hint="eastAsia" w:ascii="方正小标宋简体" w:hAnsi="方正小标宋简体" w:eastAsia="方正小标宋简体" w:cs="方正小标宋简体"/>
          <w:spacing w:val="0"/>
          <w:sz w:val="30"/>
          <w:szCs w:val="30"/>
          <w:lang w:val="en-US" w:eastAsia="zh-CN"/>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lang w:val="en-US" w:eastAsia="zh-CN" w:bidi="ar"/>
        </w:rPr>
      </w:pPr>
      <w:r>
        <w:rPr>
          <w:rFonts w:hint="eastAsia" w:ascii="方正小标宋简体" w:hAnsi="方正小标宋简体" w:eastAsia="方正小标宋简体" w:cs="方正小标宋简体"/>
          <w:i w:val="0"/>
          <w:color w:val="000000"/>
          <w:kern w:val="0"/>
          <w:sz w:val="30"/>
          <w:szCs w:val="30"/>
          <w:u w:val="none"/>
          <w:lang w:val="en-US" w:eastAsia="zh-CN" w:bidi="ar"/>
        </w:rPr>
        <w:t>附件3</w:t>
      </w:r>
    </w:p>
    <w:p>
      <w:pPr>
        <w:keepNext w:val="0"/>
        <w:keepLines w:val="0"/>
        <w:widowControl/>
        <w:suppressLineNumbers w:val="0"/>
        <w:jc w:val="center"/>
        <w:textAlignment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阳城县2026年实施衔帮扶项目绩效目标审批表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4840"/>
        <w:gridCol w:w="178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项目名称</w:t>
            </w:r>
          </w:p>
        </w:tc>
        <w:tc>
          <w:tcPr>
            <w:tcW w:w="4840"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c>
          <w:tcPr>
            <w:tcW w:w="1787"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项目资金（万元）</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审核内容</w:t>
            </w:r>
          </w:p>
        </w:tc>
        <w:tc>
          <w:tcPr>
            <w:tcW w:w="6627" w:type="dxa"/>
            <w:gridSpan w:val="2"/>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审核要点</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审核得分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39"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一、合规性审核（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jc w:val="left"/>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合规性审核</w:t>
            </w:r>
          </w:p>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20 </w:t>
            </w:r>
            <w:r>
              <w:rPr>
                <w:rFonts w:hint="default" w:ascii="Times New Roman" w:hAnsi="Times New Roman" w:eastAsia="仿宋_GB2312" w:cs="Times New Roman"/>
                <w:bCs/>
                <w:color w:val="auto"/>
                <w:sz w:val="19"/>
                <w:szCs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纳入年度计划的项目是否符合</w:t>
            </w:r>
            <w:r>
              <w:rPr>
                <w:rFonts w:hint="default" w:ascii="Times New Roman" w:hAnsi="Times New Roman" w:eastAsia="仿宋_GB2312" w:cs="Times New Roman"/>
                <w:bCs/>
                <w:color w:val="auto"/>
                <w:sz w:val="19"/>
                <w:szCs w:val="19"/>
                <w:lang w:eastAsia="zh-CN"/>
              </w:rPr>
              <w:t>财政衔接资金</w:t>
            </w:r>
            <w:r>
              <w:rPr>
                <w:rFonts w:hint="default" w:ascii="Times New Roman" w:hAnsi="Times New Roman" w:eastAsia="仿宋_GB2312" w:cs="Times New Roman"/>
                <w:bCs/>
                <w:color w:val="auto"/>
                <w:sz w:val="19"/>
                <w:szCs w:val="19"/>
              </w:rPr>
              <w:t>支持范围，</w:t>
            </w:r>
            <w:r>
              <w:rPr>
                <w:rFonts w:ascii="Times New Roman" w:hAnsi="Times New Roman" w:eastAsia="仿宋_GB2312" w:cs="Times New Roman"/>
                <w:bCs/>
                <w:color w:val="auto"/>
                <w:sz w:val="19"/>
                <w:szCs w:val="19"/>
              </w:rPr>
              <w:t xml:space="preserve"> </w:t>
            </w:r>
            <w:r>
              <w:rPr>
                <w:rFonts w:hint="default" w:ascii="Times New Roman" w:hAnsi="Times New Roman" w:eastAsia="仿宋_GB2312" w:cs="Times New Roman"/>
                <w:bCs/>
                <w:color w:val="auto"/>
                <w:sz w:val="19"/>
                <w:szCs w:val="19"/>
              </w:rPr>
              <w:t>是否建立</w:t>
            </w:r>
            <w:r>
              <w:rPr>
                <w:rFonts w:hint="default" w:ascii="Times New Roman" w:hAnsi="Times New Roman" w:eastAsia="仿宋_GB2312" w:cs="Times New Roman"/>
                <w:bCs/>
                <w:color w:val="auto"/>
                <w:sz w:val="19"/>
                <w:szCs w:val="19"/>
                <w:lang w:val="en-US" w:eastAsia="zh-CN"/>
              </w:rPr>
              <w:t>联农带农</w:t>
            </w:r>
            <w:r>
              <w:rPr>
                <w:rFonts w:hint="default" w:ascii="Times New Roman" w:hAnsi="Times New Roman" w:eastAsia="仿宋_GB2312" w:cs="Times New Roman"/>
                <w:bCs/>
                <w:color w:val="auto"/>
                <w:sz w:val="19"/>
                <w:szCs w:val="19"/>
              </w:rPr>
              <w:t>机制，是否符合</w:t>
            </w:r>
            <w:r>
              <w:rPr>
                <w:rFonts w:hint="default" w:ascii="Times New Roman" w:hAnsi="Times New Roman" w:eastAsia="仿宋_GB2312" w:cs="Times New Roman"/>
                <w:bCs/>
                <w:color w:val="auto"/>
                <w:sz w:val="19"/>
                <w:szCs w:val="19"/>
                <w:lang w:eastAsia="zh-CN"/>
              </w:rPr>
              <w:t>县</w:t>
            </w:r>
            <w:r>
              <w:rPr>
                <w:rFonts w:hint="default" w:ascii="Times New Roman" w:hAnsi="Times New Roman" w:eastAsia="仿宋_GB2312" w:cs="Times New Roman"/>
                <w:bCs/>
                <w:color w:val="auto"/>
                <w:sz w:val="19"/>
                <w:szCs w:val="19"/>
              </w:rPr>
              <w:t>域发展实际。</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39"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二、完整性审核（20分）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规范完整性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绩效目标填报格式是否规范，内容是否完整、准确、详实，是否无缺项、错项。</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明确清晰性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绩效目标是否明确、清晰，是否能够反映项目主要情况，是否对项目预期产出和效果进行了充分、恰当的描述。</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939"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三、相关性审核（</w:t>
            </w:r>
            <w:r>
              <w:rPr>
                <w:rFonts w:ascii="Times New Roman" w:hAnsi="Times New Roman" w:eastAsia="仿宋_GB2312" w:cs="Times New Roman"/>
                <w:bCs/>
                <w:color w:val="auto"/>
                <w:sz w:val="19"/>
                <w:szCs w:val="19"/>
              </w:rPr>
              <w:t>20</w:t>
            </w:r>
            <w:r>
              <w:rPr>
                <w:rFonts w:hint="default" w:ascii="Times New Roman" w:hAnsi="Times New Roman" w:eastAsia="仿宋_GB2312" w:cs="Times New Roman"/>
                <w:bCs/>
                <w:color w:val="auto"/>
                <w:sz w:val="19"/>
                <w:szCs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目标相关性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绩效目标与单位职能以及县级</w:t>
            </w:r>
            <w:r>
              <w:rPr>
                <w:rFonts w:hint="default" w:ascii="Times New Roman" w:hAnsi="Times New Roman" w:eastAsia="仿宋_GB2312" w:cs="Times New Roman"/>
                <w:bCs/>
                <w:color w:val="auto"/>
                <w:sz w:val="19"/>
                <w:szCs w:val="19"/>
                <w:lang w:val="en-US" w:eastAsia="zh-CN"/>
              </w:rPr>
              <w:t>巩固脱贫成果和乡村振兴</w:t>
            </w:r>
            <w:r>
              <w:rPr>
                <w:rFonts w:hint="default" w:ascii="Times New Roman" w:hAnsi="Times New Roman" w:eastAsia="仿宋_GB2312" w:cs="Times New Roman"/>
                <w:bCs/>
                <w:color w:val="auto"/>
                <w:sz w:val="19"/>
                <w:szCs w:val="19"/>
              </w:rPr>
              <w:t>规划是否密切相关。</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szCs w:val="19"/>
              </w:rPr>
            </w:pPr>
            <w:r>
              <w:rPr>
                <w:rFonts w:hint="default" w:ascii="Times New Roman" w:hAnsi="Times New Roman" w:eastAsia="仿宋_GB2312" w:cs="Times New Roman"/>
                <w:bCs/>
                <w:color w:val="auto"/>
                <w:sz w:val="19"/>
                <w:szCs w:val="19"/>
              </w:rPr>
              <w:t>指标科学性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szCs w:val="19"/>
              </w:rPr>
              <w:t>（</w:t>
            </w:r>
            <w:r>
              <w:rPr>
                <w:rFonts w:ascii="Times New Roman" w:hAnsi="Times New Roman" w:eastAsia="仿宋_GB2312" w:cs="Times New Roman"/>
                <w:bCs/>
                <w:color w:val="auto"/>
                <w:sz w:val="19"/>
                <w:szCs w:val="19"/>
              </w:rPr>
              <w:t xml:space="preserve">10 </w:t>
            </w:r>
            <w:r>
              <w:rPr>
                <w:rFonts w:hint="default" w:ascii="Times New Roman" w:hAnsi="Times New Roman" w:eastAsia="仿宋_GB2312" w:cs="Times New Roman"/>
                <w:bCs/>
                <w:color w:val="auto"/>
                <w:sz w:val="19"/>
                <w:szCs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szCs w:val="19"/>
              </w:rPr>
              <w:t>绩效指标是否全面、充分、细化、量化，难以量化的，定性描述是否充分、具体；是否选取了最能体现总体目标实现程度的关键指标并明确了具体指标值。</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39"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四、适当性审核（</w:t>
            </w:r>
            <w:r>
              <w:rPr>
                <w:rFonts w:ascii="Times New Roman" w:hAnsi="Times New Roman" w:eastAsia="仿宋_GB2312" w:cs="Times New Roman"/>
                <w:bCs/>
                <w:color w:val="auto"/>
                <w:sz w:val="19"/>
              </w:rPr>
              <w:t>20</w:t>
            </w:r>
            <w:r>
              <w:rPr>
                <w:rFonts w:hint="default" w:ascii="Times New Roman" w:hAnsi="Times New Roman" w:eastAsia="仿宋_GB2312" w:cs="Times New Roman"/>
                <w:bCs/>
                <w:color w:val="auto"/>
                <w:sz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52" w:lineRule="exact"/>
              <w:ind w:firstLine="0"/>
              <w:jc w:val="both"/>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绩效合理性</w:t>
            </w:r>
            <w:r>
              <w:rPr>
                <w:rFonts w:ascii="Times New Roman" w:hAnsi="Times New Roman" w:eastAsia="仿宋_GB2312" w:cs="Times New Roman"/>
                <w:bCs/>
                <w:color w:val="auto"/>
                <w:sz w:val="19"/>
              </w:rPr>
              <w:t xml:space="preserve"> </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27" w:type="dxa"/>
            <w:gridSpan w:val="2"/>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预期绩效是否显著，是否符合行业正常水平或事业发展规律。</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资金匹配性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绩效目标与项目资金量、使用方向等是否匹配，在既定资金规模下，绩效目标是否过高或过低；或要完成既定绩效目标，资金规模是否过大或过小。</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39" w:type="dxa"/>
            <w:gridSpan w:val="4"/>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五、可行性审核（</w:t>
            </w:r>
            <w:r>
              <w:rPr>
                <w:rFonts w:ascii="Times New Roman" w:hAnsi="Times New Roman" w:eastAsia="仿宋_GB2312" w:cs="Times New Roman"/>
                <w:bCs/>
                <w:color w:val="auto"/>
                <w:sz w:val="19"/>
              </w:rPr>
              <w:t>20</w:t>
            </w:r>
            <w:r>
              <w:rPr>
                <w:rFonts w:hint="default" w:ascii="Times New Roman" w:hAnsi="Times New Roman" w:eastAsia="仿宋_GB2312" w:cs="Times New Roman"/>
                <w:bCs/>
                <w:color w:val="auto"/>
                <w:sz w:val="1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实现可能性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绩效目标是否经过充分调查研究、论证和合理测算，实现的可能性是否充分。</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pStyle w:val="10"/>
              <w:spacing w:line="240" w:lineRule="auto"/>
              <w:ind w:left="0" w:leftChars="0" w:firstLine="0" w:firstLineChars="0"/>
              <w:rPr>
                <w:rFonts w:ascii="Times New Roman" w:hAnsi="Times New Roman" w:eastAsia="仿宋_GB2312" w:cs="Times New Roman"/>
                <w:bCs/>
                <w:color w:val="auto"/>
                <w:sz w:val="19"/>
              </w:rPr>
            </w:pPr>
            <w:r>
              <w:rPr>
                <w:rFonts w:hint="default" w:ascii="Times New Roman" w:hAnsi="Times New Roman" w:eastAsia="仿宋_GB2312" w:cs="Times New Roman"/>
                <w:bCs/>
                <w:color w:val="auto"/>
                <w:sz w:val="19"/>
              </w:rPr>
              <w:t>条件充分性</w:t>
            </w:r>
          </w:p>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w:t>
            </w:r>
            <w:r>
              <w:rPr>
                <w:rFonts w:ascii="Times New Roman" w:hAnsi="Times New Roman" w:eastAsia="仿宋_GB2312" w:cs="Times New Roman"/>
                <w:bCs/>
                <w:color w:val="auto"/>
                <w:sz w:val="19"/>
              </w:rPr>
              <w:t xml:space="preserve">10 </w:t>
            </w:r>
            <w:r>
              <w:rPr>
                <w:rFonts w:hint="default" w:ascii="Times New Roman" w:hAnsi="Times New Roman" w:eastAsia="仿宋_GB2312" w:cs="Times New Roman"/>
                <w:bCs/>
                <w:color w:val="auto"/>
                <w:sz w:val="19"/>
              </w:rPr>
              <w:t>分）</w:t>
            </w:r>
          </w:p>
        </w:tc>
        <w:tc>
          <w:tcPr>
            <w:tcW w:w="6627" w:type="dxa"/>
            <w:gridSpan w:val="2"/>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项目实施方案是否合理，项目实施单位的组织实施能力和条件是否充分，内部控制是否规范，风险防控是否准备到位，管理制度是否健全。</w:t>
            </w:r>
          </w:p>
        </w:tc>
        <w:tc>
          <w:tcPr>
            <w:tcW w:w="107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综合评定</w:t>
            </w:r>
            <w:r>
              <w:rPr>
                <w:rFonts w:hint="eastAsia"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等级</w:t>
            </w:r>
          </w:p>
        </w:tc>
        <w:tc>
          <w:tcPr>
            <w:tcW w:w="7698"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分及以上）</w:t>
            </w:r>
            <w:r>
              <w:rPr>
                <w:rFonts w:hint="default" w:ascii="Times New Roman" w:hAnsi="Times New Roman" w:eastAsia="仿宋_GB2312" w:cs="Times New Roman"/>
                <w:bCs/>
                <w:color w:val="auto"/>
                <w:sz w:val="19"/>
                <w:lang w:val="zh-CN" w:eastAsia="zh-CN"/>
              </w:rPr>
              <w:t>口</w:t>
            </w:r>
            <w:r>
              <w:rPr>
                <w:rFonts w:hint="eastAsia" w:ascii="Times New Roman" w:hAnsi="Times New Roman" w:eastAsia="仿宋_GB2312" w:cs="Times New Roman"/>
                <w:bCs/>
                <w:color w:val="auto"/>
                <w:sz w:val="19"/>
                <w:lang w:val="en-US" w:eastAsia="zh-CN"/>
              </w:rPr>
              <w:t xml:space="preserve">  </w:t>
            </w:r>
            <w:r>
              <w:rPr>
                <w:rFonts w:ascii="Times New Roman" w:hAnsi="Times New Roman" w:eastAsia="仿宋_GB2312" w:cs="Times New Roman"/>
                <w:bCs/>
                <w:color w:val="auto"/>
                <w:sz w:val="19"/>
                <w:lang w:val="zh-CN" w:eastAsia="zh-CN"/>
              </w:rPr>
              <w:tab/>
            </w:r>
            <w:r>
              <w:rPr>
                <w:rFonts w:hint="default" w:ascii="Times New Roman" w:hAnsi="Times New Roman" w:eastAsia="仿宋_GB2312" w:cs="Times New Roman"/>
                <w:bCs/>
                <w:color w:val="auto"/>
                <w:sz w:val="19"/>
              </w:rPr>
              <w:t>不通过（</w:t>
            </w:r>
            <w:r>
              <w:rPr>
                <w:rFonts w:ascii="Times New Roman" w:hAnsi="Times New Roman" w:eastAsia="仿宋_GB2312" w:cs="Times New Roman"/>
                <w:bCs/>
                <w:color w:val="auto"/>
                <w:sz w:val="19"/>
              </w:rPr>
              <w:t>85</w:t>
            </w:r>
            <w:r>
              <w:rPr>
                <w:rFonts w:hint="default" w:ascii="Times New Roman" w:hAnsi="Times New Roman" w:eastAsia="仿宋_GB2312" w:cs="Times New Roman"/>
                <w:bCs/>
                <w:color w:val="auto"/>
                <w:sz w:val="19"/>
              </w:rPr>
              <w:t>分以下</w:t>
            </w:r>
            <w:r>
              <w:rPr>
                <w:rFonts w:hint="default" w:ascii="Times New Roman" w:hAnsi="Times New Roman" w:eastAsia="仿宋_GB2312" w:cs="Times New Roman"/>
                <w:bCs/>
                <w:color w:val="auto"/>
                <w:sz w:val="19"/>
                <w:lang w:val="en-US" w:eastAsia="zh-CN"/>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总体审核</w:t>
            </w:r>
            <w:r>
              <w:rPr>
                <w:rFonts w:hint="eastAsia" w:ascii="Times New Roman" w:hAnsi="Times New Roman" w:eastAsia="仿宋_GB2312" w:cs="Times New Roman"/>
                <w:bCs/>
                <w:color w:val="auto"/>
                <w:sz w:val="19"/>
                <w:lang w:val="en-US" w:eastAsia="zh-CN"/>
              </w:rPr>
              <w:t xml:space="preserve"> </w:t>
            </w:r>
            <w:r>
              <w:rPr>
                <w:rFonts w:hint="default" w:ascii="Times New Roman" w:hAnsi="Times New Roman" w:eastAsia="仿宋_GB2312" w:cs="Times New Roman"/>
                <w:bCs/>
                <w:color w:val="auto"/>
                <w:sz w:val="19"/>
              </w:rPr>
              <w:t>意见</w:t>
            </w:r>
          </w:p>
        </w:tc>
        <w:tc>
          <w:tcPr>
            <w:tcW w:w="7698"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lang w:val="en-US" w:eastAsia="zh-CN"/>
              </w:rPr>
              <w:t xml:space="preserve">绩效目标审核得分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分，综合</w:t>
            </w:r>
            <w:r>
              <w:rPr>
                <w:rFonts w:hint="eastAsia" w:eastAsia="仿宋_GB2312" w:cs="Times New Roman"/>
                <w:bCs/>
                <w:color w:val="auto"/>
                <w:sz w:val="19"/>
                <w:lang w:val="en-US" w:eastAsia="zh-CN"/>
              </w:rPr>
              <w:t>评定等级通过，可直接安排预算资金。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审核单位</w:t>
            </w:r>
          </w:p>
        </w:tc>
        <w:tc>
          <w:tcPr>
            <w:tcW w:w="7698" w:type="dxa"/>
            <w:gridSpan w:val="3"/>
            <w:vAlign w:val="center"/>
          </w:tcPr>
          <w:p>
            <w:pPr>
              <w:keepNext w:val="0"/>
              <w:keepLines w:val="0"/>
              <w:widowControl/>
              <w:suppressLineNumbers w:val="0"/>
              <w:ind w:firstLine="760" w:firstLineChars="400"/>
              <w:jc w:val="both"/>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eastAsia="仿宋_GB2312" w:cs="Times New Roman"/>
                <w:bCs/>
                <w:color w:val="auto"/>
                <w:sz w:val="19"/>
                <w:lang w:val="en-US" w:eastAsia="zh-CN"/>
              </w:rPr>
              <w:t>（</w:t>
            </w:r>
            <w:r>
              <w:rPr>
                <w:rFonts w:hint="eastAsia" w:ascii="Times New Roman" w:hAnsi="Times New Roman" w:eastAsia="仿宋_GB2312" w:cs="Times New Roman"/>
                <w:bCs/>
                <w:color w:val="auto"/>
                <w:sz w:val="19"/>
                <w:lang w:val="en-US" w:eastAsia="zh-CN"/>
              </w:rPr>
              <w:t>主管单位盖章</w:t>
            </w:r>
            <w:r>
              <w:rPr>
                <w:rFonts w:hint="eastAsia" w:eastAsia="仿宋_GB2312" w:cs="Times New Roman"/>
                <w:bCs/>
                <w:color w:val="auto"/>
                <w:sz w:val="19"/>
                <w:lang w:val="en-US" w:eastAsia="zh-CN"/>
              </w:rPr>
              <w:t>）                   （财政部门盖章）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41" w:type="dxa"/>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default" w:ascii="Times New Roman" w:hAnsi="Times New Roman" w:eastAsia="仿宋_GB2312" w:cs="Times New Roman"/>
                <w:bCs/>
                <w:color w:val="auto"/>
                <w:sz w:val="19"/>
              </w:rPr>
              <w:t>审核时间</w:t>
            </w:r>
          </w:p>
        </w:tc>
        <w:tc>
          <w:tcPr>
            <w:tcW w:w="7698" w:type="dxa"/>
            <w:gridSpan w:val="3"/>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0"/>
                <w:szCs w:val="30"/>
                <w:u w:val="none"/>
                <w:vertAlign w:val="baseline"/>
                <w:lang w:val="en-US" w:eastAsia="zh-CN" w:bidi="ar"/>
              </w:rPr>
            </w:pPr>
            <w:r>
              <w:rPr>
                <w:rFonts w:hint="eastAsia" w:ascii="Times New Roman" w:hAnsi="Times New Roman" w:eastAsia="仿宋_GB2312" w:cs="Times New Roman"/>
                <w:bCs/>
                <w:color w:val="auto"/>
                <w:sz w:val="19"/>
                <w:lang w:val="en-US" w:eastAsia="zh-CN"/>
              </w:rPr>
              <w:t xml:space="preserve">202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年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月 </w:t>
            </w:r>
            <w:r>
              <w:rPr>
                <w:rFonts w:hint="eastAsia" w:eastAsia="仿宋_GB2312" w:cs="Times New Roman"/>
                <w:bCs/>
                <w:color w:val="auto"/>
                <w:sz w:val="19"/>
                <w:lang w:val="en-US" w:eastAsia="zh-CN"/>
              </w:rPr>
              <w:t xml:space="preserve"> </w:t>
            </w:r>
            <w:r>
              <w:rPr>
                <w:rFonts w:hint="eastAsia" w:ascii="Times New Roman" w:hAnsi="Times New Roman" w:eastAsia="仿宋_GB2312" w:cs="Times New Roman"/>
                <w:bCs/>
                <w:color w:val="auto"/>
                <w:sz w:val="19"/>
                <w:lang w:val="en-US" w:eastAsia="zh-CN"/>
              </w:rPr>
              <w:t xml:space="preserve">  日</w:t>
            </w:r>
          </w:p>
        </w:tc>
      </w:tr>
    </w:tbl>
    <w:p>
      <w:pPr>
        <w:keepNext w:val="0"/>
        <w:keepLines w:val="0"/>
        <w:pageBreakBefore w:val="0"/>
        <w:widowControl w:val="0"/>
        <w:kinsoku/>
        <w:wordWrap/>
        <w:overflowPunct/>
        <w:topLinePunct w:val="0"/>
        <w:autoSpaceDE/>
        <w:autoSpaceDN/>
        <w:bidi w:val="0"/>
        <w:adjustRightInd/>
        <w:snapToGrid/>
        <w:spacing w:before="157" w:beforeLines="50" w:line="20" w:lineRule="exact"/>
        <w:jc w:val="both"/>
        <w:textAlignment w:val="auto"/>
        <w:outlineLvl w:val="9"/>
        <w:rPr>
          <w:rFonts w:hint="eastAsia" w:ascii="仿宋_GB2312" w:hAnsi="仿宋_GB2312" w:eastAsia="仿宋_GB2312" w:cs="仿宋_GB2312"/>
          <w:bCs/>
          <w:sz w:val="36"/>
          <w:szCs w:val="36"/>
          <w:lang w:val="en-US" w:eastAsia="zh-CN"/>
        </w:rPr>
      </w:pPr>
    </w:p>
    <w:sectPr>
      <w:footerReference r:id="rId5" w:type="default"/>
      <w:footerReference r:id="rId6" w:type="even"/>
      <w:pgSz w:w="11906" w:h="16838"/>
      <w:pgMar w:top="1440" w:right="1531" w:bottom="1440"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086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08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1.8pt;mso-position-horizontal:outside;mso-position-horizontal-relative:margin;z-index:251659264;mso-width-relative:page;mso-height-relative:page;" filled="f" stroked="f" coordsize="21600,21600" o:gfxdata="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HlXbdMAAAAEAQAADwAAAAAAAAAB&#10;ACAAAAA4AAAAZHJzL2Rvd25yZXYueG1sUEsBAhQAFAAAAAgAh07iQIBhgqU4AgAAYgQAAA4AAAAA&#10;AAAAAQAgAAAAOAEAAGRycy9lMm9Eb2MueG1sUEsFBgAAAAAGAAYAWQEAAOIFAAAAAA==&#10;">
              <v:fill on="f" focussize="0,0"/>
              <v:stroke on="f" weight="0.5pt"/>
              <v:imagedata o:title=""/>
              <o:lock v:ext="edit" aspectratio="f"/>
              <v:textbox inset="0mm,0mm,0mm,0mm" style="mso-fit-shape-to-text:t;">
                <w:txbxContent>
                  <w:p>
                    <w:pPr>
                      <w:pStyle w:val="4"/>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5816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58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5pt;mso-position-horizontal:outside;mso-position-horizontal-relative:margin;z-index:251660288;mso-width-relative:page;mso-height-relative:page;" filled="f" stroked="f" coordsize="21600,21600" o:gfxdata="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wgCfM9MAAAAEAQAADwAAAAAAAAAB&#10;ACAAAAA4AAAAZHJzL2Rvd25yZXYueG1sUEsBAhQAFAAAAAgAh07iQCU48D84AgAAYgQAAA4AAAAA&#10;AAAAAQAgAAAAOAEAAGRycy9lMm9Eb2MueG1sUEsFBgAAAAAGAAYAWQEAAOIFAAAAAA==&#10;">
              <v:fill on="f" focussize="0,0"/>
              <v:stroke on="f" weight="0.5pt"/>
              <v:imagedata o:title=""/>
              <o:lock v:ext="edit" aspectratio="f"/>
              <v:textbox inset="0mm,0mm,0mm,0mm" style="mso-fit-shape-to-text:t;">
                <w:txbxContent>
                  <w:p>
                    <w:pPr>
                      <w:pStyle w:val="4"/>
                      <w:jc w:val="right"/>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Mzk1NmIwN2JiOGNmMWUxZjdiMmJlMWMwOWVkZTEifQ=="/>
  </w:docVars>
  <w:rsids>
    <w:rsidRoot w:val="5B5706C3"/>
    <w:rsid w:val="037217B0"/>
    <w:rsid w:val="057A4A99"/>
    <w:rsid w:val="066C0E0C"/>
    <w:rsid w:val="08B67AC8"/>
    <w:rsid w:val="0A3C4741"/>
    <w:rsid w:val="0A4939C8"/>
    <w:rsid w:val="0BC97768"/>
    <w:rsid w:val="1097489D"/>
    <w:rsid w:val="119E3AAB"/>
    <w:rsid w:val="11BC1129"/>
    <w:rsid w:val="134E3EE5"/>
    <w:rsid w:val="136343C2"/>
    <w:rsid w:val="13FB0887"/>
    <w:rsid w:val="1B224C23"/>
    <w:rsid w:val="1E17573E"/>
    <w:rsid w:val="1F0F4348"/>
    <w:rsid w:val="209C454A"/>
    <w:rsid w:val="22DF9A3C"/>
    <w:rsid w:val="26317E33"/>
    <w:rsid w:val="26785F2C"/>
    <w:rsid w:val="2B4C66D1"/>
    <w:rsid w:val="2B8D6A8A"/>
    <w:rsid w:val="2BC366E1"/>
    <w:rsid w:val="2E801A0F"/>
    <w:rsid w:val="2F1E0C97"/>
    <w:rsid w:val="2F6513E2"/>
    <w:rsid w:val="33401088"/>
    <w:rsid w:val="361C27B1"/>
    <w:rsid w:val="364D0318"/>
    <w:rsid w:val="39DD053D"/>
    <w:rsid w:val="39EF0AE0"/>
    <w:rsid w:val="3B510D53"/>
    <w:rsid w:val="3BDE50B6"/>
    <w:rsid w:val="3C5A7E5C"/>
    <w:rsid w:val="3CFE3D9D"/>
    <w:rsid w:val="3EDED6FC"/>
    <w:rsid w:val="3F6F51DD"/>
    <w:rsid w:val="411A32A7"/>
    <w:rsid w:val="430B1213"/>
    <w:rsid w:val="43ED2B2D"/>
    <w:rsid w:val="45CD668F"/>
    <w:rsid w:val="48CF7C9A"/>
    <w:rsid w:val="49155946"/>
    <w:rsid w:val="4E40762A"/>
    <w:rsid w:val="4E863686"/>
    <w:rsid w:val="4F122D66"/>
    <w:rsid w:val="53335F59"/>
    <w:rsid w:val="54E411B9"/>
    <w:rsid w:val="57775A89"/>
    <w:rsid w:val="5B5706C3"/>
    <w:rsid w:val="5BAE61E8"/>
    <w:rsid w:val="5C8564CE"/>
    <w:rsid w:val="5C9B634B"/>
    <w:rsid w:val="603C7EFA"/>
    <w:rsid w:val="61453D66"/>
    <w:rsid w:val="63344788"/>
    <w:rsid w:val="66023689"/>
    <w:rsid w:val="6D535020"/>
    <w:rsid w:val="6D7FB877"/>
    <w:rsid w:val="6FAB668D"/>
    <w:rsid w:val="6FD71B39"/>
    <w:rsid w:val="70245756"/>
    <w:rsid w:val="707C27FB"/>
    <w:rsid w:val="70E66E26"/>
    <w:rsid w:val="75FF2244"/>
    <w:rsid w:val="770B248E"/>
    <w:rsid w:val="77301791"/>
    <w:rsid w:val="7AD657F0"/>
    <w:rsid w:val="7AFF7A5A"/>
    <w:rsid w:val="7B770144"/>
    <w:rsid w:val="7BED631D"/>
    <w:rsid w:val="7DAB03AE"/>
    <w:rsid w:val="7EFF7544"/>
    <w:rsid w:val="7F9FDEDE"/>
    <w:rsid w:val="877FD9E0"/>
    <w:rsid w:val="C39F3501"/>
    <w:rsid w:val="FC367254"/>
    <w:rsid w:val="FD12C6BA"/>
    <w:rsid w:val="FF5AC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Body Text Indent"/>
    <w:basedOn w:val="1"/>
    <w:next w:val="2"/>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Other|1"/>
    <w:basedOn w:val="1"/>
    <w:qFormat/>
    <w:uiPriority w:val="99"/>
    <w:pPr>
      <w:spacing w:line="410" w:lineRule="auto"/>
      <w:ind w:firstLine="400"/>
      <w:jc w:val="left"/>
    </w:pPr>
    <w:rPr>
      <w:rFonts w:ascii="宋体" w:hAnsi="宋体" w:cs="宋体"/>
      <w:color w:val="000000"/>
      <w:kern w:val="0"/>
      <w:sz w:val="20"/>
      <w:szCs w:val="20"/>
      <w:lang w:val="zh-TW" w:eastAsia="zh-TW"/>
    </w:rPr>
  </w:style>
  <w:style w:type="character" w:customStyle="1" w:styleId="11">
    <w:name w:val="font31"/>
    <w:basedOn w:val="9"/>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10</Pages>
  <Words>987</Words>
  <Characters>1058</Characters>
  <Lines>0</Lines>
  <Paragraphs>0</Paragraphs>
  <TotalTime>7</TotalTime>
  <ScaleCrop>false</ScaleCrop>
  <LinksUpToDate>false</LinksUpToDate>
  <CharactersWithSpaces>1141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2018-11-09T10:46:00Z</dcterms:created>
  <dc:creator>Administrator</dc:creator>
  <cp:lastModifiedBy>greatwall</cp:lastModifiedBy>
  <cp:lastPrinted>2026-06-12T18:50:00Z</cp:lastPrinted>
  <dcterms:modified xsi:type="dcterms:W3CDTF">2026-06-12T11:24:54Z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035F2337D8798903866E2B6AACA6F8F0_43</vt:lpwstr>
  </property>
  <property fmtid="{D5CDD505-2E9C-101B-9397-08002B2CF9AE}" pid="4" name="KSOTemplateDocerSaveRecord">
    <vt:lpwstr>eyJoZGlkIjoiNTc0Mzk1NmIwN2JiOGNmMWUxZjdiMmJlMWMwOWVkZTEiLCJ1c2VySWQiOiIzNzcwODU5OTMifQ==</vt:lpwstr>
  </property>
</Properties>
</file>