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方正小标宋简体" w:hAnsi="方正小标宋简体" w:eastAsia="方正小标宋简体" w:cs="方正小标宋简体"/>
          <w:spacing w:val="0"/>
          <w:sz w:val="30"/>
          <w:szCs w:val="30"/>
          <w:lang w:val="en-US" w:eastAsia="zh-CN"/>
        </w:rPr>
      </w:pPr>
      <w:bookmarkStart w:id="0" w:name="_GoBack"/>
      <w:bookmarkEnd w:id="0"/>
      <w:r>
        <w:rPr>
          <w:rFonts w:hint="eastAsia" w:ascii="方正小标宋简体" w:hAnsi="方正小标宋简体" w:eastAsia="方正小标宋简体" w:cs="方正小标宋简体"/>
          <w:spacing w:val="0"/>
          <w:sz w:val="30"/>
          <w:szCs w:val="30"/>
          <w:lang w:val="en-US" w:eastAsia="zh-CN"/>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阳城县2026年县级第二批常态化帮扶资金分配表</w:t>
      </w:r>
    </w:p>
    <w:p>
      <w:pPr>
        <w:keepNext w:val="0"/>
        <w:keepLines w:val="0"/>
        <w:widowControl/>
        <w:suppressLineNumbers w:val="0"/>
        <w:jc w:val="center"/>
        <w:textAlignment w:val="center"/>
        <w:rPr>
          <w:rFonts w:hint="eastAsia" w:ascii="方正小标宋简体" w:hAnsi="方正小标宋简体" w:eastAsia="方正小标宋简体" w:cs="方正小标宋简体"/>
          <w:spacing w:val="0"/>
          <w:sz w:val="36"/>
          <w:szCs w:val="36"/>
          <w:lang w:val="en-US" w:eastAsia="zh-CN"/>
        </w:rPr>
      </w:pPr>
    </w:p>
    <w:tbl>
      <w:tblPr>
        <w:tblStyle w:val="8"/>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486"/>
        <w:gridCol w:w="4709"/>
        <w:gridCol w:w="1081"/>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2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序号</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单位</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项目名称</w:t>
            </w:r>
          </w:p>
        </w:tc>
        <w:tc>
          <w:tcPr>
            <w:tcW w:w="1081"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金额  （万元）</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1</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畜牧中心</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河北南梁福隆肉鸡场项目</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160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2</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畜牧中心</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町店大宁泽宁万头猪场项目</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160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3</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农业农村局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东冶镇相底村农业综合农事服务</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70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4</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水务局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油坊头河道治理工程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80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5</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水务局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下桑林村水网改造工程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15</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6</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水务局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圪涝掌村二级提水工程改造</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20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7</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水务局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献义村胡窊沟水网改造工程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35</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8</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水务局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寺头乡寺头村漆树沟沟道水毁修复工程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20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9</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水务局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蟒河邢西沟水土保持工程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20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10</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交通局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演礼村至清池段养护修复工程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67.587</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11</w:t>
            </w:r>
          </w:p>
        </w:tc>
        <w:tc>
          <w:tcPr>
            <w:tcW w:w="148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交通局</w:t>
            </w:r>
          </w:p>
        </w:tc>
        <w:tc>
          <w:tcPr>
            <w:tcW w:w="470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河北镇集中安置点（土孟-河北）养护修复工程</w:t>
            </w: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200</w:t>
            </w:r>
          </w:p>
        </w:tc>
        <w:tc>
          <w:tcPr>
            <w:tcW w:w="12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0"/>
                <w:szCs w:val="1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15" w:type="dxa"/>
            <w:gridSpan w:val="2"/>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470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81" w:type="dxa"/>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vertAlign w:val="baseline"/>
                <w:lang w:val="en-US" w:eastAsia="zh-CN" w:bidi="ar"/>
              </w:rPr>
            </w:pPr>
            <w:r>
              <w:rPr>
                <w:rFonts w:hint="eastAsia" w:ascii="仿宋_GB2312" w:hAnsi="仿宋_GB2312" w:eastAsia="仿宋_GB2312" w:cs="仿宋_GB2312"/>
                <w:i w:val="0"/>
                <w:color w:val="000000"/>
                <w:kern w:val="0"/>
                <w:sz w:val="24"/>
                <w:szCs w:val="24"/>
                <w:u w:val="none"/>
                <w:vertAlign w:val="baseline"/>
                <w:lang w:val="en-US" w:eastAsia="zh-CN" w:bidi="ar"/>
              </w:rPr>
              <w:t>847.587</w:t>
            </w:r>
          </w:p>
        </w:tc>
        <w:tc>
          <w:tcPr>
            <w:tcW w:w="128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0"/>
                <w:szCs w:val="10"/>
                <w:u w:val="none"/>
                <w:lang w:val="en-US" w:eastAsia="zh-CN" w:bidi="ar"/>
              </w:rPr>
            </w:pPr>
          </w:p>
        </w:tc>
      </w:tr>
    </w:tbl>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r>
        <w:rPr>
          <w:rFonts w:hint="eastAsia" w:ascii="方正小标宋简体" w:hAnsi="方正小标宋简体" w:eastAsia="方正小标宋简体" w:cs="方正小标宋简体"/>
          <w:i w:val="0"/>
          <w:color w:val="000000"/>
          <w:kern w:val="0"/>
          <w:sz w:val="30"/>
          <w:szCs w:val="30"/>
          <w:u w:val="none"/>
          <w:lang w:val="en-US" w:eastAsia="zh-CN" w:bidi="ar"/>
        </w:rPr>
        <w:t>附件2</w:t>
      </w:r>
    </w:p>
    <w:p>
      <w:pPr>
        <w:keepNext w:val="0"/>
        <w:keepLines w:val="0"/>
        <w:widowControl/>
        <w:suppressLineNumbers w:val="0"/>
        <w:jc w:val="center"/>
        <w:textAlignment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阳城县2026年实施衔接项目绩效目标审批表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4875"/>
        <w:gridCol w:w="180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项目名称</w:t>
            </w:r>
          </w:p>
        </w:tc>
        <w:tc>
          <w:tcPr>
            <w:tcW w:w="4875"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c>
          <w:tcPr>
            <w:tcW w:w="180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项目资金（万元）</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5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审核内容</w:t>
            </w:r>
          </w:p>
        </w:tc>
        <w:tc>
          <w:tcPr>
            <w:tcW w:w="6675" w:type="dxa"/>
            <w:gridSpan w:val="2"/>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审核要点</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审核得分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004"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一、合规性审核（</w:t>
            </w:r>
            <w:r>
              <w:rPr>
                <w:rFonts w:ascii="Times New Roman" w:hAnsi="Times New Roman" w:eastAsia="仿宋_GB2312" w:cs="Times New Roman"/>
                <w:bCs/>
                <w:color w:val="auto"/>
                <w:sz w:val="19"/>
                <w:szCs w:val="19"/>
              </w:rPr>
              <w:t>20</w:t>
            </w:r>
            <w:r>
              <w:rPr>
                <w:rFonts w:hint="default" w:ascii="Times New Roman" w:hAnsi="Times New Roman" w:eastAsia="仿宋_GB2312" w:cs="Times New Roman"/>
                <w:bCs/>
                <w:color w:val="auto"/>
                <w:sz w:val="19"/>
                <w:szCs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jc w:val="left"/>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合规性审核</w:t>
            </w:r>
          </w:p>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20 </w:t>
            </w:r>
            <w:r>
              <w:rPr>
                <w:rFonts w:hint="default" w:ascii="Times New Roman" w:hAnsi="Times New Roman" w:eastAsia="仿宋_GB2312" w:cs="Times New Roman"/>
                <w:bCs/>
                <w:color w:val="auto"/>
                <w:sz w:val="19"/>
                <w:szCs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纳入年度计划的项目是否符合</w:t>
            </w:r>
            <w:r>
              <w:rPr>
                <w:rFonts w:hint="default" w:ascii="Times New Roman" w:hAnsi="Times New Roman" w:eastAsia="仿宋_GB2312" w:cs="Times New Roman"/>
                <w:bCs/>
                <w:color w:val="auto"/>
                <w:sz w:val="19"/>
                <w:szCs w:val="19"/>
                <w:lang w:eastAsia="zh-CN"/>
              </w:rPr>
              <w:t>财政衔接资金</w:t>
            </w:r>
            <w:r>
              <w:rPr>
                <w:rFonts w:hint="default" w:ascii="Times New Roman" w:hAnsi="Times New Roman" w:eastAsia="仿宋_GB2312" w:cs="Times New Roman"/>
                <w:bCs/>
                <w:color w:val="auto"/>
                <w:sz w:val="19"/>
                <w:szCs w:val="19"/>
              </w:rPr>
              <w:t>支持范围，</w:t>
            </w:r>
            <w:r>
              <w:rPr>
                <w:rFonts w:ascii="Times New Roman" w:hAnsi="Times New Roman" w:eastAsia="仿宋_GB2312" w:cs="Times New Roman"/>
                <w:bCs/>
                <w:color w:val="auto"/>
                <w:sz w:val="19"/>
                <w:szCs w:val="19"/>
              </w:rPr>
              <w:t xml:space="preserve"> </w:t>
            </w:r>
            <w:r>
              <w:rPr>
                <w:rFonts w:hint="default" w:ascii="Times New Roman" w:hAnsi="Times New Roman" w:eastAsia="仿宋_GB2312" w:cs="Times New Roman"/>
                <w:bCs/>
                <w:color w:val="auto"/>
                <w:sz w:val="19"/>
                <w:szCs w:val="19"/>
              </w:rPr>
              <w:t>是否建立</w:t>
            </w:r>
            <w:r>
              <w:rPr>
                <w:rFonts w:hint="default" w:ascii="Times New Roman" w:hAnsi="Times New Roman" w:eastAsia="仿宋_GB2312" w:cs="Times New Roman"/>
                <w:bCs/>
                <w:color w:val="auto"/>
                <w:sz w:val="19"/>
                <w:szCs w:val="19"/>
                <w:lang w:val="en-US" w:eastAsia="zh-CN"/>
              </w:rPr>
              <w:t>联农带农</w:t>
            </w:r>
            <w:r>
              <w:rPr>
                <w:rFonts w:hint="default" w:ascii="Times New Roman" w:hAnsi="Times New Roman" w:eastAsia="仿宋_GB2312" w:cs="Times New Roman"/>
                <w:bCs/>
                <w:color w:val="auto"/>
                <w:sz w:val="19"/>
                <w:szCs w:val="19"/>
              </w:rPr>
              <w:t>机制，是否符合</w:t>
            </w:r>
            <w:r>
              <w:rPr>
                <w:rFonts w:hint="default" w:ascii="Times New Roman" w:hAnsi="Times New Roman" w:eastAsia="仿宋_GB2312" w:cs="Times New Roman"/>
                <w:bCs/>
                <w:color w:val="auto"/>
                <w:sz w:val="19"/>
                <w:szCs w:val="19"/>
                <w:lang w:eastAsia="zh-CN"/>
              </w:rPr>
              <w:t>县</w:t>
            </w:r>
            <w:r>
              <w:rPr>
                <w:rFonts w:hint="default" w:ascii="Times New Roman" w:hAnsi="Times New Roman" w:eastAsia="仿宋_GB2312" w:cs="Times New Roman"/>
                <w:bCs/>
                <w:color w:val="auto"/>
                <w:sz w:val="19"/>
                <w:szCs w:val="19"/>
              </w:rPr>
              <w:t>域发展实际。</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4"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二、完整性审核（20分）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规范完整性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绩效目标填报格式是否规范，内容是否完整、准确、详实，是否无缺项、错项。</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明确清晰性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绩效目标是否明确、清晰，是否能够反映项目主要情况，是否对项目预期产出和效果进行了充分、恰当的描述。</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4"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三、相关性审核（</w:t>
            </w:r>
            <w:r>
              <w:rPr>
                <w:rFonts w:ascii="Times New Roman" w:hAnsi="Times New Roman" w:eastAsia="仿宋_GB2312" w:cs="Times New Roman"/>
                <w:bCs/>
                <w:color w:val="auto"/>
                <w:sz w:val="19"/>
                <w:szCs w:val="19"/>
              </w:rPr>
              <w:t>20</w:t>
            </w:r>
            <w:r>
              <w:rPr>
                <w:rFonts w:hint="default" w:ascii="Times New Roman" w:hAnsi="Times New Roman" w:eastAsia="仿宋_GB2312" w:cs="Times New Roman"/>
                <w:bCs/>
                <w:color w:val="auto"/>
                <w:sz w:val="19"/>
                <w:szCs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目标相关性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绩效目标与单位职能以及县级</w:t>
            </w:r>
            <w:r>
              <w:rPr>
                <w:rFonts w:hint="default" w:ascii="Times New Roman" w:hAnsi="Times New Roman" w:eastAsia="仿宋_GB2312" w:cs="Times New Roman"/>
                <w:bCs/>
                <w:color w:val="auto"/>
                <w:sz w:val="19"/>
                <w:szCs w:val="19"/>
                <w:lang w:val="en-US" w:eastAsia="zh-CN"/>
              </w:rPr>
              <w:t>巩固脱贫成果和乡村振兴</w:t>
            </w:r>
            <w:r>
              <w:rPr>
                <w:rFonts w:hint="default" w:ascii="Times New Roman" w:hAnsi="Times New Roman" w:eastAsia="仿宋_GB2312" w:cs="Times New Roman"/>
                <w:bCs/>
                <w:color w:val="auto"/>
                <w:sz w:val="19"/>
                <w:szCs w:val="19"/>
              </w:rPr>
              <w:t>规划是否密切相关。</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指标科学性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绩效指标是否全面、充分、细化、量化，难以量化的，定性描述是否充分、具体；是否选取了最能体现总体目标实现程度的关键指标并明确了具体指标值。</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04"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四、适当性审核（</w:t>
            </w:r>
            <w:r>
              <w:rPr>
                <w:rFonts w:ascii="Times New Roman" w:hAnsi="Times New Roman" w:eastAsia="仿宋_GB2312" w:cs="Times New Roman"/>
                <w:bCs/>
                <w:color w:val="auto"/>
                <w:sz w:val="19"/>
              </w:rPr>
              <w:t>20</w:t>
            </w:r>
            <w:r>
              <w:rPr>
                <w:rFonts w:hint="default" w:ascii="Times New Roman" w:hAnsi="Times New Roman" w:eastAsia="仿宋_GB2312" w:cs="Times New Roman"/>
                <w:bCs/>
                <w:color w:val="auto"/>
                <w:sz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52" w:lineRule="exact"/>
              <w:ind w:firstLine="0"/>
              <w:jc w:val="both"/>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绩效合理性</w:t>
            </w:r>
            <w:r>
              <w:rPr>
                <w:rFonts w:ascii="Times New Roman" w:hAnsi="Times New Roman" w:eastAsia="仿宋_GB2312" w:cs="Times New Roman"/>
                <w:bCs/>
                <w:color w:val="auto"/>
                <w:sz w:val="19"/>
              </w:rPr>
              <w:t xml:space="preserve"> </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75" w:type="dxa"/>
            <w:gridSpan w:val="2"/>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预期绩效是否显著，是否符合行业正常水平或事业发展规律。</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资金匹配性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绩效目标与项目资金量、使用方向等是否匹配，在既定资金规模下，绩效目标是否过高或过低；或要完成既定绩效目标，资金规模是否过大或过小。</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04"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五、可行性审核（</w:t>
            </w:r>
            <w:r>
              <w:rPr>
                <w:rFonts w:ascii="Times New Roman" w:hAnsi="Times New Roman" w:eastAsia="仿宋_GB2312" w:cs="Times New Roman"/>
                <w:bCs/>
                <w:color w:val="auto"/>
                <w:sz w:val="19"/>
              </w:rPr>
              <w:t>20</w:t>
            </w:r>
            <w:r>
              <w:rPr>
                <w:rFonts w:hint="default" w:ascii="Times New Roman" w:hAnsi="Times New Roman" w:eastAsia="仿宋_GB2312" w:cs="Times New Roman"/>
                <w:bCs/>
                <w:color w:val="auto"/>
                <w:sz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实现可能性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绩效目标是否经过充分调查研究、论证和合理测算，实现的可能性是否充分。</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11"/>
              <w:spacing w:line="240" w:lineRule="auto"/>
              <w:ind w:left="0" w:leftChars="0" w:firstLine="0" w:firstLineChars="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条件充分性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75"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项目实施方案是否合理，项目实施单位的组织实施能力和条件是否充分，内部控制是否规范，风险防控是否准备到位，管理制度是否健全。</w:t>
            </w:r>
          </w:p>
        </w:tc>
        <w:tc>
          <w:tcPr>
            <w:tcW w:w="1079"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5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综合评定</w:t>
            </w:r>
            <w:r>
              <w:rPr>
                <w:rFonts w:hint="eastAsia"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等级</w:t>
            </w:r>
          </w:p>
        </w:tc>
        <w:tc>
          <w:tcPr>
            <w:tcW w:w="7754" w:type="dxa"/>
            <w:gridSpan w:val="3"/>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分及以上）</w:t>
            </w:r>
            <w:r>
              <w:rPr>
                <w:rFonts w:hint="default" w:ascii="Times New Roman" w:hAnsi="Times New Roman" w:eastAsia="仿宋_GB2312" w:cs="Times New Roman"/>
                <w:bCs/>
                <w:color w:val="auto"/>
                <w:sz w:val="19"/>
                <w:lang w:val="zh-CN" w:eastAsia="zh-CN"/>
              </w:rPr>
              <w:t>口</w:t>
            </w:r>
            <w:r>
              <w:rPr>
                <w:rFonts w:hint="eastAsia" w:ascii="Times New Roman" w:hAnsi="Times New Roman" w:eastAsia="仿宋_GB2312" w:cs="Times New Roman"/>
                <w:bCs/>
                <w:color w:val="auto"/>
                <w:sz w:val="19"/>
                <w:lang w:val="en-US" w:eastAsia="zh-CN"/>
              </w:rPr>
              <w:t xml:space="preserve">  </w:t>
            </w:r>
            <w:r>
              <w:rPr>
                <w:rFonts w:ascii="Times New Roman" w:hAnsi="Times New Roman" w:eastAsia="仿宋_GB2312" w:cs="Times New Roman"/>
                <w:bCs/>
                <w:color w:val="auto"/>
                <w:sz w:val="19"/>
                <w:lang w:val="zh-CN" w:eastAsia="zh-CN"/>
              </w:rPr>
              <w:tab/>
            </w:r>
            <w:r>
              <w:rPr>
                <w:rFonts w:hint="default" w:ascii="Times New Roman" w:hAnsi="Times New Roman" w:eastAsia="仿宋_GB2312" w:cs="Times New Roman"/>
                <w:bCs/>
                <w:color w:val="auto"/>
                <w:sz w:val="19"/>
              </w:rPr>
              <w:t>不通过（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分以下</w:t>
            </w:r>
            <w:r>
              <w:rPr>
                <w:rFonts w:hint="default" w:ascii="Times New Roman" w:hAnsi="Times New Roman" w:eastAsia="仿宋_GB2312" w:cs="Times New Roman"/>
                <w:bCs/>
                <w:color w:val="auto"/>
                <w:sz w:val="19"/>
                <w:lang w:val="en-US" w:eastAsia="zh-CN"/>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5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总体审核</w:t>
            </w:r>
            <w:r>
              <w:rPr>
                <w:rFonts w:hint="eastAsia"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意见</w:t>
            </w:r>
          </w:p>
        </w:tc>
        <w:tc>
          <w:tcPr>
            <w:tcW w:w="7754" w:type="dxa"/>
            <w:gridSpan w:val="3"/>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lang w:val="en-US" w:eastAsia="zh-CN"/>
              </w:rPr>
              <w:t xml:space="preserve">绩效目标审核得分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分，综合</w:t>
            </w:r>
            <w:r>
              <w:rPr>
                <w:rFonts w:hint="eastAsia" w:eastAsia="仿宋_GB2312" w:cs="Times New Roman"/>
                <w:bCs/>
                <w:color w:val="auto"/>
                <w:sz w:val="19"/>
                <w:lang w:val="en-US" w:eastAsia="zh-CN"/>
              </w:rPr>
              <w:t>评定等级通过，可直接安排预算资金。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25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审核单位</w:t>
            </w:r>
          </w:p>
        </w:tc>
        <w:tc>
          <w:tcPr>
            <w:tcW w:w="7754" w:type="dxa"/>
            <w:gridSpan w:val="3"/>
            <w:vAlign w:val="center"/>
          </w:tcPr>
          <w:p>
            <w:pPr>
              <w:keepNext w:val="0"/>
              <w:keepLines w:val="0"/>
              <w:widowControl/>
              <w:suppressLineNumbers w:val="0"/>
              <w:ind w:firstLine="760" w:firstLineChars="40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eastAsia="仿宋_GB2312" w:cs="Times New Roman"/>
                <w:bCs/>
                <w:color w:val="auto"/>
                <w:sz w:val="19"/>
                <w:lang w:val="en-US" w:eastAsia="zh-CN"/>
              </w:rPr>
              <w:t>（</w:t>
            </w:r>
            <w:r>
              <w:rPr>
                <w:rFonts w:hint="eastAsia" w:ascii="Times New Roman" w:hAnsi="Times New Roman" w:eastAsia="仿宋_GB2312" w:cs="Times New Roman"/>
                <w:bCs/>
                <w:color w:val="auto"/>
                <w:sz w:val="19"/>
                <w:lang w:val="en-US" w:eastAsia="zh-CN"/>
              </w:rPr>
              <w:t>主管单位盖章</w:t>
            </w:r>
            <w:r>
              <w:rPr>
                <w:rFonts w:hint="eastAsia" w:eastAsia="仿宋_GB2312" w:cs="Times New Roman"/>
                <w:bCs/>
                <w:color w:val="auto"/>
                <w:sz w:val="19"/>
                <w:lang w:val="en-US" w:eastAsia="zh-CN"/>
              </w:rPr>
              <w:t>）                   （财政部门盖章）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5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审核时间</w:t>
            </w:r>
          </w:p>
        </w:tc>
        <w:tc>
          <w:tcPr>
            <w:tcW w:w="7754" w:type="dxa"/>
            <w:gridSpan w:val="3"/>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lang w:val="en-US" w:eastAsia="zh-CN"/>
              </w:rPr>
              <w:t xml:space="preserve">202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年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月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日</w:t>
            </w:r>
          </w:p>
        </w:tc>
      </w:tr>
    </w:tbl>
    <w:p>
      <w:pPr>
        <w:keepNext w:val="0"/>
        <w:keepLines w:val="0"/>
        <w:pageBreakBefore w:val="0"/>
        <w:widowControl w:val="0"/>
        <w:kinsoku/>
        <w:wordWrap/>
        <w:overflowPunct/>
        <w:topLinePunct w:val="0"/>
        <w:autoSpaceDE/>
        <w:autoSpaceDN/>
        <w:bidi w:val="0"/>
        <w:adjustRightInd/>
        <w:snapToGrid/>
        <w:spacing w:before="157" w:beforeLines="50" w:line="20" w:lineRule="exact"/>
        <w:jc w:val="both"/>
        <w:textAlignment w:val="auto"/>
        <w:outlineLvl w:val="9"/>
        <w:rPr>
          <w:rFonts w:hint="eastAsia" w:ascii="仿宋_GB2312" w:hAnsi="仿宋_GB2312" w:eastAsia="仿宋_GB2312" w:cs="仿宋_GB2312"/>
          <w:bCs/>
          <w:sz w:val="36"/>
          <w:szCs w:val="36"/>
          <w:lang w:val="en-US" w:eastAsia="zh-CN"/>
        </w:rPr>
      </w:pPr>
    </w:p>
    <w:sectPr>
      <w:footerReference r:id="rId3" w:type="default"/>
      <w:footerReference r:id="rId4" w:type="even"/>
      <w:pgSz w:w="11906" w:h="16838"/>
      <w:pgMar w:top="1440" w:right="1531" w:bottom="1440"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Mzk1NmIwN2JiOGNmMWUxZjdiMmJlMWMwOWVkZTEifQ=="/>
  </w:docVars>
  <w:rsids>
    <w:rsidRoot w:val="5B5706C3"/>
    <w:rsid w:val="037217B0"/>
    <w:rsid w:val="057A4A99"/>
    <w:rsid w:val="066C0E0C"/>
    <w:rsid w:val="08B67AC8"/>
    <w:rsid w:val="0A3C4741"/>
    <w:rsid w:val="0A4939C8"/>
    <w:rsid w:val="0BC97768"/>
    <w:rsid w:val="1097489D"/>
    <w:rsid w:val="119E3AAB"/>
    <w:rsid w:val="11BC1129"/>
    <w:rsid w:val="134E3EE5"/>
    <w:rsid w:val="136343C2"/>
    <w:rsid w:val="13FB0887"/>
    <w:rsid w:val="1B224C23"/>
    <w:rsid w:val="1E17573E"/>
    <w:rsid w:val="1F0F4348"/>
    <w:rsid w:val="209C454A"/>
    <w:rsid w:val="26317E33"/>
    <w:rsid w:val="26785F2C"/>
    <w:rsid w:val="2B4C66D1"/>
    <w:rsid w:val="2B8D6A8A"/>
    <w:rsid w:val="2BC366E1"/>
    <w:rsid w:val="2E801A0F"/>
    <w:rsid w:val="2F1E0C97"/>
    <w:rsid w:val="2F6513E2"/>
    <w:rsid w:val="33401088"/>
    <w:rsid w:val="361C27B1"/>
    <w:rsid w:val="364D0318"/>
    <w:rsid w:val="39DD053D"/>
    <w:rsid w:val="39EF0AE0"/>
    <w:rsid w:val="3B510D53"/>
    <w:rsid w:val="3BDE50B6"/>
    <w:rsid w:val="3C5A7E5C"/>
    <w:rsid w:val="3EDED6FC"/>
    <w:rsid w:val="3F6F51DD"/>
    <w:rsid w:val="411A32A7"/>
    <w:rsid w:val="430B1213"/>
    <w:rsid w:val="43ED2B2D"/>
    <w:rsid w:val="45CD668F"/>
    <w:rsid w:val="48CF7C9A"/>
    <w:rsid w:val="49155946"/>
    <w:rsid w:val="4E40762A"/>
    <w:rsid w:val="4E863686"/>
    <w:rsid w:val="4F122D66"/>
    <w:rsid w:val="53335F59"/>
    <w:rsid w:val="54E411B9"/>
    <w:rsid w:val="57775A89"/>
    <w:rsid w:val="5B5706C3"/>
    <w:rsid w:val="5BAE61E8"/>
    <w:rsid w:val="5C8564CE"/>
    <w:rsid w:val="5C9B634B"/>
    <w:rsid w:val="603C7EFA"/>
    <w:rsid w:val="61453D66"/>
    <w:rsid w:val="63344788"/>
    <w:rsid w:val="66023689"/>
    <w:rsid w:val="6D535020"/>
    <w:rsid w:val="6D7FB877"/>
    <w:rsid w:val="6FAB668D"/>
    <w:rsid w:val="70245756"/>
    <w:rsid w:val="707C27FB"/>
    <w:rsid w:val="70E66E26"/>
    <w:rsid w:val="75FF2244"/>
    <w:rsid w:val="770B248E"/>
    <w:rsid w:val="77301791"/>
    <w:rsid w:val="77E731A8"/>
    <w:rsid w:val="7AD657F0"/>
    <w:rsid w:val="7AFF7A5A"/>
    <w:rsid w:val="7B770144"/>
    <w:rsid w:val="7BED631D"/>
    <w:rsid w:val="7DAB03AE"/>
    <w:rsid w:val="7EFF7544"/>
    <w:rsid w:val="7F9FDEDE"/>
    <w:rsid w:val="EE9D0427"/>
    <w:rsid w:val="F7FEB635"/>
    <w:rsid w:val="FC367254"/>
    <w:rsid w:val="FE6F7A87"/>
    <w:rsid w:val="FFFEF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cs="Times New Roman"/>
      <w:sz w:val="32"/>
    </w:rPr>
  </w:style>
  <w:style w:type="paragraph" w:styleId="3">
    <w:name w:val="Body Text Indent"/>
    <w:basedOn w:val="1"/>
    <w:next w:val="2"/>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Other|1"/>
    <w:basedOn w:val="1"/>
    <w:qFormat/>
    <w:uiPriority w:val="99"/>
    <w:pPr>
      <w:spacing w:line="410" w:lineRule="auto"/>
      <w:ind w:firstLine="400"/>
      <w:jc w:val="left"/>
    </w:pPr>
    <w:rPr>
      <w:rFonts w:ascii="宋体" w:hAnsi="宋体" w:cs="宋体"/>
      <w:color w:val="000000"/>
      <w:kern w:val="0"/>
      <w:sz w:val="20"/>
      <w:szCs w:val="20"/>
      <w:lang w:val="zh-TW" w:eastAsia="zh-TW"/>
    </w:rPr>
  </w:style>
  <w:style w:type="paragraph" w:customStyle="1" w:styleId="12">
    <w:name w:val="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987</Words>
  <Characters>1058</Characters>
  <Lines>0</Lines>
  <Paragraphs>0</Paragraphs>
  <TotalTime>0</TotalTime>
  <ScaleCrop>false</ScaleCrop>
  <LinksUpToDate>false</LinksUpToDate>
  <CharactersWithSpaces>1141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2018-11-10T10:46:00Z</dcterms:created>
  <dc:creator>Administrator</dc:creator>
  <cp:lastModifiedBy>greatwall</cp:lastModifiedBy>
  <cp:lastPrinted>2026-07-03T07:43:00Z</cp:lastPrinted>
  <dcterms:modified xsi:type="dcterms:W3CDTF">2026-07-03T09:41:50Z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40FB9830EA7646D2A620D7CD2DAA9962</vt:lpwstr>
  </property>
  <property fmtid="{D5CDD505-2E9C-101B-9397-08002B2CF9AE}" pid="4" name="KSOTemplateDocerSaveRecord">
    <vt:lpwstr>eyJoZGlkIjoiNTc0Mzk1NmIwN2JiOGNmMWUxZjdiMmJlMWMwOWVkZTEiLCJ1c2VySWQiOiIzNzcwODU5OTMifQ==</vt:lpwstr>
  </property>
</Properties>
</file>