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25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附件2:</w:t>
      </w:r>
    </w:p>
    <w:p w14:paraId="58DBF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47313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阳城县危化企业承包商现场作业公示牌</w:t>
      </w:r>
    </w:p>
    <w:p w14:paraId="13298569"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FBB2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40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公示编号:</w:t>
      </w:r>
    </w:p>
    <w:p w14:paraId="5374C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一、作业基本信息</w:t>
      </w:r>
    </w:p>
    <w:p w14:paraId="35755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作业项目名称：</w:t>
      </w:r>
    </w:p>
    <w:p w14:paraId="09F31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作业具体地点：</w:t>
      </w:r>
    </w:p>
    <w:p w14:paraId="66C3B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作业类型（可多选）：□动火作业□受限空间作业□高处作业□吊装作业□临时用电□破土作业□盲板抽堵□检维修作业□其他</w:t>
      </w:r>
    </w:p>
    <w:p w14:paraId="6E083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998" w:leftChars="304" w:hanging="7360" w:hangingChars="2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作业起止时间：年  月  日至  年  月  日</w:t>
      </w:r>
    </w:p>
    <w:p w14:paraId="16B7B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作业审批状态：□已审批□待审批□严禁作业</w:t>
      </w:r>
    </w:p>
    <w:p w14:paraId="61450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二、承包商单位信息</w:t>
      </w:r>
    </w:p>
    <w:p w14:paraId="44163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承包单位名称：</w:t>
      </w:r>
    </w:p>
    <w:p w14:paraId="12BA5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单位资质证书编号：</w:t>
      </w:r>
    </w:p>
    <w:p w14:paraId="5EF33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现场作业总人数：人</w:t>
      </w:r>
    </w:p>
    <w:p w14:paraId="14BF3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特种作业人员持证情况：全部持证上岗（证件编号附后/现场备查）</w:t>
      </w:r>
    </w:p>
    <w:p w14:paraId="19A4D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三、现场安全管理人员信息</w:t>
      </w:r>
    </w:p>
    <w:p w14:paraId="69F73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甲方（企业）属地负责人：联系电话:</w:t>
      </w:r>
    </w:p>
    <w:p w14:paraId="4B74F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甲方安全监护人:联系电话:</w:t>
      </w:r>
    </w:p>
    <w:p w14:paraId="66D04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乙方（承包商）项目负责人:联系电话:</w:t>
      </w:r>
    </w:p>
    <w:p w14:paraId="4CA32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乙方现场安全监护人：联系电话:</w:t>
      </w:r>
    </w:p>
    <w:p w14:paraId="64A58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四、作业风险辨识及管控措施</w:t>
      </w:r>
    </w:p>
    <w:p w14:paraId="73BF8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1.主要作业风险：</w:t>
      </w:r>
    </w:p>
    <w:p w14:paraId="6EF14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□1.火灾□2.触电□3.高处坠落□4.跌落□5.中毒□6.窒息□7.泄漏□8.灼烫□9.机械致害□10.起重致害□11.物体打击□12.容器爆炸□13.管道爆炸□14.可燃气体爆炸□15.可燃液体蒸气爆炸□16.粉尘爆炸□17.厂(场)内车辆致害□18.淹溺□19.坍塌□20.其他</w:t>
      </w:r>
    </w:p>
    <w:p w14:paraId="3CE43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2.安全管控措施：</w:t>
      </w:r>
    </w:p>
    <w:p w14:paraId="24188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1.作业前已完成风险辨识、安全技术交底，全员熟知作业风险及操作规程；</w:t>
      </w:r>
    </w:p>
    <w:p w14:paraId="4F508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2.作业票证齐全有效，严格执行作业审批、监护制度，无监护不作业；</w:t>
      </w:r>
    </w:p>
    <w:p w14:paraId="38C81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3.现场安全防护设施、消防器材、应急器材配备齐全且完好有效；</w:t>
      </w:r>
    </w:p>
    <w:p w14:paraId="2F92F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4.作业人员全部持证上岗，劳保用品规范佩戴；</w:t>
      </w:r>
    </w:p>
    <w:p w14:paraId="0D5E8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5.已落实气体检测、隔离、通风、断电等专项安全措施；</w:t>
      </w:r>
    </w:p>
    <w:p w14:paraId="63A54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6.其他专项管控措施：</w:t>
      </w:r>
    </w:p>
    <w:p w14:paraId="12ED0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五、应急信息</w:t>
      </w:r>
    </w:p>
    <w:p w14:paraId="34808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现场应急处置负责人：联系电话：</w:t>
      </w:r>
    </w:p>
    <w:p w14:paraId="5F536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企业应急电话：</w:t>
      </w:r>
    </w:p>
    <w:p w14:paraId="708A1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就近应急物资位置：</w:t>
      </w:r>
    </w:p>
    <w:p w14:paraId="05716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火警电话：119急救电话：120报警电话：110</w:t>
      </w:r>
    </w:p>
    <w:p w14:paraId="496C3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六、作业禁令及公示说明</w:t>
      </w:r>
    </w:p>
    <w:p w14:paraId="1EA1B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40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作业禁令：</w:t>
      </w:r>
    </w:p>
    <w:p w14:paraId="1D28F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1.无作业票、无安全交底、无监护人严禁作业；</w:t>
      </w:r>
    </w:p>
    <w:p w14:paraId="7D4B0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2.作业条件不满足、安全措施不到位严禁作业；</w:t>
      </w:r>
    </w:p>
    <w:p w14:paraId="4CCE0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3.作业人员无证上岗、劳保防护不到位严禁作业；</w:t>
      </w:r>
    </w:p>
    <w:p w14:paraId="4194B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4.现场出现异常风险、天气恶劣（大风、暴雨等）立即停止作业。</w:t>
      </w:r>
    </w:p>
    <w:p w14:paraId="4139D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公示说明：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本公示牌全程置于作业现场醒目位置，作业期间持续公示，作业完工后拆除归档，接受全员监督，严格落实全流程闭环管理。</w:t>
      </w:r>
    </w:p>
    <w:p w14:paraId="0CA89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4542A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5D94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公示日期:  年  月  日</w:t>
      </w:r>
    </w:p>
    <w:p w14:paraId="58CB9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sectPr>
          <w:pgSz w:w="11906" w:h="16838"/>
          <w:pgMar w:top="1440" w:right="1286" w:bottom="1440" w:left="16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监督举报电话：</w:t>
      </w:r>
    </w:p>
    <w:p w14:paraId="6E840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附件3：</w:t>
      </w:r>
    </w:p>
    <w:p w14:paraId="5C4C3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阳城县危化企业承包商信息统计表</w:t>
      </w:r>
    </w:p>
    <w:p w14:paraId="65C2D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6E8D6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填报单位：                                               填报日期：年  月  日</w:t>
      </w:r>
    </w:p>
    <w:p w14:paraId="131EA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tbl>
      <w:tblPr>
        <w:tblStyle w:val="3"/>
        <w:tblW w:w="14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236"/>
        <w:gridCol w:w="1109"/>
        <w:gridCol w:w="1292"/>
        <w:gridCol w:w="1316"/>
        <w:gridCol w:w="1250"/>
        <w:gridCol w:w="942"/>
        <w:gridCol w:w="992"/>
        <w:gridCol w:w="1275"/>
        <w:gridCol w:w="2783"/>
        <w:gridCol w:w="1083"/>
      </w:tblGrid>
      <w:tr w14:paraId="5148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730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4D0A8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36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E1A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109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5B4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承包商名称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7CD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承包商</w:t>
            </w:r>
          </w:p>
          <w:p w14:paraId="78F87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资质类别及等级</w:t>
            </w:r>
          </w:p>
        </w:tc>
        <w:tc>
          <w:tcPr>
            <w:tcW w:w="1316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097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营业执照中工程承包范围</w:t>
            </w:r>
          </w:p>
        </w:tc>
        <w:tc>
          <w:tcPr>
            <w:tcW w:w="1250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1C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承包商联系人及电话</w:t>
            </w:r>
          </w:p>
        </w:tc>
        <w:tc>
          <w:tcPr>
            <w:tcW w:w="942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F6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承包项目名称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DF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项目起止时间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40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特种作业人员工种及数量</w:t>
            </w:r>
          </w:p>
        </w:tc>
        <w:tc>
          <w:tcPr>
            <w:tcW w:w="2783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FB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项目是否分包（分包需注明分包商名称、分包项目）</w:t>
            </w:r>
          </w:p>
        </w:tc>
        <w:tc>
          <w:tcPr>
            <w:tcW w:w="1083" w:type="dxa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7B35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583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30" w:type="dxa"/>
            <w:tcBorders>
              <w:left w:val="single" w:color="auto" w:sz="8" w:space="0"/>
              <w:right w:val="single" w:color="auto" w:sz="4" w:space="0"/>
            </w:tcBorders>
          </w:tcPr>
          <w:p w14:paraId="1E5DB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236" w:type="dxa"/>
            <w:tcBorders>
              <w:left w:val="single" w:color="auto" w:sz="4" w:space="0"/>
              <w:right w:val="single" w:color="auto" w:sz="4" w:space="0"/>
            </w:tcBorders>
          </w:tcPr>
          <w:p w14:paraId="4A4FA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tcBorders>
              <w:left w:val="single" w:color="auto" w:sz="4" w:space="0"/>
              <w:right w:val="single" w:color="auto" w:sz="4" w:space="0"/>
            </w:tcBorders>
          </w:tcPr>
          <w:p w14:paraId="374DE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left w:val="single" w:color="auto" w:sz="4" w:space="0"/>
              <w:right w:val="single" w:color="auto" w:sz="4" w:space="0"/>
            </w:tcBorders>
          </w:tcPr>
          <w:p w14:paraId="4B331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tcBorders>
              <w:left w:val="single" w:color="auto" w:sz="4" w:space="0"/>
              <w:right w:val="single" w:color="auto" w:sz="4" w:space="0"/>
            </w:tcBorders>
          </w:tcPr>
          <w:p w14:paraId="29830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left w:val="single" w:color="auto" w:sz="4" w:space="0"/>
              <w:right w:val="single" w:color="auto" w:sz="4" w:space="0"/>
            </w:tcBorders>
          </w:tcPr>
          <w:p w14:paraId="0578E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42" w:type="dxa"/>
            <w:tcBorders>
              <w:left w:val="single" w:color="auto" w:sz="4" w:space="0"/>
              <w:right w:val="single" w:color="auto" w:sz="4" w:space="0"/>
            </w:tcBorders>
          </w:tcPr>
          <w:p w14:paraId="2584F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 w14:paraId="2CC2C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</w:tcPr>
          <w:p w14:paraId="4CBF1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tcBorders>
              <w:left w:val="single" w:color="auto" w:sz="4" w:space="0"/>
              <w:right w:val="single" w:color="auto" w:sz="4" w:space="0"/>
            </w:tcBorders>
          </w:tcPr>
          <w:p w14:paraId="08650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tcBorders>
              <w:left w:val="single" w:color="auto" w:sz="4" w:space="0"/>
              <w:right w:val="single" w:color="auto" w:sz="8" w:space="0"/>
            </w:tcBorders>
          </w:tcPr>
          <w:p w14:paraId="5E067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0B9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30" w:type="dxa"/>
            <w:tcBorders>
              <w:left w:val="single" w:color="auto" w:sz="8" w:space="0"/>
              <w:right w:val="single" w:color="auto" w:sz="4" w:space="0"/>
            </w:tcBorders>
          </w:tcPr>
          <w:p w14:paraId="3572B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236" w:type="dxa"/>
            <w:tcBorders>
              <w:left w:val="single" w:color="auto" w:sz="4" w:space="0"/>
              <w:right w:val="single" w:color="auto" w:sz="4" w:space="0"/>
            </w:tcBorders>
          </w:tcPr>
          <w:p w14:paraId="551A5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tcBorders>
              <w:left w:val="single" w:color="auto" w:sz="4" w:space="0"/>
              <w:right w:val="single" w:color="auto" w:sz="4" w:space="0"/>
            </w:tcBorders>
          </w:tcPr>
          <w:p w14:paraId="6A4B5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left w:val="single" w:color="auto" w:sz="4" w:space="0"/>
              <w:right w:val="single" w:color="auto" w:sz="4" w:space="0"/>
            </w:tcBorders>
          </w:tcPr>
          <w:p w14:paraId="6CB72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tcBorders>
              <w:left w:val="single" w:color="auto" w:sz="4" w:space="0"/>
              <w:right w:val="single" w:color="auto" w:sz="4" w:space="0"/>
            </w:tcBorders>
          </w:tcPr>
          <w:p w14:paraId="35209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left w:val="single" w:color="auto" w:sz="4" w:space="0"/>
              <w:right w:val="single" w:color="auto" w:sz="4" w:space="0"/>
            </w:tcBorders>
          </w:tcPr>
          <w:p w14:paraId="3752E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42" w:type="dxa"/>
            <w:tcBorders>
              <w:left w:val="single" w:color="auto" w:sz="4" w:space="0"/>
              <w:right w:val="single" w:color="auto" w:sz="4" w:space="0"/>
            </w:tcBorders>
          </w:tcPr>
          <w:p w14:paraId="2FA04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 w14:paraId="6DCEF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</w:tcPr>
          <w:p w14:paraId="375C6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tcBorders>
              <w:left w:val="single" w:color="auto" w:sz="4" w:space="0"/>
              <w:right w:val="single" w:color="auto" w:sz="4" w:space="0"/>
            </w:tcBorders>
          </w:tcPr>
          <w:p w14:paraId="20A25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tcBorders>
              <w:left w:val="single" w:color="auto" w:sz="4" w:space="0"/>
              <w:right w:val="single" w:color="auto" w:sz="8" w:space="0"/>
            </w:tcBorders>
          </w:tcPr>
          <w:p w14:paraId="6A636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C7DD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30" w:type="dxa"/>
            <w:tcBorders>
              <w:left w:val="single" w:color="auto" w:sz="8" w:space="0"/>
              <w:right w:val="single" w:color="auto" w:sz="4" w:space="0"/>
            </w:tcBorders>
          </w:tcPr>
          <w:p w14:paraId="50B1F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236" w:type="dxa"/>
            <w:tcBorders>
              <w:left w:val="single" w:color="auto" w:sz="4" w:space="0"/>
              <w:right w:val="single" w:color="auto" w:sz="4" w:space="0"/>
            </w:tcBorders>
          </w:tcPr>
          <w:p w14:paraId="5CFBD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tcBorders>
              <w:left w:val="single" w:color="auto" w:sz="4" w:space="0"/>
              <w:right w:val="single" w:color="auto" w:sz="4" w:space="0"/>
            </w:tcBorders>
          </w:tcPr>
          <w:p w14:paraId="12A34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left w:val="single" w:color="auto" w:sz="4" w:space="0"/>
              <w:right w:val="single" w:color="auto" w:sz="4" w:space="0"/>
            </w:tcBorders>
          </w:tcPr>
          <w:p w14:paraId="6908E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tcBorders>
              <w:left w:val="single" w:color="auto" w:sz="4" w:space="0"/>
              <w:right w:val="single" w:color="auto" w:sz="4" w:space="0"/>
            </w:tcBorders>
          </w:tcPr>
          <w:p w14:paraId="144B1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left w:val="single" w:color="auto" w:sz="4" w:space="0"/>
              <w:right w:val="single" w:color="auto" w:sz="4" w:space="0"/>
            </w:tcBorders>
          </w:tcPr>
          <w:p w14:paraId="3CA10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42" w:type="dxa"/>
            <w:tcBorders>
              <w:left w:val="single" w:color="auto" w:sz="4" w:space="0"/>
              <w:right w:val="single" w:color="auto" w:sz="4" w:space="0"/>
            </w:tcBorders>
          </w:tcPr>
          <w:p w14:paraId="0DD59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 w14:paraId="2EABC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</w:tcPr>
          <w:p w14:paraId="6E5B4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tcBorders>
              <w:left w:val="single" w:color="auto" w:sz="4" w:space="0"/>
              <w:right w:val="single" w:color="auto" w:sz="4" w:space="0"/>
            </w:tcBorders>
          </w:tcPr>
          <w:p w14:paraId="11B79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tcBorders>
              <w:left w:val="single" w:color="auto" w:sz="4" w:space="0"/>
              <w:right w:val="single" w:color="auto" w:sz="8" w:space="0"/>
            </w:tcBorders>
          </w:tcPr>
          <w:p w14:paraId="02875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7DE2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30" w:type="dxa"/>
            <w:tcBorders>
              <w:left w:val="single" w:color="auto" w:sz="8" w:space="0"/>
              <w:right w:val="single" w:color="auto" w:sz="4" w:space="0"/>
            </w:tcBorders>
          </w:tcPr>
          <w:p w14:paraId="07D87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……</w:t>
            </w:r>
          </w:p>
        </w:tc>
        <w:tc>
          <w:tcPr>
            <w:tcW w:w="1236" w:type="dxa"/>
            <w:tcBorders>
              <w:left w:val="single" w:color="auto" w:sz="4" w:space="0"/>
              <w:right w:val="single" w:color="auto" w:sz="4" w:space="0"/>
            </w:tcBorders>
          </w:tcPr>
          <w:p w14:paraId="75F4C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109" w:type="dxa"/>
            <w:tcBorders>
              <w:left w:val="single" w:color="auto" w:sz="4" w:space="0"/>
              <w:right w:val="single" w:color="auto" w:sz="4" w:space="0"/>
            </w:tcBorders>
          </w:tcPr>
          <w:p w14:paraId="25B57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92" w:type="dxa"/>
            <w:tcBorders>
              <w:left w:val="single" w:color="auto" w:sz="4" w:space="0"/>
              <w:right w:val="single" w:color="auto" w:sz="4" w:space="0"/>
            </w:tcBorders>
          </w:tcPr>
          <w:p w14:paraId="397AC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316" w:type="dxa"/>
            <w:tcBorders>
              <w:left w:val="single" w:color="auto" w:sz="4" w:space="0"/>
              <w:right w:val="single" w:color="auto" w:sz="4" w:space="0"/>
            </w:tcBorders>
          </w:tcPr>
          <w:p w14:paraId="24120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tcBorders>
              <w:left w:val="single" w:color="auto" w:sz="4" w:space="0"/>
              <w:right w:val="single" w:color="auto" w:sz="4" w:space="0"/>
            </w:tcBorders>
          </w:tcPr>
          <w:p w14:paraId="03591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42" w:type="dxa"/>
            <w:tcBorders>
              <w:left w:val="single" w:color="auto" w:sz="4" w:space="0"/>
              <w:right w:val="single" w:color="auto" w:sz="4" w:space="0"/>
            </w:tcBorders>
          </w:tcPr>
          <w:p w14:paraId="49FC9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 w14:paraId="67A89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</w:tcPr>
          <w:p w14:paraId="24C38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tcBorders>
              <w:left w:val="single" w:color="auto" w:sz="4" w:space="0"/>
              <w:right w:val="single" w:color="auto" w:sz="4" w:space="0"/>
            </w:tcBorders>
          </w:tcPr>
          <w:p w14:paraId="1DD45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tcBorders>
              <w:left w:val="single" w:color="auto" w:sz="4" w:space="0"/>
              <w:right w:val="single" w:color="auto" w:sz="8" w:space="0"/>
            </w:tcBorders>
          </w:tcPr>
          <w:p w14:paraId="42F3C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413BB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联系人及联系方式：</w:t>
      </w:r>
    </w:p>
    <w:p w14:paraId="68087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填报说明：</w:t>
      </w:r>
    </w:p>
    <w:p w14:paraId="1B837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1.“项目起止时间”一栏中，如属于固定承包商，填“长期”；</w:t>
      </w:r>
    </w:p>
    <w:p w14:paraId="702A0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6838" w:h="11906" w:orient="landscape"/>
          <w:pgMar w:top="1600" w:right="1440" w:bottom="1286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2.“特种作业人员工种及数量”一栏仅填写承包商涉及的相关人员。</w:t>
      </w:r>
    </w:p>
    <w:p w14:paraId="62BDC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附件4：</w:t>
      </w:r>
    </w:p>
    <w:p w14:paraId="6788E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工作进展统计表</w:t>
      </w:r>
    </w:p>
    <w:p w14:paraId="74E0C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0EE79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填报单位：                                                    填报日期：年   月   日</w:t>
      </w:r>
    </w:p>
    <w:tbl>
      <w:tblPr>
        <w:tblStyle w:val="3"/>
        <w:tblW w:w="125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940"/>
        <w:gridCol w:w="1515"/>
        <w:gridCol w:w="997"/>
        <w:gridCol w:w="1242"/>
        <w:gridCol w:w="2150"/>
        <w:gridCol w:w="3975"/>
      </w:tblGrid>
      <w:tr w14:paraId="5633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  <w:jc w:val="center"/>
        </w:trPr>
        <w:tc>
          <w:tcPr>
            <w:tcW w:w="723" w:type="dxa"/>
            <w:vAlign w:val="center"/>
          </w:tcPr>
          <w:p w14:paraId="0D1D5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1940" w:type="dxa"/>
            <w:vAlign w:val="center"/>
          </w:tcPr>
          <w:p w14:paraId="7B602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涉及承包商的总数（家）</w:t>
            </w:r>
          </w:p>
        </w:tc>
        <w:tc>
          <w:tcPr>
            <w:tcW w:w="1515" w:type="dxa"/>
            <w:vAlign w:val="center"/>
          </w:tcPr>
          <w:p w14:paraId="779A5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是否完成制度修订</w:t>
            </w:r>
          </w:p>
        </w:tc>
        <w:tc>
          <w:tcPr>
            <w:tcW w:w="997" w:type="dxa"/>
            <w:vAlign w:val="center"/>
          </w:tcPr>
          <w:p w14:paraId="67CDE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累计发现问题隐患（项）</w:t>
            </w:r>
          </w:p>
        </w:tc>
        <w:tc>
          <w:tcPr>
            <w:tcW w:w="1242" w:type="dxa"/>
            <w:vAlign w:val="center"/>
          </w:tcPr>
          <w:p w14:paraId="3AB95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累计整改问题隐患（项）</w:t>
            </w:r>
          </w:p>
        </w:tc>
        <w:tc>
          <w:tcPr>
            <w:tcW w:w="2150" w:type="dxa"/>
            <w:vAlign w:val="center"/>
          </w:tcPr>
          <w:p w14:paraId="286B6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企业自查纳入黑名单管理的承包商数量</w:t>
            </w:r>
          </w:p>
          <w:p w14:paraId="3C412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（家）</w:t>
            </w:r>
          </w:p>
        </w:tc>
        <w:tc>
          <w:tcPr>
            <w:tcW w:w="3975" w:type="dxa"/>
            <w:vAlign w:val="center"/>
          </w:tcPr>
          <w:p w14:paraId="15271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纳入黑名单的承包商基本信息（名称/统一社会信用代码/纳入原因）</w:t>
            </w:r>
          </w:p>
        </w:tc>
      </w:tr>
      <w:tr w14:paraId="7499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23" w:type="dxa"/>
          </w:tcPr>
          <w:p w14:paraId="51DDC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940" w:type="dxa"/>
          </w:tcPr>
          <w:p w14:paraId="07614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15" w:type="dxa"/>
          </w:tcPr>
          <w:p w14:paraId="6A29B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97" w:type="dxa"/>
          </w:tcPr>
          <w:p w14:paraId="55F0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242" w:type="dxa"/>
          </w:tcPr>
          <w:p w14:paraId="7C6E6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2150" w:type="dxa"/>
          </w:tcPr>
          <w:p w14:paraId="0B8BB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3975" w:type="dxa"/>
          </w:tcPr>
          <w:p w14:paraId="1EE6D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1B8B9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23" w:type="dxa"/>
            <w:shd w:val="clear" w:color="auto" w:fill="auto"/>
            <w:vAlign w:val="top"/>
          </w:tcPr>
          <w:p w14:paraId="7C9C7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940" w:type="dxa"/>
            <w:shd w:val="clear" w:color="auto" w:fill="auto"/>
            <w:vAlign w:val="top"/>
          </w:tcPr>
          <w:p w14:paraId="4A710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1192A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997" w:type="dxa"/>
            <w:shd w:val="clear" w:color="auto" w:fill="auto"/>
            <w:vAlign w:val="top"/>
          </w:tcPr>
          <w:p w14:paraId="6641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shd w:val="clear" w:color="auto" w:fill="auto"/>
            <w:vAlign w:val="top"/>
          </w:tcPr>
          <w:p w14:paraId="5CB19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2150" w:type="dxa"/>
            <w:shd w:val="clear" w:color="auto" w:fill="auto"/>
            <w:vAlign w:val="top"/>
          </w:tcPr>
          <w:p w14:paraId="634B3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3975" w:type="dxa"/>
            <w:shd w:val="clear" w:color="auto" w:fill="auto"/>
            <w:vAlign w:val="top"/>
          </w:tcPr>
          <w:p w14:paraId="3FA32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</w:tr>
      <w:tr w14:paraId="574F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23" w:type="dxa"/>
            <w:shd w:val="clear" w:color="auto" w:fill="auto"/>
            <w:vAlign w:val="top"/>
          </w:tcPr>
          <w:p w14:paraId="272D0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940" w:type="dxa"/>
            <w:shd w:val="clear" w:color="auto" w:fill="auto"/>
            <w:vAlign w:val="top"/>
          </w:tcPr>
          <w:p w14:paraId="375C9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7D812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997" w:type="dxa"/>
            <w:shd w:val="clear" w:color="auto" w:fill="auto"/>
            <w:vAlign w:val="top"/>
          </w:tcPr>
          <w:p w14:paraId="6BD6B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shd w:val="clear" w:color="auto" w:fill="auto"/>
            <w:vAlign w:val="top"/>
          </w:tcPr>
          <w:p w14:paraId="36468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2150" w:type="dxa"/>
            <w:shd w:val="clear" w:color="auto" w:fill="auto"/>
            <w:vAlign w:val="top"/>
          </w:tcPr>
          <w:p w14:paraId="7DAA2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3975" w:type="dxa"/>
            <w:shd w:val="clear" w:color="auto" w:fill="auto"/>
            <w:vAlign w:val="top"/>
          </w:tcPr>
          <w:p w14:paraId="5DF19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</w:tr>
      <w:tr w14:paraId="0906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23" w:type="dxa"/>
            <w:shd w:val="clear" w:color="auto" w:fill="auto"/>
            <w:vAlign w:val="top"/>
          </w:tcPr>
          <w:p w14:paraId="1B95F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940" w:type="dxa"/>
            <w:shd w:val="clear" w:color="auto" w:fill="auto"/>
            <w:vAlign w:val="top"/>
          </w:tcPr>
          <w:p w14:paraId="27B88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shd w:val="clear" w:color="auto" w:fill="auto"/>
            <w:vAlign w:val="top"/>
          </w:tcPr>
          <w:p w14:paraId="382C0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997" w:type="dxa"/>
            <w:shd w:val="clear" w:color="auto" w:fill="auto"/>
            <w:vAlign w:val="top"/>
          </w:tcPr>
          <w:p w14:paraId="14CC7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shd w:val="clear" w:color="auto" w:fill="auto"/>
            <w:vAlign w:val="top"/>
          </w:tcPr>
          <w:p w14:paraId="6A5AE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2150" w:type="dxa"/>
            <w:shd w:val="clear" w:color="auto" w:fill="auto"/>
            <w:vAlign w:val="top"/>
          </w:tcPr>
          <w:p w14:paraId="7CBE2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  <w:tc>
          <w:tcPr>
            <w:tcW w:w="3975" w:type="dxa"/>
            <w:shd w:val="clear" w:color="auto" w:fill="auto"/>
            <w:vAlign w:val="top"/>
          </w:tcPr>
          <w:p w14:paraId="2AC11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</w:p>
        </w:tc>
      </w:tr>
    </w:tbl>
    <w:p w14:paraId="3CC42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19EA3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联系人及联系方式：</w:t>
      </w:r>
      <w:bookmarkStart w:id="0" w:name="_GoBack"/>
      <w:bookmarkEnd w:id="0"/>
    </w:p>
    <w:sectPr>
      <w:pgSz w:w="16838" w:h="11906" w:orient="landscape"/>
      <w:pgMar w:top="1600" w:right="1440" w:bottom="128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26247"/>
    <w:rsid w:val="26B2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2026-09-02T09:14:00Z</dcterms:created>
  <dc:creator>雨蝶</dc:creator>
  <cp:lastModifiedBy>雨蝶</cp:lastModifiedBy>
  <dcterms:modified xsi:type="dcterms:W3CDTF">2026-09-02T09:15:36Z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10FCC2982F78424ABEE2828D315FC62A_11</vt:lpwstr>
  </property>
  <property fmtid="{D5CDD505-2E9C-101B-9397-08002B2CF9AE}" pid="4" name="KSOTemplateDocerSaveRecord">
    <vt:lpwstr>eyJoZGlkIjoiZDMzOGJhMzAwMzI5MTE1ZWU5ZDgxYzA3YjY5NDRiNjEiLCJ1c2VySWQiOiI1ODU2NDY5ODUifQ==</vt:lpwstr>
  </property>
</Properties>
</file>