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阳城县行政审批服务管理局</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2025年工作总结和2026年工作计划</w:t>
      </w:r>
    </w:p>
    <w:p>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left"/>
        <w:textAlignment w:val="auto"/>
        <w:rPr>
          <w:rFonts w:hint="eastAsia" w:ascii="仿宋_GB2312" w:hAnsi="仿宋_GB2312" w:eastAsia="仿宋_GB2312" w:cs="仿宋_GB2312"/>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阳城县行政审批服务管理局在县委、县政府的坚强领导下，以习近平新时代中国特色社会主义思想为指引，深入贯彻党的二十大和二十届二中、三中、四中全会精神，聚焦企业和群众需求，以“高效办成一件事”为突破口，秉持“我不避事、踔厉奋发，事不避难、勇毅前行；马上就办、百问不烦，办就办好、令人满意”的工作理念，持续深化行政审批制度改革，以更高标准、更实举措、更严要求，扎实推进各项改革，在优化营商环境方面取得显著成效，为企业群众办事营造了更加便捷高效的政务服务环境，有力推动了阳城经济社会发展。现将2025年工作总结及2026年工作计划汇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截至目前，政务大厅共受理各类审批服务事项</w:t>
      </w:r>
      <w:r>
        <w:rPr>
          <w:rFonts w:hint="eastAsia" w:ascii="仿宋_GB2312" w:hAnsi="仿宋_GB2312" w:eastAsia="仿宋_GB2312" w:cs="仿宋_GB2312"/>
          <w:i w:val="0"/>
          <w:iCs w:val="0"/>
          <w:caps w:val="0"/>
          <w:color w:val="auto"/>
          <w:spacing w:val="0"/>
          <w:sz w:val="32"/>
          <w:szCs w:val="32"/>
          <w:shd w:val="clear" w:color="auto" w:fill="FFFFFF"/>
          <w:lang w:eastAsia="zh-CN"/>
        </w:rPr>
        <w:t>513221</w:t>
      </w:r>
      <w:r>
        <w:rPr>
          <w:rFonts w:hint="eastAsia" w:ascii="仿宋_GB2312" w:hAnsi="仿宋_GB2312" w:eastAsia="仿宋_GB2312" w:cs="仿宋_GB2312"/>
          <w:color w:val="auto"/>
          <w:sz w:val="32"/>
          <w:szCs w:val="32"/>
          <w:lang w:val="en-US" w:eastAsia="zh-CN"/>
        </w:rPr>
        <w:t>件。其中：审批局办理各类审批事项21844件（投资项目立项与规划建设等事项1211件，市场主体登记10811件，社会事务及准营类事项1230件，其他事项8592件）。各入驻窗口办理各类审批事项及服务事项491377件。</w:t>
      </w:r>
    </w:p>
    <w:p>
      <w:pPr>
        <w:pStyle w:val="3"/>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b w:val="0"/>
          <w:bCs w:val="0"/>
          <w:color w:val="auto"/>
          <w:sz w:val="32"/>
          <w:szCs w:val="32"/>
          <w:lang w:val="en-US" w:eastAsia="zh-CN"/>
        </w:rPr>
        <w:t>一、</w:t>
      </w:r>
      <w:r>
        <w:rPr>
          <w:rFonts w:hint="eastAsia" w:ascii="黑体" w:hAnsi="黑体" w:eastAsia="黑体" w:cs="黑体"/>
          <w:color w:val="auto"/>
          <w:kern w:val="2"/>
          <w:sz w:val="32"/>
          <w:szCs w:val="32"/>
          <w:lang w:val="en-US" w:eastAsia="zh-CN" w:bidi="ar-SA"/>
        </w:rPr>
        <w:t>坚持党建引领，推进全面从严治党向纵深发展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（一）扎实开展学习教育，筑牢思想根基</w:t>
      </w:r>
    </w:p>
    <w:p>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仿宋_GB2312" w:eastAsia="仿宋_GB2312" w:cs="仿宋_GB2312"/>
          <w:b/>
          <w:bCs/>
          <w:i w:val="0"/>
          <w:iCs w:val="0"/>
          <w:color w:val="auto"/>
          <w:kern w:val="0"/>
          <w:sz w:val="32"/>
          <w:szCs w:val="32"/>
          <w:u w:val="none"/>
          <w:lang w:val="en-US" w:eastAsia="zh-CN" w:bidi="ar"/>
        </w:rPr>
        <w:t>1.坚持科学统筹，以更高站位推进学习教育开局起步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olor w:val="auto"/>
          <w:kern w:val="0"/>
          <w:sz w:val="32"/>
          <w:szCs w:val="32"/>
          <w:u w:val="none"/>
          <w:lang w:val="en-US" w:eastAsia="zh-CN" w:bidi="ar"/>
        </w:rPr>
        <w:t>为全面落实习近平总书记关于作风建设的要求，我局以高度的政治责任感，扎实推进深入贯彻中央八项规定精神学习教育，将其作为提升党员干部素质的关键举措。截至目前，全年理论学习中心组集中学习48次、党员周学习46次，其中组织学习教育集中学习20次，交流研讨5次，使全局党员干部迅速投入到学习教育的浓厚氛围中。</w:t>
      </w:r>
    </w:p>
    <w:p>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仿宋_GB2312" w:hAnsi="仿宋_GB2312" w:eastAsia="仿宋_GB2312" w:cs="仿宋_GB2312"/>
          <w:b/>
          <w:bCs/>
          <w:i w:val="0"/>
          <w:iCs w:val="0"/>
          <w:color w:val="auto"/>
          <w:kern w:val="0"/>
          <w:sz w:val="32"/>
          <w:szCs w:val="32"/>
          <w:u w:val="none"/>
          <w:lang w:val="en-US" w:eastAsia="zh-CN" w:bidi="ar"/>
        </w:rPr>
      </w:pPr>
      <w:r>
        <w:rPr>
          <w:rFonts w:hint="eastAsia" w:ascii="仿宋_GB2312" w:hAnsi="仿宋_GB2312" w:eastAsia="仿宋_GB2312" w:cs="仿宋_GB2312"/>
          <w:b/>
          <w:bCs/>
          <w:i w:val="0"/>
          <w:iCs w:val="0"/>
          <w:color w:val="auto"/>
          <w:kern w:val="0"/>
          <w:sz w:val="32"/>
          <w:szCs w:val="32"/>
          <w:u w:val="none"/>
          <w:lang w:val="en-US" w:eastAsia="zh-CN" w:bidi="ar"/>
        </w:rPr>
        <w:t>2.坚持查改并行，以更严标准推进学习教育精准发力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仿宋_GB2312" w:eastAsia="仿宋_GB2312" w:cs="仿宋_GB2312"/>
          <w:i w:val="0"/>
          <w:iCs w:val="0"/>
          <w:color w:val="auto"/>
          <w:kern w:val="0"/>
          <w:sz w:val="32"/>
          <w:szCs w:val="32"/>
          <w:u w:val="none"/>
          <w:lang w:val="en-US" w:eastAsia="zh-CN" w:bidi="ar"/>
        </w:rPr>
        <w:t>坚持边学习、边对照、边查摆、边整改，将学习教育融入日常、抓在经常，一体推进学查改，</w:t>
      </w:r>
      <w:r>
        <w:rPr>
          <w:rFonts w:hint="eastAsia" w:ascii="仿宋_GB2312" w:hAnsi="仿宋_GB2312" w:eastAsia="仿宋_GB2312" w:cs="仿宋_GB2312"/>
          <w:color w:val="auto"/>
          <w:sz w:val="32"/>
          <w:szCs w:val="32"/>
        </w:rPr>
        <w:t>查摆整改问题共计</w:t>
      </w:r>
      <w:r>
        <w:rPr>
          <w:rFonts w:hint="eastAsia" w:ascii="仿宋_GB2312" w:hAnsi="仿宋_GB2312" w:eastAsia="仿宋_GB2312" w:cs="仿宋_GB2312"/>
          <w:color w:val="auto"/>
          <w:sz w:val="32"/>
          <w:szCs w:val="32"/>
          <w:lang w:val="en-US" w:eastAsia="zh-CN"/>
        </w:rPr>
        <w:t>479</w:t>
      </w:r>
      <w:r>
        <w:rPr>
          <w:rFonts w:hint="eastAsia" w:ascii="仿宋_GB2312" w:hAnsi="仿宋_GB2312" w:eastAsia="仿宋_GB2312" w:cs="仿宋_GB2312"/>
          <w:color w:val="auto"/>
          <w:sz w:val="32"/>
          <w:szCs w:val="32"/>
        </w:rPr>
        <w:t>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建立“即知即改”台账，推动整改成果制度化。全年为群众办实事</w:t>
      </w:r>
      <w:r>
        <w:rPr>
          <w:rFonts w:hint="eastAsia" w:ascii="仿宋_GB2312" w:hAnsi="仿宋_GB2312" w:eastAsia="仿宋_GB2312" w:cs="仿宋_GB2312"/>
          <w:color w:val="auto"/>
          <w:sz w:val="32"/>
          <w:szCs w:val="32"/>
          <w:lang w:val="en-US" w:eastAsia="zh-CN"/>
        </w:rPr>
        <w:t>2190</w:t>
      </w:r>
      <w:r>
        <w:rPr>
          <w:rFonts w:hint="eastAsia" w:ascii="仿宋_GB2312" w:hAnsi="仿宋_GB2312" w:eastAsia="仿宋_GB2312" w:cs="仿宋_GB2312"/>
          <w:color w:val="auto"/>
          <w:sz w:val="32"/>
          <w:szCs w:val="32"/>
        </w:rPr>
        <w:t>项，年轻干部参与解决问题79件，</w:t>
      </w:r>
      <w:r>
        <w:rPr>
          <w:rFonts w:hint="eastAsia" w:ascii="仿宋_GB2312" w:hAnsi="仿宋_GB2312" w:eastAsia="仿宋_GB2312" w:cs="仿宋_GB2312"/>
          <w:i w:val="0"/>
          <w:iCs w:val="0"/>
          <w:color w:val="auto"/>
          <w:kern w:val="0"/>
          <w:sz w:val="32"/>
          <w:szCs w:val="32"/>
          <w:u w:val="none"/>
          <w:lang w:val="en-US" w:eastAsia="zh-CN" w:bidi="ar"/>
        </w:rPr>
        <w:t>确保学有质量、查有力度、改有成效。</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（二）全力推进巡察反馈问题整改，补齐工作短板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仿宋_GB2312" w:eastAsia="仿宋_GB2312" w:cs="仿宋_GB2312"/>
          <w:i w:val="0"/>
          <w:iCs w:val="0"/>
          <w:color w:val="auto"/>
          <w:kern w:val="0"/>
          <w:sz w:val="32"/>
          <w:szCs w:val="32"/>
          <w:u w:val="none"/>
          <w:lang w:val="en-US" w:eastAsia="zh-CN" w:bidi="ar"/>
        </w:rPr>
        <w:t>全力配合接受巡察，自收到巡察反馈意见后，为加强巡察反馈意见整改工作的组织领导，我局党组第一时间召开专题会议，成立由党组书记任组长，班子成员为副组长，各责任股室负责人为成员的巡察反馈意见整改工作领导小组，统筹谋划与协调，制定《关于对县委第三巡察组反馈意见的整改方案》，分解工作任务，明确责任人、整改措施及目标时限，形成闭环管理机制。整个集中整改期间，将整改工作纳入年度重点工作同部署、同落实，定期听取整改进展汇报，对难点问题集体研究、靶向施策，确保整改方向不偏、力度不减。目前，县委第三巡察组反馈的41项整改任务，细化分解为71个具体问题，已完成70项，正在整改1项，整改完成率99%。</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（三）稳步开展常规工作，保障党务工作有序运行</w:t>
      </w:r>
    </w:p>
    <w:p>
      <w:pPr>
        <w:keepNext w:val="0"/>
        <w:keepLines w:val="0"/>
        <w:pageBreakBefore w:val="0"/>
        <w:widowControl w:val="0"/>
        <w:kinsoku/>
        <w:wordWrap/>
        <w:overflowPunct/>
        <w:topLinePunct w:val="0"/>
        <w:autoSpaceDE/>
        <w:autoSpaceDN/>
        <w:bidi w:val="0"/>
        <w:adjustRightInd/>
        <w:snapToGrid/>
        <w:spacing w:line="560" w:lineRule="exact"/>
        <w:ind w:left="0" w:leftChars="0" w:right="0" w:firstLine="643" w:firstLineChars="200"/>
        <w:jc w:val="both"/>
        <w:textAlignment w:val="auto"/>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仿宋_GB2312" w:eastAsia="仿宋_GB2312" w:cs="仿宋_GB2312"/>
          <w:b/>
          <w:bCs/>
          <w:i w:val="0"/>
          <w:iCs w:val="0"/>
          <w:color w:val="auto"/>
          <w:kern w:val="0"/>
          <w:sz w:val="32"/>
          <w:szCs w:val="32"/>
          <w:u w:val="none"/>
          <w:lang w:val="en-US" w:eastAsia="zh-CN" w:bidi="ar"/>
        </w:rPr>
        <w:t>1.落实全面从严治党。</w:t>
      </w:r>
      <w:r>
        <w:rPr>
          <w:rFonts w:hint="eastAsia" w:ascii="仿宋_GB2312" w:hAnsi="仿宋_GB2312" w:eastAsia="仿宋_GB2312" w:cs="仿宋_GB2312"/>
          <w:i w:val="0"/>
          <w:iCs w:val="0"/>
          <w:color w:val="auto"/>
          <w:kern w:val="0"/>
          <w:sz w:val="32"/>
          <w:szCs w:val="32"/>
          <w:u w:val="none"/>
          <w:lang w:val="en-US" w:eastAsia="zh-CN" w:bidi="ar"/>
        </w:rPr>
        <w:t>始终坚持把全面从严治党作为推进各项工作的坚强保障，印发了《2025年全面从严治党主体责任清单》《2025年意识形态工作要点》。</w:t>
      </w:r>
      <w:r>
        <w:rPr>
          <w:rFonts w:hint="eastAsia" w:ascii="仿宋_GB2312" w:hAnsi="仿宋_GB2312" w:eastAsia="仿宋_GB2312" w:cs="仿宋_GB2312"/>
          <w:color w:val="auto"/>
          <w:sz w:val="32"/>
          <w:szCs w:val="32"/>
        </w:rPr>
        <w:t>细化20项具体任务，构建“三级责任”体系。党组书记严格履行“第一责任人”职责，</w:t>
      </w:r>
      <w:r>
        <w:rPr>
          <w:rFonts w:hint="eastAsia" w:ascii="仿宋_GB2312" w:hAnsi="仿宋_GB2312" w:eastAsia="仿宋_GB2312" w:cs="仿宋_GB2312"/>
          <w:color w:val="auto"/>
          <w:sz w:val="32"/>
          <w:szCs w:val="32"/>
          <w:lang w:eastAsia="zh-CN"/>
        </w:rPr>
        <w:t>截至目前，主持召开党组会议30次，专题研究全面从严治党工作3次，讲专题党课4次，开展集体廉政谈话6次，</w:t>
      </w:r>
      <w:r>
        <w:rPr>
          <w:rFonts w:hint="eastAsia" w:ascii="仿宋_GB2312" w:hAnsi="仿宋_GB2312" w:eastAsia="仿宋_GB2312" w:cs="仿宋_GB2312"/>
          <w:i w:val="0"/>
          <w:iCs w:val="0"/>
          <w:color w:val="auto"/>
          <w:kern w:val="0"/>
          <w:sz w:val="32"/>
          <w:szCs w:val="32"/>
          <w:u w:val="none"/>
          <w:lang w:val="en-US" w:eastAsia="zh-CN" w:bidi="ar"/>
        </w:rPr>
        <w:t>教育引导党员干部坚定理想信念。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firstLine="643" w:firstLineChars="200"/>
        <w:jc w:val="both"/>
        <w:textAlignment w:val="auto"/>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仿宋_GB2312" w:eastAsia="仿宋_GB2312" w:cs="仿宋_GB2312"/>
          <w:b/>
          <w:bCs/>
          <w:i w:val="0"/>
          <w:iCs w:val="0"/>
          <w:color w:val="auto"/>
          <w:kern w:val="0"/>
          <w:sz w:val="32"/>
          <w:szCs w:val="32"/>
          <w:u w:val="none"/>
          <w:lang w:val="en-US" w:eastAsia="zh-CN" w:bidi="ar"/>
        </w:rPr>
        <w:t>2.</w:t>
      </w:r>
      <w:r>
        <w:rPr>
          <w:rFonts w:hint="eastAsia" w:ascii="仿宋_GB2312" w:hAnsi="仿宋_GB2312" w:eastAsia="仿宋_GB2312" w:cs="仿宋_GB2312"/>
          <w:b/>
          <w:bCs/>
          <w:color w:val="auto"/>
          <w:sz w:val="32"/>
          <w:szCs w:val="32"/>
          <w:lang w:val="en-US" w:eastAsia="zh-CN"/>
        </w:rPr>
        <w:t>推进“三不腐”机制。</w:t>
      </w:r>
      <w:r>
        <w:rPr>
          <w:rFonts w:hint="eastAsia" w:ascii="仿宋_GB2312" w:hAnsi="仿宋_GB2312" w:eastAsia="仿宋_GB2312" w:cs="仿宋_GB2312"/>
          <w:i w:val="0"/>
          <w:iCs w:val="0"/>
          <w:color w:val="auto"/>
          <w:kern w:val="0"/>
          <w:sz w:val="32"/>
          <w:szCs w:val="32"/>
          <w:u w:val="none"/>
          <w:lang w:val="en-US" w:eastAsia="zh-CN" w:bidi="ar"/>
        </w:rPr>
        <w:t>开展廉政警示教育月活动，</w:t>
      </w:r>
      <w:r>
        <w:rPr>
          <w:rFonts w:hint="eastAsia" w:ascii="仿宋_GB2312" w:hAnsi="仿宋_GB2312" w:eastAsia="仿宋_GB2312" w:cs="仿宋_GB2312"/>
          <w:color w:val="auto"/>
          <w:spacing w:val="0"/>
          <w:sz w:val="32"/>
          <w:szCs w:val="32"/>
          <w:lang w:val="en-US" w:eastAsia="zh-CN"/>
        </w:rPr>
        <w:t>组织召开警示教育大会，</w:t>
      </w:r>
      <w:r>
        <w:rPr>
          <w:rFonts w:hint="eastAsia" w:ascii="仿宋_GB2312" w:hAnsi="仿宋_GB2312" w:eastAsia="仿宋_GB2312" w:cs="仿宋_GB2312"/>
          <w:color w:val="auto"/>
          <w:spacing w:val="0"/>
          <w:sz w:val="32"/>
          <w:szCs w:val="40"/>
          <w:lang w:val="en-US" w:eastAsia="zh-CN"/>
        </w:rPr>
        <w:t>集中观看了《清“蠹”》《固堤》等警示教育片，</w:t>
      </w:r>
      <w:r>
        <w:rPr>
          <w:rFonts w:hint="eastAsia" w:ascii="仿宋_GB2312" w:hAnsi="仿宋_GB2312" w:eastAsia="仿宋_GB2312" w:cs="仿宋_GB2312"/>
          <w:color w:val="auto"/>
          <w:spacing w:val="0"/>
          <w:sz w:val="32"/>
          <w:szCs w:val="32"/>
          <w:lang w:val="en-US" w:eastAsia="zh-CN"/>
        </w:rPr>
        <w:t>学习中央、省、市、县典型案例通报，邀请纪委监委领导讲授廉政教育专题内容。</w:t>
      </w:r>
      <w:r>
        <w:rPr>
          <w:rFonts w:hint="eastAsia" w:ascii="仿宋_GB2312" w:hAnsi="仿宋_GB2312" w:eastAsia="仿宋_GB2312" w:cs="仿宋_GB2312"/>
          <w:b w:val="0"/>
          <w:bCs/>
          <w:color w:val="auto"/>
          <w:spacing w:val="0"/>
          <w:kern w:val="2"/>
          <w:sz w:val="32"/>
          <w:szCs w:val="32"/>
          <w:lang w:val="en-US" w:eastAsia="zh-CN" w:bidi="ar-SA"/>
        </w:rPr>
        <w:t>组织全体干部职工到泽州洞头、町店大宁纪念塔等红色基地学习，</w:t>
      </w:r>
      <w:r>
        <w:rPr>
          <w:rFonts w:hint="eastAsia" w:ascii="仿宋_GB2312" w:hAnsi="仿宋_GB2312" w:eastAsia="仿宋_GB2312" w:cs="仿宋_GB2312"/>
          <w:color w:val="auto"/>
          <w:spacing w:val="0"/>
          <w:sz w:val="32"/>
          <w:szCs w:val="32"/>
          <w:lang w:val="en-US" w:eastAsia="zh-CN"/>
        </w:rPr>
        <w:t>筑牢干部职工拒腐防变的思想防线。</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国标黑体" w:hAnsi="国标黑体" w:eastAsia="国标黑体" w:cs="国标黑体"/>
          <w:color w:val="auto"/>
          <w:sz w:val="32"/>
          <w:szCs w:val="32"/>
          <w:lang w:val="en-US" w:eastAsia="zh-CN"/>
        </w:rPr>
      </w:pPr>
      <w:r>
        <w:rPr>
          <w:rFonts w:hint="eastAsia" w:ascii="仿宋_GB2312" w:hAnsi="仿宋_GB2312" w:eastAsia="仿宋_GB2312" w:cs="仿宋_GB2312"/>
          <w:b/>
          <w:bCs/>
          <w:i w:val="0"/>
          <w:iCs w:val="0"/>
          <w:color w:val="auto"/>
          <w:kern w:val="0"/>
          <w:sz w:val="32"/>
          <w:szCs w:val="32"/>
          <w:u w:val="none"/>
          <w:lang w:val="en-US" w:eastAsia="zh-CN" w:bidi="ar"/>
        </w:rPr>
        <w:t>3.严格落实“三会一课”制度。</w:t>
      </w:r>
      <w:r>
        <w:rPr>
          <w:rFonts w:hint="eastAsia" w:ascii="仿宋_GB2312" w:hAnsi="仿宋_GB2312" w:eastAsia="仿宋_GB2312" w:cs="仿宋_GB2312"/>
          <w:i w:val="0"/>
          <w:iCs w:val="0"/>
          <w:color w:val="auto"/>
          <w:kern w:val="0"/>
          <w:sz w:val="32"/>
          <w:szCs w:val="32"/>
          <w:u w:val="none"/>
          <w:lang w:val="en-US" w:eastAsia="zh-CN" w:bidi="ar"/>
        </w:rPr>
        <w:t>严格执行新形势下党内政治生活若干准则，认真落实“三会一课”、民主生活会、领导干部双重组织生活、谈心谈话等制度，</w:t>
      </w:r>
      <w:r>
        <w:rPr>
          <w:rFonts w:hint="eastAsia" w:ascii="仿宋_GB2312" w:hAnsi="仿宋_GB2312" w:eastAsia="仿宋_GB2312" w:cs="仿宋_GB2312"/>
          <w:color w:val="auto"/>
          <w:sz w:val="32"/>
          <w:szCs w:val="32"/>
        </w:rPr>
        <w:t>规范党内政治生活。</w:t>
      </w:r>
      <w:r>
        <w:rPr>
          <w:rFonts w:hint="eastAsia" w:ascii="仿宋_GB2312" w:hAnsi="仿宋_GB2312" w:eastAsia="仿宋_GB2312" w:cs="仿宋_GB2312"/>
          <w:color w:val="auto"/>
          <w:sz w:val="32"/>
          <w:szCs w:val="32"/>
          <w:lang w:eastAsia="zh-CN"/>
        </w:rPr>
        <w:t>发展入党积极分子</w:t>
      </w:r>
      <w:r>
        <w:rPr>
          <w:rFonts w:hint="eastAsia" w:ascii="仿宋_GB2312" w:hAnsi="仿宋_GB2312" w:eastAsia="仿宋_GB2312" w:cs="仿宋_GB2312"/>
          <w:color w:val="auto"/>
          <w:sz w:val="32"/>
          <w:szCs w:val="32"/>
        </w:rPr>
        <w:t>2名，收缴党费</w:t>
      </w:r>
      <w:r>
        <w:rPr>
          <w:rFonts w:hint="eastAsia" w:ascii="仿宋_GB2312" w:hAnsi="仿宋_GB2312" w:eastAsia="仿宋_GB2312" w:cs="仿宋_GB2312"/>
          <w:color w:val="auto"/>
          <w:sz w:val="32"/>
          <w:szCs w:val="32"/>
          <w:lang w:val="en-US" w:eastAsia="zh-CN"/>
        </w:rPr>
        <w:t>2.18万</w:t>
      </w:r>
      <w:r>
        <w:rPr>
          <w:rFonts w:hint="eastAsia" w:ascii="仿宋_GB2312" w:hAnsi="仿宋_GB2312" w:eastAsia="仿宋_GB2312" w:cs="仿宋_GB2312"/>
          <w:color w:val="auto"/>
          <w:sz w:val="32"/>
          <w:szCs w:val="32"/>
        </w:rPr>
        <w:t>元，党员教育管理有序开展。创新开展“党员示范岗”“党员责任区”等活动，推动党员亮身份、作表率，增强党组织凝聚力和战斗力。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二、坚持将“放管服”改革向纵深推进，构建优化营商环境发展新局面</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（一）强化统筹协调，促进营商环境提质增效</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b w:val="0"/>
          <w:bCs w:val="0"/>
          <w:color w:val="auto"/>
          <w:sz w:val="32"/>
          <w:szCs w:val="32"/>
          <w:lang w:val="en-US" w:eastAsia="zh-CN"/>
        </w:rPr>
        <w:t>印发《阳城县2025年营商环境创优提升举措》，围绕回应企业需求等6个方面出台32项举措，打造经营主体发展的“强磁场”。分解形成《阳城县2025年营商环境创优提升举措“六定”“四清单”台账》，以清单化管理推动各项举措落地见效，确保政策红利精准直达经营主体。</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配合市专项检查组在我县开展营商环境政治监督专项检查，针对市纪委监委反馈的涉及我县的21个问题，成立领导小组，书记县长任组长，高位推进整改；出台《关于落实市优化营商环境政治监督专项检查反馈问题的整改方案》，细化整改路径，明确整改责任人和整改时限，确保整改落到实处。</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（二）强化改革创新，促进审批服务提质增效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聚力推进“高效办成一件事”落地见效。</w:t>
      </w:r>
      <w:r>
        <w:rPr>
          <w:rFonts w:hint="eastAsia" w:ascii="仿宋_GB2312" w:hAnsi="仿宋_GB2312" w:eastAsia="仿宋_GB2312" w:cs="仿宋_GB2312"/>
          <w:b/>
          <w:bCs/>
          <w:color w:val="auto"/>
          <w:sz w:val="32"/>
          <w:szCs w:val="32"/>
          <w:highlight w:val="none"/>
          <w:lang w:eastAsia="zh-CN"/>
        </w:rPr>
        <w:t>一是</w:t>
      </w:r>
      <w:r>
        <w:rPr>
          <w:rFonts w:hint="eastAsia" w:ascii="仿宋_GB2312" w:hAnsi="仿宋_GB2312" w:eastAsia="仿宋_GB2312" w:cs="仿宋_GB2312"/>
          <w:color w:val="auto"/>
          <w:kern w:val="2"/>
          <w:sz w:val="32"/>
          <w:szCs w:val="32"/>
          <w:lang w:val="en-US" w:eastAsia="zh-CN" w:bidi="ar-SA"/>
        </w:rPr>
        <w:t>在统筹推进上，强化顶层设计，先后召开3次全县“高效办成一件事”工作推进会，精准解决运行堵点，督促各部门完成事项认领、要素维护、办事指南编制等基础工作。同时，建立常态化推进机制与重点事项清单管理机制，对窗口设置、办事流程、人员分工及工作职责进行细化拆解，确保改革任务落地落细。</w:t>
      </w:r>
      <w:r>
        <w:rPr>
          <w:rFonts w:hint="eastAsia" w:ascii="仿宋_GB2312" w:hAnsi="仿宋_GB2312" w:eastAsia="仿宋_GB2312" w:cs="仿宋_GB2312"/>
          <w:b/>
          <w:bCs/>
          <w:color w:val="auto"/>
          <w:sz w:val="32"/>
          <w:szCs w:val="32"/>
          <w:highlight w:val="none"/>
          <w:lang w:val="en-US" w:eastAsia="zh-CN"/>
        </w:rPr>
        <w:t>二是</w:t>
      </w:r>
      <w:r>
        <w:rPr>
          <w:rFonts w:hint="eastAsia" w:ascii="仿宋_GB2312" w:hAnsi="仿宋_GB2312" w:eastAsia="仿宋_GB2312" w:cs="仿宋_GB2312"/>
          <w:color w:val="auto"/>
          <w:kern w:val="2"/>
          <w:sz w:val="32"/>
          <w:szCs w:val="32"/>
          <w:lang w:val="en-US" w:eastAsia="zh-CN" w:bidi="ar-SA"/>
        </w:rPr>
        <w:t>窗口设置更趋科学便民。按服务类型分类优化“高效办成一件事”综合受理窗口：准入准营服务实行综窗无差别受理，推进涉企经营许可“证照联办、证证联办”；建设项目服务设立全代办专区，全流程跟进重点项目落地；个人全生命周期服务则由各牵头单位设专窗，实现“一站式”办理，让不同需求的办事群体都能快速找到“对口窗口”。</w:t>
      </w:r>
      <w:r>
        <w:rPr>
          <w:rFonts w:hint="eastAsia" w:ascii="仿宋_GB2312" w:hAnsi="仿宋_GB2312" w:eastAsia="仿宋_GB2312" w:cs="仿宋_GB2312"/>
          <w:b/>
          <w:bCs/>
          <w:color w:val="auto"/>
          <w:sz w:val="32"/>
          <w:szCs w:val="32"/>
          <w:highlight w:val="none"/>
          <w:lang w:val="en-US" w:eastAsia="zh-CN"/>
        </w:rPr>
        <w:t>三是</w:t>
      </w:r>
      <w:r>
        <w:rPr>
          <w:rFonts w:hint="eastAsia" w:ascii="仿宋_GB2312" w:hAnsi="仿宋_GB2312" w:eastAsia="仿宋_GB2312" w:cs="仿宋_GB2312"/>
          <w:color w:val="auto"/>
          <w:kern w:val="2"/>
          <w:sz w:val="32"/>
          <w:szCs w:val="32"/>
          <w:lang w:val="en-US" w:eastAsia="zh-CN" w:bidi="ar-SA"/>
        </w:rPr>
        <w:t>流程优化直击“痛点”。督促各牵头单位对照网上办事指南，将“一件事”涉及的申请材料全部标准化，印制一次性告知单，清晰列明服务事项、申请材料、办理地点、时限、结果送达方式及咨询电话，方便群众随时查阅，大幅减少办理时长与跑动次数。</w:t>
      </w:r>
      <w:r>
        <w:rPr>
          <w:rFonts w:hint="eastAsia" w:ascii="仿宋_GB2312" w:hAnsi="仿宋_GB2312" w:eastAsia="仿宋_GB2312" w:cs="仿宋_GB2312"/>
          <w:b/>
          <w:bCs/>
          <w:color w:val="auto"/>
          <w:kern w:val="2"/>
          <w:sz w:val="32"/>
          <w:szCs w:val="32"/>
          <w:lang w:val="en-US" w:eastAsia="zh-CN" w:bidi="ar-SA"/>
        </w:rPr>
        <w:t>四是</w:t>
      </w:r>
      <w:r>
        <w:rPr>
          <w:rFonts w:hint="eastAsia" w:ascii="仿宋_GB2312" w:hAnsi="仿宋_GB2312" w:eastAsia="仿宋_GB2312" w:cs="仿宋_GB2312"/>
          <w:color w:val="auto"/>
          <w:kern w:val="2"/>
          <w:sz w:val="32"/>
          <w:szCs w:val="32"/>
          <w:lang w:val="en-US" w:eastAsia="zh-CN" w:bidi="ar-SA"/>
        </w:rPr>
        <w:t>针对性推出特色改革：对符合要求的政府投资项目，简化审批手续，只需报批达到初步设计深度的可行性研究报告；开展“开办运输企业一件事”，将企业开办与道路运输证配发深度融合，实现“一次提交、一次办理、一次获证”且全程网办。截至目前，各类“一件事”线上线下累计办件量已达88316件，改革成效持续显现，切实以政务服务“加速度”换来企业群众“满意度”。</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持续推行“一业一证”改革。</w:t>
      </w:r>
      <w:r>
        <w:rPr>
          <w:rFonts w:hint="eastAsia" w:ascii="仿宋_GB2312" w:hAnsi="仿宋_GB2312" w:eastAsia="仿宋_GB2312" w:cs="仿宋_GB2312"/>
          <w:b/>
          <w:bCs/>
          <w:color w:val="auto"/>
          <w:sz w:val="32"/>
          <w:szCs w:val="32"/>
          <w:lang w:eastAsia="zh-CN"/>
        </w:rPr>
        <w:t>一是</w:t>
      </w:r>
      <w:r>
        <w:rPr>
          <w:rFonts w:hint="eastAsia" w:ascii="仿宋_GB2312" w:hAnsi="仿宋_GB2312" w:eastAsia="仿宋_GB2312" w:cs="仿宋_GB2312"/>
          <w:color w:val="auto"/>
          <w:sz w:val="32"/>
          <w:szCs w:val="32"/>
        </w:rPr>
        <w:t>拓展“一业一证”改革行业覆盖范围，推动更多领域实现“一证准营”。依托“高效办成一件事”，将民宿、歌舞娱乐、酒店、幼儿园、人力资源服务、商场超市、便利店、电影院等常见热门业态全部纳入改革范围，体现改革的普惠性和包容性；</w:t>
      </w:r>
      <w:r>
        <w:rPr>
          <w:rFonts w:hint="eastAsia" w:ascii="仿宋_GB2312" w:hAnsi="仿宋_GB2312" w:eastAsia="仿宋_GB2312" w:cs="仿宋_GB2312"/>
          <w:b/>
          <w:bCs/>
          <w:color w:val="auto"/>
          <w:sz w:val="32"/>
          <w:szCs w:val="32"/>
          <w:lang w:eastAsia="zh-CN"/>
        </w:rPr>
        <w:t>二是</w:t>
      </w:r>
      <w:r>
        <w:rPr>
          <w:rFonts w:hint="eastAsia" w:ascii="仿宋_GB2312" w:hAnsi="仿宋_GB2312" w:eastAsia="仿宋_GB2312" w:cs="仿宋_GB2312"/>
          <w:color w:val="auto"/>
          <w:sz w:val="32"/>
          <w:szCs w:val="32"/>
        </w:rPr>
        <w:t>深化“证照联办”改革，将营业执照和相关许可事项联动办理。推行“营业执照+N”模式，将营业执照办理与行业许可审批同步进行，通过“一次受理、并联审批、证照同发”模式，实现企业“准入即准营”。截</w:t>
      </w:r>
      <w:r>
        <w:rPr>
          <w:rFonts w:hint="eastAsia" w:ascii="仿宋_GB2312" w:hAnsi="仿宋_GB2312" w:eastAsia="仿宋_GB2312" w:cs="仿宋_GB2312"/>
          <w:color w:val="auto"/>
          <w:sz w:val="32"/>
          <w:szCs w:val="32"/>
          <w:lang w:eastAsia="zh-CN"/>
        </w:rPr>
        <w:t>至</w:t>
      </w:r>
      <w:r>
        <w:rPr>
          <w:rFonts w:hint="eastAsia" w:ascii="仿宋_GB2312" w:hAnsi="仿宋_GB2312" w:eastAsia="仿宋_GB2312" w:cs="仿宋_GB2312"/>
          <w:color w:val="auto"/>
          <w:sz w:val="32"/>
          <w:szCs w:val="32"/>
        </w:rPr>
        <w:t>目前，已实现酒店、民宿、歌舞娱乐、人力资源、电影院、畜牧</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个行业案例落地，</w:t>
      </w:r>
      <w:r>
        <w:rPr>
          <w:rFonts w:hint="eastAsia" w:ascii="仿宋_GB2312" w:hAnsi="仿宋_GB2312" w:eastAsia="仿宋_GB2312" w:cs="仿宋_GB2312"/>
          <w:color w:val="auto"/>
          <w:sz w:val="32"/>
          <w:szCs w:val="32"/>
          <w:lang w:eastAsia="zh-CN"/>
        </w:rPr>
        <w:t>截至目前，</w:t>
      </w:r>
      <w:r>
        <w:rPr>
          <w:rFonts w:hint="eastAsia" w:ascii="仿宋_GB2312" w:hAnsi="仿宋_GB2312" w:eastAsia="仿宋_GB2312" w:cs="仿宋_GB2312"/>
          <w:color w:val="auto"/>
          <w:sz w:val="32"/>
          <w:szCs w:val="32"/>
        </w:rPr>
        <w:t>发放行业综合许可证</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张。营业执照+食品经营许可证（告知承诺制方式办理）和营业执照+公共卫生许可证（简单类型办理）已常态化开展，一次性联办。</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kern w:val="2"/>
          <w:sz w:val="32"/>
          <w:szCs w:val="32"/>
          <w:lang w:val="en-US" w:eastAsia="zh-CN" w:bidi="ar-SA"/>
        </w:rPr>
        <w:t>3.以“承诺制”破题，为项目审批“减负提速”。一是</w:t>
      </w:r>
      <w:r>
        <w:rPr>
          <w:rFonts w:hint="eastAsia" w:ascii="仿宋_GB2312" w:hAnsi="仿宋_GB2312" w:eastAsia="仿宋_GB2312" w:cs="仿宋_GB2312"/>
          <w:color w:val="auto"/>
          <w:sz w:val="32"/>
          <w:szCs w:val="32"/>
          <w:lang w:val="en-US" w:eastAsia="zh-CN"/>
        </w:rPr>
        <w:t>在企业投资领域，深化项目承诺制改革，将水土保持方案等9类单体事项、企业投资核准项目及承诺制“一本制”纳入承诺办理范围，目前已为86个项目的91个事项完成承诺制审批。食品经营许可改革同步扩围，把不含散装熟食制品销售的食品销售新办许可、热食类食品制售的小型餐饮服务新办许可纳入告知承诺制，累计办理仅销售预包装食品备案374件、告知承诺制食品经营许可321件。二是在公路建设上，印发</w:t>
      </w:r>
      <w:r>
        <w:rPr>
          <w:rFonts w:hint="eastAsia" w:ascii="仿宋_GB2312" w:hAnsi="仿宋_GB2312" w:eastAsia="仿宋_GB2312" w:cs="仿宋_GB2312"/>
          <w:b w:val="0"/>
          <w:bCs w:val="0"/>
          <w:color w:val="auto"/>
          <w:spacing w:val="0"/>
          <w:kern w:val="2"/>
          <w:sz w:val="32"/>
          <w:szCs w:val="32"/>
          <w:lang w:val="en-US" w:eastAsia="zh-CN" w:bidi="ar-SA"/>
        </w:rPr>
        <w:t>《进一步优化公路建设项目审批程序的实施意见》</w:t>
      </w:r>
      <w:r>
        <w:rPr>
          <w:rFonts w:hint="eastAsia" w:ascii="仿宋_GB2312" w:hAnsi="仿宋_GB2312" w:eastAsia="仿宋_GB2312" w:cs="仿宋_GB2312"/>
          <w:color w:val="auto"/>
          <w:sz w:val="32"/>
          <w:szCs w:val="32"/>
          <w:lang w:val="en-US" w:eastAsia="zh-CN"/>
        </w:rPr>
        <w:t>，对200万元以下农村公路项目推行施工图设计“自审承诺”，勘察设计单位出具质量承诺后可直接获批，已为4个农村道路项目提速，助力公路提质增效。</w:t>
      </w:r>
      <w:r>
        <w:rPr>
          <w:rFonts w:hint="eastAsia" w:ascii="仿宋_GB2312" w:hAnsi="仿宋_GB2312" w:eastAsia="仿宋_GB2312" w:cs="仿宋_GB2312"/>
          <w:b/>
          <w:bCs/>
          <w:color w:val="auto"/>
          <w:kern w:val="2"/>
          <w:sz w:val="32"/>
          <w:szCs w:val="32"/>
          <w:lang w:val="en-US" w:eastAsia="zh-CN" w:bidi="ar-SA"/>
        </w:rPr>
        <w:t>三是</w:t>
      </w:r>
      <w:r>
        <w:rPr>
          <w:rFonts w:hint="eastAsia" w:ascii="仿宋_GB2312" w:hAnsi="仿宋_GB2312" w:eastAsia="仿宋_GB2312" w:cs="仿宋_GB2312"/>
          <w:color w:val="auto"/>
          <w:sz w:val="32"/>
          <w:szCs w:val="32"/>
          <w:lang w:val="en-US" w:eastAsia="zh-CN"/>
        </w:rPr>
        <w:t>政府与企业投资项目分别实行“双承诺免评审”和“技术方案备案”，</w:t>
      </w:r>
      <w:r>
        <w:rPr>
          <w:rFonts w:hint="default" w:ascii="仿宋_GB2312" w:hAnsi="仿宋_GB2312" w:eastAsia="仿宋_GB2312" w:cs="仿宋_GB2312"/>
          <w:color w:val="auto"/>
          <w:sz w:val="32"/>
          <w:szCs w:val="32"/>
          <w:lang w:val="en-US" w:eastAsia="zh-CN"/>
        </w:rPr>
        <w:t>18</w:t>
      </w:r>
      <w:r>
        <w:rPr>
          <w:rFonts w:hint="eastAsia" w:ascii="仿宋_GB2312" w:hAnsi="仿宋_GB2312" w:eastAsia="仿宋_GB2312" w:cs="仿宋_GB2312"/>
          <w:color w:val="auto"/>
          <w:sz w:val="32"/>
          <w:szCs w:val="32"/>
          <w:lang w:val="en-US" w:eastAsia="zh-CN"/>
        </w:rPr>
        <w:t>个政府投资项目、</w:t>
      </w:r>
      <w:r>
        <w:rPr>
          <w:rFonts w:hint="default"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lang w:val="en-US" w:eastAsia="zh-CN"/>
        </w:rPr>
        <w:t>个企业投资核准项目审查合格后直接批复，累计为项目单位节约评审费用</w:t>
      </w:r>
      <w:r>
        <w:rPr>
          <w:rFonts w:hint="default"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lang w:val="en-US" w:eastAsia="zh-CN"/>
        </w:rPr>
        <w:t>余万元，每个项目获批时间缩短10个工作日以上。四是联合县林业局简化林木采伐审批，对15立方米以下人工商品林实行告知承诺制，并推广林木采伐APP，推动森林资源可持续经营，以改革实效不断增强企业群众获得感。</w:t>
      </w:r>
    </w:p>
    <w:p>
      <w:pPr>
        <w:keepNext w:val="0"/>
        <w:keepLines w:val="0"/>
        <w:pageBreakBefore w:val="0"/>
        <w:widowControl/>
        <w:suppressLineNumbers w:val="0"/>
        <w:shd w:val="clear" w:fill="FFFFFF"/>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4.推进“无差别受理综窗”改革。</w:t>
      </w:r>
      <w:r>
        <w:rPr>
          <w:rFonts w:hint="eastAsia" w:ascii="仿宋_GB2312" w:hAnsi="仿宋_GB2312" w:eastAsia="仿宋_GB2312" w:cs="仿宋_GB2312"/>
          <w:color w:val="auto"/>
          <w:sz w:val="32"/>
          <w:szCs w:val="32"/>
          <w:lang w:val="en-US" w:eastAsia="zh-CN"/>
        </w:rPr>
        <w:t>2025年我县被列为全省“无差别受理综窗”改革试点县，9月12日出台《阳城县行政审批服务管理局关于印发政务服务“综合窗口”改革实施方案的通知》，整合政务服务资源，优化窗口设置，创新服务模式，打造流程更优、效率更高、服务更好的政务服务环境。在积极扩大无差别事项受理范围的基础上，个体工商户登记、公共卫生许可等高频常办事项实行受审合一，目前全局92%的办件量实现无差别受理，63.5%实现受审合一。</w:t>
      </w:r>
    </w:p>
    <w:p>
      <w:pPr>
        <w:keepNext w:val="0"/>
        <w:keepLines w:val="0"/>
        <w:pageBreakBefore w:val="0"/>
        <w:widowControl/>
        <w:suppressLineNumbers w:val="0"/>
        <w:shd w:val="clear" w:fill="FFFFFF"/>
        <w:kinsoku/>
        <w:wordWrap/>
        <w:overflowPunct/>
        <w:topLinePunct w:val="0"/>
        <w:autoSpaceDE/>
        <w:autoSpaceDN/>
        <w:bidi w:val="0"/>
        <w:adjustRightInd/>
        <w:snapToGrid/>
        <w:spacing w:line="560" w:lineRule="exact"/>
        <w:ind w:left="0" w:firstLine="643" w:firstLineChars="200"/>
        <w:jc w:val="both"/>
        <w:textAlignment w:val="auto"/>
        <w:rPr>
          <w:rFonts w:hint="eastAsia"/>
          <w:sz w:val="32"/>
          <w:szCs w:val="32"/>
          <w:lang w:val="en-US" w:eastAsia="zh-CN"/>
        </w:rPr>
      </w:pPr>
      <w:r>
        <w:rPr>
          <w:rFonts w:hint="eastAsia" w:ascii="仿宋_GB2312" w:hAnsi="仿宋_GB2312" w:eastAsia="仿宋_GB2312" w:cs="仿宋_GB2312"/>
          <w:b/>
          <w:bCs/>
          <w:color w:val="auto"/>
          <w:sz w:val="32"/>
          <w:szCs w:val="32"/>
          <w:lang w:val="en-US" w:eastAsia="zh-CN"/>
        </w:rPr>
        <w:t>5.推进市县同权改革。</w:t>
      </w:r>
      <w:r>
        <w:rPr>
          <w:rFonts w:hint="eastAsia" w:ascii="仿宋_GB2312" w:hAnsi="仿宋_GB2312" w:eastAsia="仿宋_GB2312" w:cs="仿宋_GB2312"/>
          <w:color w:val="auto"/>
          <w:sz w:val="32"/>
          <w:szCs w:val="32"/>
          <w:lang w:val="en-US" w:eastAsia="zh-CN"/>
        </w:rPr>
        <w:t>作为全市“市县同权”改革试点，聚焦市场准入、民生服务等高频办事需求，承接95项原需市级审批的事项至县级直接办理。分3批次组织各承接部门审批骨干参加市局举办的专题业务培训，保障下沉事项“接得住、办得好、管得优”。严格按照“一窗受理、一次办好”改革要求，将事项全部纳入综合窗口受理，其中12项高频即办事项实行无差别受理、集成化办理，真正实现了政务服务资源向基层延伸、改革红利向民生下沉。截至目前，已累计办理“市县同权”事项617件，改革实效持续显现，企业群众办事层级更优、效率更高。</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6.</w:t>
      </w:r>
      <w:r>
        <w:rPr>
          <w:rFonts w:hint="eastAsia" w:ascii="仿宋_GB2312" w:hAnsi="仿宋_GB2312" w:eastAsia="仿宋_GB2312" w:cs="仿宋_GB2312"/>
          <w:b/>
          <w:bCs/>
          <w:color w:val="auto"/>
          <w:sz w:val="32"/>
          <w:szCs w:val="32"/>
          <w:highlight w:val="none"/>
        </w:rPr>
        <w:t>推行简单变更审批事项“免申即办”改革</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color w:val="auto"/>
          <w:sz w:val="32"/>
          <w:szCs w:val="32"/>
          <w:highlight w:val="none"/>
        </w:rPr>
        <w:t>对部分许可（备案）事项变更不涉及许可资质及条件审查的，同步免申请变更办理许可（备案）证。改“依申请”为“免申请”，改提交多份材料为“以证换证”，推行“一窗受理”，实现“一口发证”，信息调用共享，实现当场办结。共办理免申即办</w:t>
      </w:r>
      <w:r>
        <w:rPr>
          <w:rFonts w:hint="eastAsia" w:ascii="仿宋_GB2312" w:hAnsi="仿宋_GB2312" w:eastAsia="仿宋_GB2312" w:cs="仿宋_GB2312"/>
          <w:color w:val="auto"/>
          <w:sz w:val="32"/>
          <w:szCs w:val="32"/>
          <w:highlight w:val="none"/>
          <w:lang w:val="en-US" w:eastAsia="zh-CN"/>
        </w:rPr>
        <w:t>230</w:t>
      </w:r>
      <w:r>
        <w:rPr>
          <w:rFonts w:hint="eastAsia" w:ascii="仿宋_GB2312" w:hAnsi="仿宋_GB2312" w:eastAsia="仿宋_GB2312" w:cs="仿宋_GB2312"/>
          <w:color w:val="auto"/>
          <w:sz w:val="32"/>
          <w:szCs w:val="32"/>
          <w:highlight w:val="none"/>
        </w:rPr>
        <w:t>件。</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（三）推行极简审批，促进建设项目提质增速</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pacing w:val="0"/>
          <w:sz w:val="32"/>
          <w:szCs w:val="32"/>
          <w:lang w:val="en-US" w:eastAsia="zh-CN"/>
        </w:rPr>
      </w:pPr>
      <w:r>
        <w:rPr>
          <w:rFonts w:hint="eastAsia" w:ascii="仿宋_GB2312" w:hAnsi="仿宋_GB2312" w:eastAsia="仿宋_GB2312" w:cs="仿宋_GB2312"/>
          <w:b/>
          <w:bCs/>
          <w:color w:val="auto"/>
          <w:spacing w:val="0"/>
          <w:sz w:val="32"/>
          <w:szCs w:val="32"/>
          <w:lang w:val="en-US" w:eastAsia="zh-CN"/>
        </w:rPr>
        <w:t>1.高效推进项目前期手续办理。一是</w:t>
      </w:r>
      <w:r>
        <w:rPr>
          <w:rFonts w:hint="eastAsia" w:ascii="仿宋_GB2312" w:hAnsi="仿宋_GB2312" w:eastAsia="仿宋_GB2312" w:cs="仿宋_GB2312"/>
          <w:i w:val="0"/>
          <w:iCs w:val="0"/>
          <w:caps w:val="0"/>
          <w:color w:val="auto"/>
          <w:spacing w:val="0"/>
          <w:sz w:val="32"/>
          <w:szCs w:val="32"/>
          <w:lang w:eastAsia="zh-CN"/>
        </w:rPr>
        <w:t>精准服务。对项目</w:t>
      </w:r>
      <w:r>
        <w:rPr>
          <w:rFonts w:hint="eastAsia" w:ascii="仿宋_GB2312" w:hAnsi="仿宋_GB2312" w:eastAsia="仿宋_GB2312" w:cs="仿宋_GB2312"/>
          <w:i w:val="0"/>
          <w:iCs w:val="0"/>
          <w:caps w:val="0"/>
          <w:color w:val="auto"/>
          <w:spacing w:val="0"/>
          <w:sz w:val="32"/>
          <w:szCs w:val="32"/>
        </w:rPr>
        <w:t>开展“一站式”研判、“全链条”分析，实施“一项目一清单</w:t>
      </w:r>
      <w:r>
        <w:rPr>
          <w:rFonts w:hint="eastAsia" w:ascii="仿宋_GB2312" w:hAnsi="仿宋_GB2312" w:eastAsia="仿宋_GB2312" w:cs="仿宋_GB2312"/>
          <w:i w:val="0"/>
          <w:iCs w:val="0"/>
          <w:caps w:val="0"/>
          <w:color w:val="auto"/>
          <w:spacing w:val="0"/>
          <w:sz w:val="32"/>
          <w:szCs w:val="32"/>
          <w:lang w:eastAsia="zh-CN"/>
        </w:rPr>
        <w:t>一方案</w:t>
      </w:r>
      <w:r>
        <w:rPr>
          <w:rFonts w:hint="eastAsia" w:ascii="仿宋_GB2312" w:hAnsi="仿宋_GB2312" w:eastAsia="仿宋_GB2312" w:cs="仿宋_GB2312"/>
          <w:i w:val="0"/>
          <w:iCs w:val="0"/>
          <w:caps w:val="0"/>
          <w:color w:val="auto"/>
          <w:spacing w:val="0"/>
          <w:sz w:val="32"/>
          <w:szCs w:val="32"/>
        </w:rPr>
        <w:t>”</w:t>
      </w:r>
      <w:r>
        <w:rPr>
          <w:rFonts w:hint="eastAsia" w:ascii="仿宋_GB2312" w:hAnsi="仿宋_GB2312" w:eastAsia="仿宋_GB2312" w:cs="仿宋_GB2312"/>
          <w:i w:val="0"/>
          <w:iCs w:val="0"/>
          <w:caps w:val="0"/>
          <w:color w:val="auto"/>
          <w:spacing w:val="0"/>
          <w:sz w:val="32"/>
          <w:szCs w:val="32"/>
          <w:lang w:eastAsia="zh-CN"/>
        </w:rPr>
        <w:t>的全代办服务</w:t>
      </w:r>
      <w:r>
        <w:rPr>
          <w:rFonts w:hint="eastAsia" w:ascii="仿宋_GB2312" w:hAnsi="仿宋_GB2312" w:eastAsia="仿宋_GB2312" w:cs="仿宋_GB2312"/>
          <w:i w:val="0"/>
          <w:iCs w:val="0"/>
          <w:caps w:val="0"/>
          <w:color w:val="auto"/>
          <w:spacing w:val="0"/>
          <w:sz w:val="32"/>
          <w:szCs w:val="32"/>
        </w:rPr>
        <w:t>，开辟“7×24小时”审批通道，对</w:t>
      </w:r>
      <w:r>
        <w:rPr>
          <w:rFonts w:hint="eastAsia" w:ascii="仿宋_GB2312" w:hAnsi="仿宋_GB2312" w:eastAsia="仿宋_GB2312" w:cs="仿宋_GB2312"/>
          <w:i w:val="0"/>
          <w:iCs w:val="0"/>
          <w:caps w:val="0"/>
          <w:color w:val="auto"/>
          <w:spacing w:val="0"/>
          <w:sz w:val="32"/>
          <w:szCs w:val="32"/>
          <w:lang w:eastAsia="zh-CN"/>
        </w:rPr>
        <w:t>今年攻坚清单中</w:t>
      </w:r>
      <w:r>
        <w:rPr>
          <w:rFonts w:hint="eastAsia" w:ascii="仿宋_GB2312" w:hAnsi="仿宋_GB2312" w:eastAsia="仿宋_GB2312" w:cs="仿宋_GB2312"/>
          <w:i w:val="0"/>
          <w:iCs w:val="0"/>
          <w:caps w:val="0"/>
          <w:color w:val="auto"/>
          <w:spacing w:val="0"/>
          <w:sz w:val="32"/>
          <w:szCs w:val="32"/>
          <w:lang w:val="en-US" w:eastAsia="zh-CN"/>
        </w:rPr>
        <w:t>100</w:t>
      </w:r>
      <w:r>
        <w:rPr>
          <w:rFonts w:hint="eastAsia" w:ascii="仿宋_GB2312" w:hAnsi="仿宋_GB2312" w:eastAsia="仿宋_GB2312" w:cs="仿宋_GB2312"/>
          <w:i w:val="0"/>
          <w:iCs w:val="0"/>
          <w:caps w:val="0"/>
          <w:color w:val="auto"/>
          <w:spacing w:val="0"/>
          <w:sz w:val="32"/>
          <w:szCs w:val="32"/>
        </w:rPr>
        <w:t>个项目涉及的</w:t>
      </w:r>
      <w:r>
        <w:rPr>
          <w:rFonts w:hint="eastAsia" w:ascii="仿宋_GB2312" w:hAnsi="仿宋_GB2312" w:eastAsia="仿宋_GB2312" w:cs="仿宋_GB2312"/>
          <w:i w:val="0"/>
          <w:iCs w:val="0"/>
          <w:caps w:val="0"/>
          <w:color w:val="auto"/>
          <w:spacing w:val="0"/>
          <w:sz w:val="32"/>
          <w:szCs w:val="32"/>
          <w:lang w:val="en-US" w:eastAsia="zh-CN"/>
        </w:rPr>
        <w:t>379</w:t>
      </w:r>
      <w:r>
        <w:rPr>
          <w:rFonts w:hint="eastAsia" w:ascii="仿宋_GB2312" w:hAnsi="仿宋_GB2312" w:eastAsia="仿宋_GB2312" w:cs="仿宋_GB2312"/>
          <w:i w:val="0"/>
          <w:iCs w:val="0"/>
          <w:caps w:val="0"/>
          <w:color w:val="auto"/>
          <w:spacing w:val="0"/>
          <w:sz w:val="32"/>
          <w:szCs w:val="32"/>
        </w:rPr>
        <w:t>个审批事项建立了全流程审批台账，办结一个、销号一个</w:t>
      </w:r>
      <w:r>
        <w:rPr>
          <w:rFonts w:hint="eastAsia" w:ascii="仿宋_GB2312" w:hAnsi="仿宋_GB2312" w:eastAsia="仿宋_GB2312" w:cs="仿宋_GB2312"/>
          <w:i w:val="0"/>
          <w:iCs w:val="0"/>
          <w:caps w:val="0"/>
          <w:color w:val="auto"/>
          <w:spacing w:val="0"/>
          <w:sz w:val="32"/>
          <w:szCs w:val="32"/>
          <w:lang w:eastAsia="zh-CN"/>
        </w:rPr>
        <w:t>；</w:t>
      </w:r>
      <w:r>
        <w:rPr>
          <w:rFonts w:hint="eastAsia" w:ascii="仿宋_GB2312" w:hAnsi="仿宋_GB2312" w:eastAsia="仿宋_GB2312" w:cs="仿宋_GB2312"/>
          <w:b/>
          <w:bCs/>
          <w:color w:val="auto"/>
          <w:spacing w:val="0"/>
          <w:sz w:val="32"/>
          <w:szCs w:val="32"/>
          <w:lang w:val="en-US" w:eastAsia="zh-CN"/>
        </w:rPr>
        <w:t>二是</w:t>
      </w:r>
      <w:r>
        <w:rPr>
          <w:rFonts w:hint="eastAsia" w:ascii="仿宋_GB2312" w:hAnsi="仿宋_GB2312" w:eastAsia="仿宋_GB2312" w:cs="仿宋_GB2312"/>
          <w:i w:val="0"/>
          <w:iCs w:val="0"/>
          <w:caps w:val="0"/>
          <w:color w:val="auto"/>
          <w:spacing w:val="0"/>
          <w:sz w:val="32"/>
          <w:szCs w:val="32"/>
          <w:lang w:eastAsia="zh-CN"/>
        </w:rPr>
        <w:t>破解难题。</w:t>
      </w:r>
      <w:r>
        <w:rPr>
          <w:rFonts w:hint="eastAsia" w:ascii="仿宋_GB2312" w:hAnsi="仿宋_GB2312" w:eastAsia="仿宋_GB2312" w:cs="仿宋_GB2312"/>
          <w:i w:val="0"/>
          <w:iCs w:val="0"/>
          <w:caps w:val="0"/>
          <w:color w:val="auto"/>
          <w:spacing w:val="0"/>
          <w:sz w:val="32"/>
          <w:szCs w:val="32"/>
        </w:rPr>
        <w:t>针对制约项目手续办理的堵点和难点，逐项列出问题清单、剖析问题原因，组织相关职能部门进行集中会诊</w:t>
      </w:r>
      <w:r>
        <w:rPr>
          <w:rFonts w:hint="eastAsia" w:ascii="仿宋_GB2312" w:hAnsi="仿宋_GB2312" w:eastAsia="仿宋_GB2312" w:cs="仿宋_GB2312"/>
          <w:i w:val="0"/>
          <w:iCs w:val="0"/>
          <w:caps w:val="0"/>
          <w:color w:val="auto"/>
          <w:spacing w:val="0"/>
          <w:sz w:val="32"/>
          <w:szCs w:val="32"/>
          <w:lang w:eastAsia="zh-CN"/>
        </w:rPr>
        <w:t>，研究讨论制定解决措施，有效加快了项目审批进度。截至目前，</w:t>
      </w:r>
      <w:r>
        <w:rPr>
          <w:rFonts w:hint="eastAsia" w:ascii="仿宋_GB2312" w:hAnsi="仿宋_GB2312" w:eastAsia="仿宋_GB2312" w:cs="仿宋_GB2312"/>
          <w:b w:val="0"/>
          <w:bCs w:val="0"/>
          <w:color w:val="auto"/>
          <w:spacing w:val="0"/>
          <w:sz w:val="32"/>
          <w:szCs w:val="32"/>
          <w:lang w:val="en-US" w:eastAsia="zh-CN"/>
        </w:rPr>
        <w:t>前期手续集中办理攻坚100个新建项目，</w:t>
      </w:r>
      <w:r>
        <w:rPr>
          <w:rFonts w:hint="eastAsia" w:ascii="仿宋_GB2312" w:hAnsi="仿宋_GB2312" w:eastAsia="仿宋_GB2312" w:cs="仿宋_GB2312"/>
          <w:color w:val="auto"/>
          <w:sz w:val="32"/>
          <w:szCs w:val="32"/>
          <w:lang w:val="en-US" w:eastAsia="zh-CN"/>
        </w:rPr>
        <w:t>87个项目已具备开工条件，占比87%。</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pacing w:val="0"/>
          <w:kern w:val="2"/>
          <w:sz w:val="32"/>
          <w:szCs w:val="32"/>
          <w:lang w:val="en-US" w:eastAsia="zh-CN" w:bidi="ar-SA"/>
        </w:rPr>
      </w:pPr>
      <w:r>
        <w:rPr>
          <w:rFonts w:hint="eastAsia" w:ascii="仿宋_GB2312" w:hAnsi="仿宋_GB2312" w:eastAsia="仿宋_GB2312" w:cs="仿宋_GB2312"/>
          <w:b/>
          <w:bCs/>
          <w:color w:val="auto"/>
          <w:spacing w:val="0"/>
          <w:kern w:val="2"/>
          <w:sz w:val="32"/>
          <w:szCs w:val="32"/>
          <w:lang w:val="en-US" w:eastAsia="zh-CN" w:bidi="ar-SA"/>
        </w:rPr>
        <w:t>2.优化消防审验服务。一是</w:t>
      </w:r>
      <w:r>
        <w:rPr>
          <w:rFonts w:hint="eastAsia" w:ascii="仿宋_GB2312" w:hAnsi="仿宋_GB2312" w:eastAsia="仿宋_GB2312" w:cs="仿宋_GB2312"/>
          <w:b w:val="0"/>
          <w:bCs w:val="0"/>
          <w:color w:val="auto"/>
          <w:spacing w:val="0"/>
          <w:kern w:val="2"/>
          <w:sz w:val="32"/>
          <w:szCs w:val="32"/>
          <w:lang w:val="en-US" w:eastAsia="zh-CN" w:bidi="ar-SA"/>
        </w:rPr>
        <w:t>在建设工程消防审验事项下放后，进一步优化流程，制作消防审查和验收一次性告知流程，按照省、市消防审验相关工作要求，通过政府采购方式确定消防审查和验收第三方技术服务机构，实行政府购买，在保证消防审验质量的同时减轻了企业负担。</w:t>
      </w:r>
      <w:r>
        <w:rPr>
          <w:rFonts w:hint="eastAsia" w:ascii="仿宋_GB2312" w:hAnsi="仿宋_GB2312" w:eastAsia="仿宋_GB2312" w:cs="仿宋_GB2312"/>
          <w:b/>
          <w:bCs/>
          <w:color w:val="auto"/>
          <w:spacing w:val="0"/>
          <w:kern w:val="2"/>
          <w:sz w:val="32"/>
          <w:szCs w:val="32"/>
          <w:lang w:val="en-US" w:eastAsia="zh-CN" w:bidi="ar-SA"/>
        </w:rPr>
        <w:t>二是</w:t>
      </w:r>
      <w:r>
        <w:rPr>
          <w:rFonts w:hint="eastAsia" w:ascii="仿宋_GB2312" w:hAnsi="仿宋_GB2312" w:eastAsia="仿宋_GB2312" w:cs="仿宋_GB2312"/>
          <w:b w:val="0"/>
          <w:bCs w:val="0"/>
          <w:color w:val="auto"/>
          <w:spacing w:val="0"/>
          <w:kern w:val="2"/>
          <w:sz w:val="32"/>
          <w:szCs w:val="32"/>
          <w:lang w:val="en-US" w:eastAsia="zh-CN" w:bidi="ar-SA"/>
        </w:rPr>
        <w:t>针对全省消防审验问题专项整治工作，通过集中培训和各行业部门专项培训的方式，解读全省消防审验问题专项整治分类处置措施政策，并对低风险规模小25栋建筑采取容缺模式办理，有效推进专项整治工作。</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pacing w:val="0"/>
          <w:kern w:val="2"/>
          <w:sz w:val="32"/>
          <w:szCs w:val="32"/>
          <w:lang w:val="en-US" w:eastAsia="zh-CN" w:bidi="ar-SA"/>
        </w:rPr>
      </w:pPr>
      <w:r>
        <w:rPr>
          <w:rFonts w:hint="eastAsia" w:ascii="仿宋_GB2312" w:hAnsi="仿宋_GB2312" w:eastAsia="仿宋_GB2312" w:cs="仿宋_GB2312"/>
          <w:b/>
          <w:bCs/>
          <w:color w:val="auto"/>
          <w:spacing w:val="0"/>
          <w:kern w:val="2"/>
          <w:sz w:val="32"/>
          <w:szCs w:val="32"/>
          <w:lang w:val="en-US" w:eastAsia="zh-CN" w:bidi="ar-SA"/>
        </w:rPr>
        <w:t>3.简化取水许可审批。</w:t>
      </w:r>
      <w:r>
        <w:rPr>
          <w:rFonts w:hint="eastAsia" w:ascii="仿宋_GB2312" w:hAnsi="仿宋_GB2312" w:eastAsia="仿宋_GB2312" w:cs="仿宋_GB2312"/>
          <w:b w:val="0"/>
          <w:bCs w:val="0"/>
          <w:color w:val="auto"/>
          <w:spacing w:val="0"/>
          <w:kern w:val="2"/>
          <w:sz w:val="32"/>
          <w:szCs w:val="32"/>
          <w:lang w:val="en-US" w:eastAsia="zh-CN" w:bidi="ar-SA"/>
        </w:rPr>
        <w:t>根据《山西省取水许可“一网快办”审批方式实施办法（试行）》</w:t>
      </w:r>
      <w:bookmarkStart w:id="0" w:name="_GoBack"/>
      <w:bookmarkEnd w:id="0"/>
      <w:r>
        <w:rPr>
          <w:rFonts w:hint="eastAsia" w:ascii="仿宋_GB2312" w:hAnsi="仿宋_GB2312" w:eastAsia="仿宋_GB2312" w:cs="仿宋_GB2312"/>
          <w:b w:val="0"/>
          <w:bCs w:val="0"/>
          <w:color w:val="auto"/>
          <w:spacing w:val="0"/>
          <w:kern w:val="2"/>
          <w:sz w:val="32"/>
          <w:szCs w:val="32"/>
          <w:lang w:val="en-US" w:eastAsia="zh-CN" w:bidi="ar-SA"/>
        </w:rPr>
        <w:t>的要求，对符合条件的取水许可申请事项，积极推行取水许可“一网快办”审批方式，申请人只需根据情况填写《建设项目水资源论证报告表》《建设项目取水工程或设施自主核验承诺表》《建设项目取水许可延续评估表》及核验报告，我局收到申请后，不再组织技术审查，符合规定的直接作出许可决定，进一步简化取水许可审批程序，解决取水许可“难慢繁”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pacing w:val="0"/>
          <w:kern w:val="2"/>
          <w:sz w:val="32"/>
          <w:szCs w:val="32"/>
          <w:highlight w:val="none"/>
          <w:lang w:val="en-US" w:eastAsia="zh-CN" w:bidi="ar-SA"/>
        </w:rPr>
        <w:t>4.规范开展公共资源交易。</w:t>
      </w:r>
      <w:r>
        <w:rPr>
          <w:rFonts w:hint="eastAsia" w:ascii="仿宋_GB2312" w:hAnsi="仿宋_GB2312" w:eastAsia="仿宋_GB2312" w:cs="仿宋_GB2312"/>
          <w:color w:val="auto"/>
          <w:sz w:val="32"/>
          <w:szCs w:val="32"/>
          <w:highlight w:val="none"/>
        </w:rPr>
        <w:t>项目从申请登记、发布公告、开评标组织到资料归档，精心组织、科学实施，确保每一项交易活动的合法合规、公平公开公正</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lang w:val="en-US" w:eastAsia="zh-CN"/>
        </w:rPr>
        <w:t>1-11月</w:t>
      </w:r>
      <w:r>
        <w:rPr>
          <w:rFonts w:hint="eastAsia" w:ascii="仿宋_GB2312" w:hAnsi="仿宋_GB2312" w:eastAsia="仿宋_GB2312" w:cs="仿宋_GB2312"/>
          <w:color w:val="auto"/>
          <w:sz w:val="32"/>
          <w:szCs w:val="32"/>
          <w:highlight w:val="none"/>
          <w:lang w:eastAsia="zh-CN"/>
        </w:rPr>
        <w:t>，共受理入场登记事项128件，其中：工程建设类116件；政府采购类10件；土地产权类2件。共完成标会安排114项。组织完成了102项工程建设项目交易活动，交易额约32.5亿元。实施国有建设用地使用权出让3宗，成交金额4008万元。政府采购（包括代理项目）实施项目共4宗，预算资金696.5573万元，合同金额687.5667万元，节约财政资金8.9906万元，节支率1.29%。</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bCs/>
          <w:color w:val="auto"/>
          <w:sz w:val="32"/>
          <w:szCs w:val="32"/>
          <w:lang w:eastAsia="zh-CN"/>
        </w:rPr>
      </w:pPr>
      <w:r>
        <w:rPr>
          <w:rFonts w:hint="eastAsia" w:ascii="黑体" w:hAnsi="黑体" w:eastAsia="黑体" w:cs="黑体"/>
          <w:b w:val="0"/>
          <w:bCs w:val="0"/>
          <w:color w:val="auto"/>
          <w:sz w:val="32"/>
          <w:szCs w:val="32"/>
          <w:lang w:val="en-US" w:eastAsia="zh-CN"/>
        </w:rPr>
        <w:t>三、</w:t>
      </w:r>
      <w:r>
        <w:rPr>
          <w:rFonts w:hint="eastAsia" w:ascii="黑体" w:hAnsi="黑体" w:eastAsia="黑体" w:cs="黑体"/>
          <w:b w:val="0"/>
          <w:bCs w:val="0"/>
          <w:color w:val="auto"/>
          <w:sz w:val="32"/>
          <w:szCs w:val="32"/>
        </w:rPr>
        <w:t>以及时回应群众需求为驱动，助力</w:t>
      </w:r>
      <w:r>
        <w:rPr>
          <w:rFonts w:hint="eastAsia" w:ascii="黑体" w:hAnsi="黑体" w:eastAsia="黑体" w:cs="黑体"/>
          <w:b w:val="0"/>
          <w:bCs w:val="0"/>
          <w:color w:val="auto"/>
          <w:sz w:val="32"/>
          <w:szCs w:val="32"/>
          <w:lang w:val="en-US" w:eastAsia="zh-CN"/>
        </w:rPr>
        <w:t>经营</w:t>
      </w:r>
      <w:r>
        <w:rPr>
          <w:rFonts w:hint="eastAsia" w:ascii="黑体" w:hAnsi="黑体" w:eastAsia="黑体" w:cs="黑体"/>
          <w:b w:val="0"/>
          <w:bCs w:val="0"/>
          <w:color w:val="auto"/>
          <w:sz w:val="32"/>
          <w:szCs w:val="32"/>
        </w:rPr>
        <w:t>主体</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rPr>
        <w:t>轻装上阵</w:t>
      </w:r>
      <w:r>
        <w:rPr>
          <w:rFonts w:hint="eastAsia" w:ascii="黑体" w:hAnsi="黑体" w:eastAsia="黑体" w:cs="黑体"/>
          <w:b w:val="0"/>
          <w:bCs w:val="0"/>
          <w:color w:val="auto"/>
          <w:sz w:val="32"/>
          <w:szCs w:val="32"/>
          <w:lang w:eastAsia="zh-CN"/>
        </w:rPr>
        <w:t>”，群众办事方便快捷</w:t>
      </w:r>
    </w:p>
    <w:p>
      <w:pPr>
        <w:keepNext w:val="0"/>
        <w:keepLines w:val="0"/>
        <w:pageBreakBefore w:val="0"/>
        <w:numPr>
          <w:ilvl w:val="0"/>
          <w:numId w:val="0"/>
        </w:numPr>
        <w:kinsoku/>
        <w:wordWrap/>
        <w:overflowPunct/>
        <w:topLinePunct w:val="0"/>
        <w:autoSpaceDE/>
        <w:autoSpaceDN/>
        <w:bidi w:val="0"/>
        <w:spacing w:line="560" w:lineRule="exact"/>
        <w:ind w:firstLine="643" w:firstLineChars="200"/>
        <w:jc w:val="both"/>
        <w:textAlignment w:val="auto"/>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（一）聚集准入准营，助力经营主体提质增效</w:t>
      </w:r>
    </w:p>
    <w:p>
      <w:pPr>
        <w:keepNext w:val="0"/>
        <w:keepLines w:val="0"/>
        <w:pageBreakBefore w:val="0"/>
        <w:numPr>
          <w:ilvl w:val="0"/>
          <w:numId w:val="0"/>
        </w:numPr>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sz w:val="32"/>
          <w:szCs w:val="32"/>
          <w:highlight w:val="none"/>
          <w:lang w:val="en-US" w:eastAsia="zh-CN"/>
        </w:rPr>
        <w:t>1.线上＋线下优化企业开办“一条龙”服务。</w:t>
      </w:r>
      <w:r>
        <w:rPr>
          <w:rFonts w:hint="eastAsia" w:ascii="仿宋_GB2312" w:hAnsi="仿宋_GB2312" w:eastAsia="仿宋_GB2312" w:cs="仿宋_GB2312"/>
          <w:color w:val="auto"/>
          <w:sz w:val="32"/>
          <w:szCs w:val="32"/>
          <w:highlight w:val="none"/>
        </w:rPr>
        <w:t>升级企业开办服务专区功能，构建“一支队伍帮办、一个平台登录、一套材料申请、一个窗口受理、一次结果领取、一个系统评价”为一体的市场准入集成办理机制。将企业开办涉及的企业注册、公章刻制、银行开户、税务数电票申领、社保登记、公积金开户6个环节全部纳入“开办企业”流程，线上大力推行运用“企业开办全程网办系统”实现一次信息采集、多个结果反馈，线下设置《企业开办线下一表申请单》，整合企业开办各个环节采集信息，在企业登记申请的同时即可完成银行进调，压缩企业开办时限，提升企业办事便利。实现了</w:t>
      </w:r>
      <w:r>
        <w:rPr>
          <w:rFonts w:hint="eastAsia" w:ascii="仿宋_GB2312" w:hAnsi="仿宋_GB2312" w:eastAsia="仿宋_GB2312" w:cs="仿宋_GB2312"/>
          <w:color w:val="auto"/>
          <w:sz w:val="32"/>
          <w:szCs w:val="32"/>
          <w:highlight w:val="none"/>
          <w:shd w:val="clear" w:color="auto" w:fill="FFFFFF"/>
        </w:rPr>
        <w:t>企业开办全程免费，</w:t>
      </w:r>
      <w:r>
        <w:rPr>
          <w:rFonts w:hint="eastAsia" w:ascii="仿宋_GB2312" w:hAnsi="仿宋_GB2312" w:eastAsia="仿宋_GB2312" w:cs="仿宋_GB2312"/>
          <w:color w:val="auto"/>
          <w:sz w:val="32"/>
          <w:szCs w:val="32"/>
          <w:highlight w:val="none"/>
        </w:rPr>
        <w:t>所有市场主体新开办注册登记、公章刻制、税务数电票、银行开户、证照寄递全程免费。</w:t>
      </w:r>
      <w:r>
        <w:rPr>
          <w:rFonts w:hint="eastAsia" w:ascii="仿宋_GB2312" w:hAnsi="仿宋_GB2312" w:eastAsia="仿宋_GB2312" w:cs="仿宋_GB2312"/>
          <w:color w:val="auto"/>
          <w:sz w:val="32"/>
          <w:szCs w:val="32"/>
          <w:highlight w:val="none"/>
          <w:lang w:val="en-US" w:eastAsia="zh-CN"/>
        </w:rPr>
        <w:t>截至目前</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为</w:t>
      </w:r>
      <w:r>
        <w:rPr>
          <w:rFonts w:hint="eastAsia" w:ascii="仿宋_GB2312" w:hAnsi="仿宋_GB2312" w:eastAsia="仿宋_GB2312" w:cs="仿宋_GB2312"/>
          <w:color w:val="auto"/>
          <w:sz w:val="32"/>
          <w:szCs w:val="32"/>
          <w:highlight w:val="none"/>
          <w:lang w:val="en-US" w:eastAsia="zh-CN"/>
        </w:rPr>
        <w:t>2469</w:t>
      </w:r>
      <w:r>
        <w:rPr>
          <w:rFonts w:hint="eastAsia" w:ascii="仿宋_GB2312" w:hAnsi="仿宋_GB2312" w:eastAsia="仿宋_GB2312" w:cs="仿宋_GB2312"/>
          <w:color w:val="auto"/>
          <w:sz w:val="32"/>
          <w:szCs w:val="32"/>
          <w:highlight w:val="none"/>
        </w:rPr>
        <w:t>户企业（个体工商户）免费刻制公章，减免费用</w:t>
      </w:r>
      <w:r>
        <w:rPr>
          <w:rFonts w:hint="eastAsia" w:ascii="仿宋_GB2312" w:hAnsi="仿宋_GB2312" w:eastAsia="仿宋_GB2312" w:cs="仿宋_GB2312"/>
          <w:color w:val="auto"/>
          <w:sz w:val="32"/>
          <w:szCs w:val="32"/>
          <w:highlight w:val="none"/>
          <w:lang w:val="en-US" w:eastAsia="zh-CN"/>
        </w:rPr>
        <w:t>24.99</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shd w:val="clear" w:color="auto" w:fill="FFFFFF"/>
        </w:rPr>
        <w:t>进一步减轻企业开办负担，助力企业“轻装快跑”。</w:t>
      </w:r>
      <w:r>
        <w:rPr>
          <w:rFonts w:hint="eastAsia" w:ascii="仿宋_GB2312" w:hAnsi="仿宋_GB2312" w:eastAsia="仿宋_GB2312" w:cs="仿宋_GB2312"/>
          <w:b w:val="0"/>
          <w:bCs w:val="0"/>
          <w:color w:val="auto"/>
          <w:sz w:val="32"/>
          <w:szCs w:val="32"/>
          <w:highlight w:val="none"/>
          <w:shd w:val="clear" w:color="auto" w:fill="FFFFFF"/>
          <w:lang w:eastAsia="zh-CN"/>
        </w:rPr>
        <w:t>并且</w:t>
      </w:r>
      <w:r>
        <w:rPr>
          <w:rFonts w:hint="eastAsia" w:ascii="仿宋_GB2312" w:hAnsi="仿宋_GB2312" w:eastAsia="仿宋_GB2312" w:cs="仿宋_GB2312"/>
          <w:b w:val="0"/>
          <w:bCs w:val="0"/>
          <w:color w:val="auto"/>
          <w:sz w:val="32"/>
          <w:szCs w:val="32"/>
        </w:rPr>
        <w:t>推行</w:t>
      </w:r>
      <w:r>
        <w:rPr>
          <w:rFonts w:hint="eastAsia" w:ascii="仿宋_GB2312" w:hAnsi="仿宋_GB2312" w:eastAsia="仿宋_GB2312" w:cs="仿宋_GB2312"/>
          <w:b w:val="0"/>
          <w:bCs w:val="0"/>
          <w:color w:val="auto"/>
          <w:sz w:val="32"/>
          <w:szCs w:val="32"/>
          <w:lang w:eastAsia="zh-CN"/>
        </w:rPr>
        <w:t>了</w:t>
      </w:r>
      <w:r>
        <w:rPr>
          <w:rFonts w:hint="eastAsia" w:ascii="仿宋_GB2312" w:hAnsi="仿宋_GB2312" w:eastAsia="仿宋_GB2312" w:cs="仿宋_GB2312"/>
          <w:b w:val="0"/>
          <w:bCs w:val="0"/>
          <w:color w:val="auto"/>
          <w:sz w:val="32"/>
          <w:szCs w:val="32"/>
        </w:rPr>
        <w:t>市场主体简易注销登记改革。深化企业简易注销改革，今年以来共办理简易注销</w:t>
      </w:r>
      <w:r>
        <w:rPr>
          <w:rFonts w:hint="eastAsia" w:ascii="仿宋_GB2312" w:hAnsi="仿宋_GB2312" w:eastAsia="仿宋_GB2312" w:cs="仿宋_GB2312"/>
          <w:b w:val="0"/>
          <w:bCs w:val="0"/>
          <w:color w:val="auto"/>
          <w:sz w:val="32"/>
          <w:szCs w:val="32"/>
          <w:lang w:val="en-US" w:eastAsia="zh-CN"/>
        </w:rPr>
        <w:t>756</w:t>
      </w:r>
      <w:r>
        <w:rPr>
          <w:rFonts w:hint="eastAsia" w:ascii="仿宋_GB2312" w:hAnsi="仿宋_GB2312" w:eastAsia="仿宋_GB2312" w:cs="仿宋_GB2312"/>
          <w:b w:val="0"/>
          <w:bCs w:val="0"/>
          <w:color w:val="auto"/>
          <w:sz w:val="32"/>
          <w:szCs w:val="32"/>
        </w:rPr>
        <w:t>件，适用代位注销模式办理1户。</w:t>
      </w:r>
    </w:p>
    <w:p>
      <w:pPr>
        <w:keepNext w:val="0"/>
        <w:keepLines w:val="0"/>
        <w:pageBreakBefore w:val="0"/>
        <w:numPr>
          <w:ilvl w:val="0"/>
          <w:numId w:val="0"/>
        </w:numPr>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val="en-US" w:eastAsia="zh-CN"/>
        </w:rPr>
        <w:t>2.简化“个转企”程序。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个转企”程序改革为直接进行变更登记。通过专人帮办代办、证照联办、并联审批等举措，为符合条件且有意愿转型的个体工商户在名称变更、证照办理等方面提供便利服务，高效完成个体工商户转型升级。同时广泛宣传</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个转企”便利服务，累计办理个转企</w:t>
      </w:r>
      <w:r>
        <w:rPr>
          <w:rFonts w:hint="eastAsia" w:ascii="仿宋_GB2312" w:hAnsi="仿宋_GB2312" w:eastAsia="仿宋_GB2312" w:cs="仿宋_GB2312"/>
          <w:color w:val="auto"/>
          <w:sz w:val="32"/>
          <w:szCs w:val="32"/>
          <w:highlight w:val="none"/>
          <w:lang w:val="en-US" w:eastAsia="zh-CN"/>
        </w:rPr>
        <w:t>23</w:t>
      </w:r>
      <w:r>
        <w:rPr>
          <w:rFonts w:hint="eastAsia" w:ascii="仿宋_GB2312" w:hAnsi="仿宋_GB2312" w:eastAsia="仿宋_GB2312" w:cs="仿宋_GB2312"/>
          <w:color w:val="auto"/>
          <w:sz w:val="32"/>
          <w:szCs w:val="32"/>
          <w:highlight w:val="none"/>
        </w:rPr>
        <w:t>家，推动个体工商户做大做强。</w:t>
      </w:r>
    </w:p>
    <w:p>
      <w:pPr>
        <w:keepNext w:val="0"/>
        <w:keepLines w:val="0"/>
        <w:pageBreakBefore w:val="0"/>
        <w:numPr>
          <w:ilvl w:val="0"/>
          <w:numId w:val="0"/>
        </w:numPr>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highlight w:val="none"/>
          <w:lang w:val="en-US" w:eastAsia="zh-CN"/>
        </w:rPr>
        <w:t>3.实行“一城通办”登记模式。</w:t>
      </w:r>
      <w:r>
        <w:rPr>
          <w:rFonts w:hint="eastAsia" w:ascii="仿宋_GB2312" w:hAnsi="仿宋_GB2312" w:eastAsia="仿宋_GB2312" w:cs="仿宋_GB2312"/>
          <w:color w:val="auto"/>
          <w:sz w:val="32"/>
          <w:szCs w:val="32"/>
        </w:rPr>
        <w:t>在15个乡镇便民服务中心设立了“一城通办”登记专窗，完成了市场主体登记事项的登录账号配置，在集中培训的基础上多次开展现场实践指导教学，加快基层市场主体登记效率，实现“多点可办、就近能办、少跑快办”。</w:t>
      </w:r>
      <w:r>
        <w:rPr>
          <w:rFonts w:hint="eastAsia" w:ascii="仿宋_GB2312" w:hAnsi="仿宋_GB2312" w:eastAsia="仿宋_GB2312" w:cs="仿宋_GB2312"/>
          <w:color w:val="auto"/>
          <w:sz w:val="32"/>
          <w:szCs w:val="32"/>
          <w:lang w:val="en-US" w:eastAsia="zh-CN"/>
        </w:rPr>
        <w:t>截至目前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委托授权乡镇便民服务中心完成市场主体登记</w:t>
      </w:r>
      <w:r>
        <w:rPr>
          <w:rFonts w:hint="eastAsia" w:ascii="仿宋_GB2312" w:hAnsi="仿宋_GB2312" w:eastAsia="仿宋_GB2312" w:cs="仿宋_GB2312"/>
          <w:color w:val="auto"/>
          <w:sz w:val="32"/>
          <w:szCs w:val="32"/>
          <w:highlight w:val="none"/>
          <w:lang w:val="en-US" w:eastAsia="zh-CN"/>
        </w:rPr>
        <w:t>1896</w:t>
      </w:r>
      <w:r>
        <w:rPr>
          <w:rFonts w:hint="eastAsia" w:ascii="仿宋_GB2312" w:hAnsi="仿宋_GB2312" w:eastAsia="仿宋_GB2312" w:cs="仿宋_GB2312"/>
          <w:color w:val="auto"/>
          <w:sz w:val="32"/>
          <w:szCs w:val="32"/>
        </w:rPr>
        <w:t>户。</w:t>
      </w:r>
    </w:p>
    <w:p>
      <w:pPr>
        <w:keepNext w:val="0"/>
        <w:keepLines w:val="0"/>
        <w:pageBreakBefore w:val="0"/>
        <w:numPr>
          <w:ilvl w:val="0"/>
          <w:numId w:val="0"/>
        </w:numPr>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4.设立企业服务专区。</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应企业股改、开户等多方需求新增企业档案免费查询服务；</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color w:val="auto"/>
          <w:sz w:val="32"/>
          <w:szCs w:val="32"/>
        </w:rPr>
        <w:t>应涉企政策服务需求新增涉企政策宣传专窗，主要是依托山西政务服务平台“助企服务专区”宣传推广山西省涉企政策“一站式”综合服务平台，推动涉企政策“应上尽上”，奖补资金“应兑尽兑”</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color w:val="auto"/>
          <w:sz w:val="32"/>
          <w:szCs w:val="32"/>
        </w:rPr>
        <w:t>应“高效办成一件事”改革深入推进，先期将山西政务服务网已上线的准营事项涉及的住建、烟草、消防三部门纳入企业服务专区，就近提供咨询服务，推动准营事项快速有效联办。</w:t>
      </w:r>
      <w:r>
        <w:rPr>
          <w:rFonts w:hint="eastAsia" w:ascii="仿宋_GB2312" w:hAnsi="仿宋_GB2312" w:eastAsia="仿宋_GB2312" w:cs="仿宋_GB2312"/>
          <w:b/>
          <w:bCs/>
          <w:color w:val="auto"/>
          <w:sz w:val="32"/>
          <w:szCs w:val="32"/>
          <w:lang w:eastAsia="zh-CN"/>
        </w:rPr>
        <w:t>四是</w:t>
      </w:r>
      <w:r>
        <w:rPr>
          <w:rFonts w:hint="eastAsia" w:ascii="仿宋_GB2312" w:hAnsi="仿宋_GB2312" w:eastAsia="仿宋_GB2312" w:cs="仿宋_GB2312"/>
          <w:color w:val="auto"/>
          <w:sz w:val="32"/>
          <w:szCs w:val="32"/>
          <w:highlight w:val="none"/>
        </w:rPr>
        <w:t>与县财政局紧密对接，目前已发布我县涉企政策奖补事项清单两批，上架奖补项目</w:t>
      </w:r>
      <w:r>
        <w:rPr>
          <w:rFonts w:hint="eastAsia" w:ascii="仿宋_GB2312" w:hAnsi="仿宋_GB2312" w:eastAsia="仿宋_GB2312" w:cs="仿宋_GB2312"/>
          <w:color w:val="auto"/>
          <w:sz w:val="32"/>
          <w:szCs w:val="32"/>
          <w:highlight w:val="none"/>
          <w:lang w:val="en-US" w:eastAsia="zh-CN"/>
        </w:rPr>
        <w:t>13</w:t>
      </w:r>
      <w:r>
        <w:rPr>
          <w:rFonts w:hint="eastAsia" w:ascii="仿宋_GB2312" w:hAnsi="仿宋_GB2312" w:eastAsia="仿宋_GB2312" w:cs="仿宋_GB2312"/>
          <w:color w:val="auto"/>
          <w:sz w:val="32"/>
          <w:szCs w:val="32"/>
          <w:highlight w:val="none"/>
        </w:rPr>
        <w:t>个。</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lang w:eastAsia="zh-CN"/>
        </w:rPr>
        <w:t>（二）</w:t>
      </w:r>
      <w:r>
        <w:rPr>
          <w:rFonts w:hint="eastAsia" w:ascii="楷体_GB2312" w:hAnsi="楷体_GB2312" w:eastAsia="楷体_GB2312" w:cs="楷体_GB2312"/>
          <w:b/>
          <w:bCs/>
          <w:color w:val="auto"/>
          <w:sz w:val="32"/>
          <w:szCs w:val="32"/>
        </w:rPr>
        <w:t>聚集好办快办，促进群众办事顺畅舒心</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highlight w:val="none"/>
          <w:lang w:val="en-US" w:eastAsia="zh-CN"/>
        </w:rPr>
        <w:t>1.持续推进高频事项“全域通办”。</w:t>
      </w:r>
      <w:r>
        <w:rPr>
          <w:rFonts w:hint="eastAsia" w:ascii="仿宋_GB2312" w:hAnsi="仿宋_GB2312" w:eastAsia="仿宋_GB2312" w:cs="仿宋_GB2312"/>
          <w:color w:val="auto"/>
          <w:sz w:val="32"/>
          <w:szCs w:val="32"/>
          <w:lang w:val="en-US" w:eastAsia="zh-CN"/>
        </w:rPr>
        <w:t>成立“全域通办”工作专班，积极配合晋城市政务服务事项“全域通办”流转系统建设，完善材料流转机制；建立“全域通办”推进台账，设置专窗，定期对照进度要求开展检查，有效推动各窗口工作落实，确保按部署稳步推进，为提升政务服务水平奠定坚实基础。</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highlight w:val="none"/>
          <w:lang w:val="en-US" w:eastAsia="zh-CN"/>
        </w:rPr>
        <w:t>2.加强网上一体化平台建设。</w:t>
      </w:r>
      <w:r>
        <w:rPr>
          <w:rFonts w:hint="eastAsia" w:ascii="仿宋_GB2312" w:hAnsi="仿宋_GB2312" w:eastAsia="仿宋_GB2312" w:cs="仿宋_GB2312"/>
          <w:color w:val="auto"/>
          <w:sz w:val="32"/>
          <w:szCs w:val="32"/>
          <w:lang w:val="en-US" w:eastAsia="zh-CN"/>
        </w:rPr>
        <w:t>全力构建一体化在线政务服务平台，不断完善平台功能模块。目前已实现企业登记注册、项目投资审批、社会事务办理等多领域事项的网上申报、受理、审核、办结反馈全流程电子化。围绕企业和群众关心的热点难点事项，推出46个高频事项导办视频，有效提升服务效率，增强用户体验。</w:t>
      </w:r>
    </w:p>
    <w:p>
      <w:pPr>
        <w:keepNext w:val="0"/>
        <w:keepLines w:val="0"/>
        <w:pageBreakBefore w:val="0"/>
        <w:widowControl/>
        <w:suppressLineNumbers w:val="0"/>
        <w:shd w:val="clear" w:fill="FFFFFF"/>
        <w:kinsoku/>
        <w:wordWrap/>
        <w:overflowPunct/>
        <w:topLinePunct w:val="0"/>
        <w:autoSpaceDE/>
        <w:autoSpaceDN/>
        <w:bidi w:val="0"/>
        <w:adjustRightInd/>
        <w:snapToGrid/>
        <w:spacing w:line="560" w:lineRule="exact"/>
        <w:ind w:left="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kern w:val="0"/>
          <w:sz w:val="32"/>
          <w:szCs w:val="32"/>
          <w:lang w:val="en-US" w:eastAsia="zh-CN" w:bidi="ar-SA"/>
        </w:rPr>
        <w:t>政务服务“不打烊”质效双升。</w:t>
      </w:r>
      <w:r>
        <w:rPr>
          <w:rFonts w:hint="eastAsia" w:ascii="仿宋_GB2312" w:hAnsi="仿宋_GB2312" w:eastAsia="仿宋_GB2312" w:cs="仿宋_GB2312"/>
          <w:color w:val="auto"/>
          <w:sz w:val="32"/>
          <w:szCs w:val="32"/>
          <w:lang w:val="en-US" w:eastAsia="zh-CN"/>
        </w:rPr>
        <w:t>积极响应群众诉求，持续深化双休日、节假日“不打烊”服务模式，将与企业群众生产生活密切相关的52项高频事项纳入“不打烊”服务清单，推动“不打烊”服务常态化、机制化。推出“预约办+现场办+自助办”多元服务模式，通过线上预约精准分流、线下窗口高效办理、自助区24小时不打烊，最大程度满足办事群众和市场主体的个性化需求。截至目前，累计提供现场办件596件，预约办件131件，咨询服务236次，服务范围覆盖公安、医保、不动产登记等多个民生领域，确保政务服务“不断档”“不掉线”，切实打通服务群众“最后一公里”。</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4.深入推进“村能办”提档升级。</w:t>
      </w:r>
      <w:r>
        <w:rPr>
          <w:rFonts w:hint="eastAsia" w:ascii="仿宋_GB2312" w:hAnsi="仿宋_GB2312" w:eastAsia="仿宋_GB2312" w:cs="仿宋_GB2312"/>
          <w:b w:val="0"/>
          <w:bCs w:val="0"/>
          <w:color w:val="auto"/>
          <w:sz w:val="32"/>
          <w:szCs w:val="32"/>
          <w:lang w:val="en-US" w:eastAsia="zh-CN"/>
        </w:rPr>
        <w:t>对照洎水新城社区模板，推进精品示范村“村能办”能力同步优化，推动村级便民服务站标准化，对新增“村能办”便民服务事项进行梳理，将洎水新城社区的71项事项向精品示范村逐步扩展。同时，</w:t>
      </w:r>
      <w:r>
        <w:rPr>
          <w:rFonts w:hint="eastAsia" w:ascii="仿宋_GB2312" w:hAnsi="仿宋_GB2312" w:eastAsia="仿宋_GB2312" w:cs="仿宋_GB2312"/>
          <w:b w:val="0"/>
          <w:bCs w:val="0"/>
          <w:color w:val="auto"/>
          <w:sz w:val="32"/>
          <w:szCs w:val="32"/>
        </w:rPr>
        <w:t>优化办事流程，编制办事指南，制作</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村能办”</w:t>
      </w:r>
      <w:r>
        <w:rPr>
          <w:rFonts w:hint="eastAsia" w:ascii="仿宋_GB2312" w:hAnsi="仿宋_GB2312" w:eastAsia="仿宋_GB2312" w:cs="仿宋_GB2312"/>
          <w:b w:val="0"/>
          <w:bCs w:val="0"/>
          <w:color w:val="auto"/>
          <w:sz w:val="32"/>
          <w:szCs w:val="32"/>
        </w:rPr>
        <w:t>便民服务事项“二维码”，并转码成册，方便群众随手“扫码”查阅、获取。</w:t>
      </w:r>
      <w:r>
        <w:rPr>
          <w:rFonts w:hint="eastAsia" w:ascii="仿宋_GB2312" w:hAnsi="仿宋_GB2312" w:eastAsia="仿宋_GB2312" w:cs="仿宋_GB2312"/>
          <w:b w:val="0"/>
          <w:bCs w:val="0"/>
          <w:color w:val="auto"/>
          <w:sz w:val="32"/>
          <w:szCs w:val="32"/>
          <w:lang w:val="en-US" w:eastAsia="zh-CN"/>
        </w:rPr>
        <w:t>截至目前，共办理26038件，“村能办”延伸服务共办理3880件，其中党群服务2007件，其他延伸服务类1873件。</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5.做优红色代办服务。</w:t>
      </w:r>
      <w:r>
        <w:rPr>
          <w:rFonts w:hint="eastAsia" w:ascii="仿宋_GB2312" w:hAnsi="仿宋_GB2312" w:eastAsia="仿宋_GB2312" w:cs="仿宋_GB2312"/>
          <w:color w:val="auto"/>
          <w:sz w:val="32"/>
          <w:szCs w:val="32"/>
          <w:lang w:val="en-US" w:eastAsia="zh-CN"/>
        </w:rPr>
        <w:t>建立县乡村三级红色代办员工作群，为乡镇、村级红色代办员提供咨询指导、资料审核交流平台，提升办事便利度。主导编制晋城市地方标准《“红色代办”便民服务规范》（DB1405/T 087-2025），由晋城市政务服务标准化技术委员会组织的专家技术审查和全体委员审查通过，并由晋城市市场监督管理局于2025年6月26日批准发布，于2025年9月26日正式实施。截至目前，</w:t>
      </w:r>
      <w:r>
        <w:rPr>
          <w:rFonts w:hint="eastAsia" w:ascii="仿宋_GB2312" w:hAnsi="仿宋_GB2312" w:eastAsia="仿宋_GB2312" w:cs="仿宋_GB2312"/>
          <w:b w:val="0"/>
          <w:bCs w:val="0"/>
          <w:color w:val="auto"/>
          <w:sz w:val="32"/>
          <w:szCs w:val="32"/>
          <w:lang w:val="en-US" w:eastAsia="zh-CN"/>
        </w:rPr>
        <w:t>红色代办事项共办理14511件，占比56%</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（三）聚焦评价体系，筑牢政务服务质量闭环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sz w:val="32"/>
          <w:szCs w:val="32"/>
          <w:lang w:val="en-US" w:eastAsia="zh-CN"/>
        </w:rPr>
      </w:pPr>
      <w:r>
        <w:rPr>
          <w:rFonts w:hint="eastAsia" w:ascii="仿宋_GB2312" w:hAnsi="仿宋_GB2312" w:eastAsia="仿宋_GB2312" w:cs="仿宋_GB2312"/>
          <w:b/>
          <w:bCs/>
          <w:color w:val="auto"/>
          <w:sz w:val="32"/>
          <w:szCs w:val="32"/>
          <w:lang w:val="en-US" w:eastAsia="zh-CN"/>
        </w:rPr>
        <w:t>1.开展“听民意办实事”项目。</w:t>
      </w:r>
      <w:r>
        <w:rPr>
          <w:rFonts w:hint="eastAsia" w:ascii="仿宋_GB2312" w:hAnsi="仿宋_GB2312" w:eastAsia="仿宋_GB2312" w:cs="仿宋_GB2312"/>
          <w:b w:val="0"/>
          <w:bCs w:val="0"/>
          <w:color w:val="auto"/>
          <w:sz w:val="32"/>
          <w:szCs w:val="32"/>
          <w:lang w:val="en-US" w:eastAsia="zh-CN"/>
        </w:rPr>
        <w:t>成立常态化开展纠治审批服务中的“办事难、办事慢、办事繁”问题工作专班，出台《常态化开展纠治审批服务中的“办事难、办事慢、办事繁”问题工作方案》，集中攻坚破堵点，提升审批服务质效。活动开展以来，通过内部自查、上级监督、换位体验、电话回访、群众监督、12345政务服务热线等渠道广泛搜集问题线索，共查找审批服务“难慢繁”问题183个，已全部整改完成。回访服务对象</w:t>
      </w:r>
      <w:r>
        <w:rPr>
          <w:rFonts w:hint="eastAsia" w:ascii="仿宋_GB2312" w:hAnsi="仿宋_GB2312" w:eastAsia="仿宋_GB2312"/>
          <w:color w:val="auto"/>
          <w:spacing w:val="8"/>
          <w:sz w:val="32"/>
          <w:szCs w:val="32"/>
          <w:lang w:val="en-US" w:eastAsia="zh-CN"/>
        </w:rPr>
        <w:t>394</w:t>
      </w:r>
      <w:r>
        <w:rPr>
          <w:rFonts w:hint="eastAsia" w:ascii="仿宋_GB2312" w:hAnsi="仿宋_GB2312" w:eastAsia="仿宋_GB2312" w:cs="仿宋_GB2312"/>
          <w:b w:val="0"/>
          <w:bCs w:val="0"/>
          <w:color w:val="auto"/>
          <w:sz w:val="32"/>
          <w:szCs w:val="32"/>
          <w:lang w:val="en-US" w:eastAsia="zh-CN"/>
        </w:rPr>
        <w:t>人，均表示满意。为群众办实事</w:t>
      </w:r>
      <w:r>
        <w:rPr>
          <w:rFonts w:hint="eastAsia" w:ascii="仿宋_GB2312" w:hAnsi="仿宋_GB2312" w:eastAsia="仿宋_GB2312"/>
          <w:color w:val="auto"/>
          <w:spacing w:val="8"/>
          <w:sz w:val="32"/>
          <w:szCs w:val="32"/>
          <w:lang w:val="en-US" w:eastAsia="zh-CN"/>
        </w:rPr>
        <w:t>2190</w:t>
      </w:r>
      <w:r>
        <w:rPr>
          <w:rFonts w:hint="eastAsia" w:ascii="仿宋_GB2312" w:hAnsi="仿宋_GB2312" w:eastAsia="仿宋_GB2312" w:cs="仿宋_GB2312"/>
          <w:b w:val="0"/>
          <w:bCs w:val="0"/>
          <w:color w:val="auto"/>
          <w:sz w:val="32"/>
          <w:szCs w:val="32"/>
          <w:lang w:val="en-US" w:eastAsia="zh-CN"/>
        </w:rPr>
        <w:t>件。健全完善制度机制</w:t>
      </w:r>
      <w:r>
        <w:rPr>
          <w:rFonts w:hint="eastAsia" w:ascii="仿宋_GB2312" w:hAnsi="仿宋_GB2312" w:eastAsia="仿宋_GB2312" w:cs="Times New Roman"/>
          <w:color w:val="auto"/>
          <w:spacing w:val="8"/>
          <w:sz w:val="32"/>
          <w:szCs w:val="32"/>
          <w:lang w:val="en-US" w:eastAsia="zh-CN"/>
        </w:rPr>
        <w:t>34</w:t>
      </w:r>
      <w:r>
        <w:rPr>
          <w:rFonts w:hint="eastAsia" w:ascii="仿宋_GB2312" w:hAnsi="仿宋_GB2312" w:eastAsia="仿宋_GB2312" w:cs="仿宋_GB2312"/>
          <w:b w:val="0"/>
          <w:bCs w:val="0"/>
          <w:color w:val="auto"/>
          <w:sz w:val="32"/>
          <w:szCs w:val="32"/>
          <w:lang w:val="en-US" w:eastAsia="zh-CN"/>
        </w:rPr>
        <w:t>个。推动审批瘦身，对全局190项审批事项重新梳理与优化，共减少申请材料372份，减少办事环节332个，减少办事时间3825天。</w:t>
      </w:r>
      <w:r>
        <w:rPr>
          <w:rFonts w:hint="eastAsia" w:ascii="仿宋_GB2312" w:hAnsi="仿宋_GB2312" w:eastAsia="仿宋_GB2312" w:cs="仿宋_GB2312"/>
          <w:color w:val="auto"/>
          <w:sz w:val="32"/>
          <w:szCs w:val="32"/>
          <w:lang w:val="en-US" w:eastAsia="zh-CN"/>
        </w:rPr>
        <w:t>深入开展“我陪群众走流程”活动。建立“收集—整改—反馈”闭环机制，切实提升政务服务效率与质量。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color w:val="auto"/>
          <w:kern w:val="2"/>
          <w:sz w:val="32"/>
          <w:szCs w:val="32"/>
          <w:lang w:val="en-US" w:eastAsia="zh-CN" w:bidi="ar-SA"/>
        </w:rPr>
        <w:t>2.加强“12345”热线督办力度。</w:t>
      </w:r>
      <w:r>
        <w:rPr>
          <w:rFonts w:hint="eastAsia" w:ascii="仿宋_GB2312" w:hAnsi="仿宋_GB2312" w:eastAsia="仿宋_GB2312" w:cs="仿宋_GB2312"/>
          <w:b w:val="0"/>
          <w:bCs w:val="0"/>
          <w:color w:val="auto"/>
          <w:sz w:val="32"/>
          <w:szCs w:val="32"/>
          <w:lang w:eastAsia="zh-CN"/>
        </w:rPr>
        <w:t>每周常态化召开周调度会议，</w:t>
      </w:r>
      <w:r>
        <w:rPr>
          <w:rFonts w:hint="eastAsia" w:ascii="仿宋_GB2312" w:hAnsi="仿宋_GB2312" w:eastAsia="仿宋_GB2312" w:cs="仿宋_GB2312"/>
          <w:b w:val="0"/>
          <w:bCs w:val="0"/>
          <w:color w:val="auto"/>
          <w:sz w:val="32"/>
          <w:szCs w:val="32"/>
          <w:lang w:val="en-US" w:eastAsia="zh-CN"/>
        </w:rPr>
        <w:t>由</w:t>
      </w:r>
      <w:r>
        <w:rPr>
          <w:rFonts w:hint="eastAsia" w:ascii="仿宋_GB2312" w:hAnsi="仿宋_GB2312" w:eastAsia="仿宋_GB2312" w:cs="仿宋_GB2312"/>
          <w:b w:val="0"/>
          <w:bCs w:val="0"/>
          <w:color w:val="auto"/>
          <w:sz w:val="32"/>
          <w:szCs w:val="32"/>
          <w:lang w:eastAsia="zh-CN"/>
        </w:rPr>
        <w:t>县政府办牵头，督查室跟进，每周对回访情况，不满意、未解决等工单办理情况调度督办，对疑难复杂工单进行分析研判，部门联动找出解决路径方法，实时跟进直至群众满意。同时，按照市级相关文件精神，制定工单剔除机制，规范剔除流程，对不合理不合规诉求进行剔除，全力做好群众沟通解释工作，争取群众的理解。</w:t>
      </w:r>
      <w:r>
        <w:rPr>
          <w:rFonts w:hint="eastAsia" w:ascii="仿宋_GB2312" w:hAnsi="仿宋_GB2312" w:eastAsia="仿宋_GB2312" w:cs="仿宋_GB2312"/>
          <w:b w:val="0"/>
          <w:bCs w:val="0"/>
          <w:color w:val="auto"/>
          <w:sz w:val="32"/>
          <w:szCs w:val="32"/>
          <w:lang w:val="en-US" w:eastAsia="zh-CN"/>
        </w:rPr>
        <w:t>截至目前，我县</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共受理办结工单6672件，满意工单6568件，经县热线持续跟进后，满意率99.94%。</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3.推进“好差评”体系建设。</w:t>
      </w:r>
      <w:r>
        <w:rPr>
          <w:rFonts w:hint="eastAsia" w:ascii="仿宋_GB2312" w:hAnsi="仿宋_GB2312" w:eastAsia="仿宋_GB2312" w:cs="仿宋_GB2312"/>
          <w:color w:val="auto"/>
          <w:sz w:val="32"/>
          <w:szCs w:val="32"/>
          <w:lang w:val="en-US" w:eastAsia="zh-CN"/>
        </w:rPr>
        <w:t>为县乡便民大厅各窗口增配评价器，确保办事群众能便捷评价服务，实现评价全覆盖。定期开展工作人员业务和服务意识培训，提升服务水平。针对差评建立快速响应机制，收到差评后立即核实情况、明确责任，督促相关人员迅速整改，并及时将整改情况反馈群众，形成评价、反馈、整改的工作闭环，有效推动政务服务质量提升。</w:t>
      </w:r>
    </w:p>
    <w:p>
      <w:pPr>
        <w:pStyle w:val="3"/>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color w:val="auto"/>
          <w:kern w:val="2"/>
          <w:sz w:val="32"/>
          <w:szCs w:val="32"/>
          <w:lang w:val="en-US" w:eastAsia="zh-CN" w:bidi="ar-SA"/>
        </w:rPr>
        <w:t>四、存在问题</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pacing w:val="0"/>
          <w:kern w:val="2"/>
          <w:sz w:val="32"/>
          <w:szCs w:val="32"/>
          <w:lang w:val="en-US" w:eastAsia="zh-CN" w:bidi="ar-SA"/>
        </w:rPr>
      </w:pPr>
      <w:r>
        <w:rPr>
          <w:rFonts w:hint="eastAsia" w:ascii="仿宋_GB2312" w:hAnsi="仿宋_GB2312" w:eastAsia="仿宋_GB2312" w:cs="仿宋_GB2312"/>
          <w:b/>
          <w:bCs/>
          <w:color w:val="auto"/>
          <w:sz w:val="32"/>
          <w:szCs w:val="32"/>
          <w:lang w:val="en-US" w:eastAsia="zh-CN"/>
        </w:rPr>
        <w:t>一是党的建设深度不足，亟待强化。</w:t>
      </w:r>
      <w:r>
        <w:rPr>
          <w:rFonts w:hint="eastAsia" w:ascii="仿宋_GB2312" w:hAnsi="仿宋_GB2312" w:eastAsia="仿宋_GB2312" w:cs="仿宋_GB2312"/>
          <w:b w:val="0"/>
          <w:bCs w:val="0"/>
          <w:color w:val="auto"/>
          <w:spacing w:val="0"/>
          <w:kern w:val="2"/>
          <w:sz w:val="32"/>
          <w:szCs w:val="32"/>
          <w:lang w:val="en-US" w:eastAsia="zh-CN" w:bidi="ar-SA"/>
        </w:rPr>
        <w:t>理论学习深度不够，部分党员对党的创新理论掌握不全面，指导实践的能力有待加强。个别巡察整改问题成效尚需进一步巩固，防止反弹。党建工作与行政审批业务融合仍有提升空间，协同推进的机制还不够完善，党建引领作用发挥还不够充分，需要持续优化融合路径，推动党建与业务同频共振、互促共进。</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二是营商环境“一盘棋”格局尚未形成。</w:t>
      </w:r>
      <w:r>
        <w:rPr>
          <w:rFonts w:hint="eastAsia" w:ascii="仿宋_GB2312" w:hAnsi="仿宋_GB2312" w:eastAsia="仿宋_GB2312" w:cs="仿宋_GB2312"/>
          <w:color w:val="auto"/>
          <w:sz w:val="32"/>
          <w:szCs w:val="32"/>
          <w:lang w:val="en-US" w:eastAsia="zh-CN"/>
        </w:rPr>
        <w:t>部分单位对营商环境概念理解狭隘，思想认识不到位，认为营商环境只是牵头部门的事情，没有认识到“人人都是营商环境，处处都是营商环境，事事都是营商环境”，缺乏全局协同的主动性。对政策理解不深不透，推动落实不细致、具体办法不落地，体现在日常工作中表现为部门之间联动配合不强，面对跨部门的改革任务，往往以“完成规定动作”为目标，既不结合本领域实际细化措施，也不主动对接关联部门打通环节，改革倍增效应没有完全释放出来。</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三是智能化政务服务推进水平不高。</w:t>
      </w:r>
      <w:r>
        <w:rPr>
          <w:rFonts w:hint="eastAsia" w:ascii="仿宋_GB2312" w:hAnsi="仿宋_GB2312" w:eastAsia="仿宋_GB2312" w:cs="仿宋_GB2312"/>
          <w:color w:val="auto"/>
          <w:sz w:val="32"/>
          <w:szCs w:val="32"/>
          <w:lang w:val="en-US" w:eastAsia="zh-CN"/>
        </w:rPr>
        <w:t>部分系统未完全打通，部门之间存在“信息壁垒”，数据共享程度不够，部分领域的行政审批依旧碎片化，“一网通办”本应实现“一次登录、全网通办”，但在实际操作过程中部分事项目前仍需通过独立的系统进行审批。网上政务服务能力不强，事项可网办率较高，但是群众通过线上渠道办事意愿较低，一些审批事项网上操作专业性太强，群众自助办理难。</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四是便民服务能力较弱。</w:t>
      </w:r>
      <w:r>
        <w:rPr>
          <w:rFonts w:hint="eastAsia" w:ascii="仿宋_GB2312" w:hAnsi="仿宋_GB2312" w:eastAsia="仿宋_GB2312" w:cs="仿宋_GB2312"/>
          <w:color w:val="auto"/>
          <w:sz w:val="32"/>
          <w:szCs w:val="32"/>
          <w:lang w:val="en-US" w:eastAsia="zh-CN"/>
        </w:rPr>
        <w:t>对乡镇委托下放事项的跟踪指导、业务培训、配套服务不到位。基层服务人员配备不到位，办件人员流动性大，没有专门稳定的队伍承接下放事项且业务能力不足，不能及时高效办件，无法满足当地企业群众就近办事需求。基础设施设备不健全，目前虽然我们将自助服务推广到了乡镇一级，以及实现了部分社区覆盖，但由于乡镇农村办事的多为中老年群体，网办接受能力较差，自助设备使用宣传不到位，群众不会、不习惯使用操作自助设备，更习惯于现场办事。个别乡镇便民中心没有相对独立的自助服务场所，无法实现政务服务“7×24小时”不打烊。</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五、2026年工作计划</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一是推动营商环境的持续优化。</w:t>
      </w:r>
      <w:r>
        <w:rPr>
          <w:rFonts w:hint="eastAsia" w:ascii="仿宋_GB2312" w:hAnsi="仿宋_GB2312" w:eastAsia="仿宋_GB2312" w:cs="仿宋_GB2312"/>
          <w:color w:val="auto"/>
          <w:sz w:val="32"/>
          <w:szCs w:val="32"/>
          <w:lang w:val="en-US" w:eastAsia="zh-CN"/>
        </w:rPr>
        <w:t>围绕法治、政务、信用、人文、要素保障五大环境建设，紧盯短板堵点，着力推动营商环境创新提升，持续深入整治“两不”问题，打造“全市最优、全省一流”的良好营商环境。</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二是健全“高效办成一件事”推进机制。</w:t>
      </w:r>
      <w:r>
        <w:rPr>
          <w:rFonts w:hint="eastAsia" w:ascii="仿宋_GB2312" w:hAnsi="仿宋_GB2312" w:eastAsia="仿宋_GB2312" w:cs="仿宋_GB2312"/>
          <w:color w:val="auto"/>
          <w:sz w:val="32"/>
          <w:szCs w:val="32"/>
        </w:rPr>
        <w:t>继续深入推进“</w:t>
      </w:r>
      <w:r>
        <w:rPr>
          <w:rFonts w:hint="eastAsia" w:ascii="仿宋_GB2312" w:hAnsi="仿宋_GB2312" w:eastAsia="仿宋_GB2312" w:cs="仿宋_GB2312"/>
          <w:color w:val="auto"/>
          <w:sz w:val="32"/>
          <w:szCs w:val="32"/>
          <w:lang w:eastAsia="zh-CN"/>
        </w:rPr>
        <w:t>高效办成</w:t>
      </w:r>
      <w:r>
        <w:rPr>
          <w:rFonts w:hint="eastAsia" w:ascii="仿宋_GB2312" w:hAnsi="仿宋_GB2312" w:eastAsia="仿宋_GB2312" w:cs="仿宋_GB2312"/>
          <w:color w:val="auto"/>
          <w:sz w:val="32"/>
          <w:szCs w:val="32"/>
        </w:rPr>
        <w:t>一件事”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重构跨部门办理业务流程，强化跨部门政策、业务、系统协同和数据共享</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强化线上线下联动，大幅压减办理时长和办事成本。</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三是优化市场准入激发市场主体活力。</w:t>
      </w:r>
      <w:r>
        <w:rPr>
          <w:rFonts w:hint="eastAsia" w:ascii="仿宋_GB2312" w:hAnsi="仿宋_GB2312" w:eastAsia="仿宋_GB2312" w:cs="仿宋_GB2312"/>
          <w:color w:val="auto"/>
          <w:sz w:val="32"/>
          <w:szCs w:val="32"/>
        </w:rPr>
        <w:t>深化商事制度改革，以“证照分离”“一网通办”“免费帮办”等一系列改革服务举措为抓手，努力营造“审批更少、流程更优、效率更高、服务更好”的市场准入环境，进一步激发市场主体活力。</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四是高效推动项目前期手续集中办理。</w:t>
      </w:r>
      <w:r>
        <w:rPr>
          <w:rFonts w:hint="eastAsia" w:ascii="仿宋_GB2312" w:hAnsi="仿宋_GB2312" w:eastAsia="仿宋_GB2312" w:cs="仿宋_GB2312"/>
          <w:color w:val="auto"/>
          <w:sz w:val="32"/>
          <w:szCs w:val="32"/>
          <w:lang w:eastAsia="zh-CN"/>
        </w:rPr>
        <w:t>针对</w:t>
      </w:r>
      <w:r>
        <w:rPr>
          <w:rFonts w:hint="eastAsia" w:ascii="仿宋_GB2312" w:hAnsi="仿宋_GB2312" w:eastAsia="仿宋_GB2312" w:cs="仿宋_GB2312"/>
          <w:color w:val="auto"/>
          <w:sz w:val="32"/>
          <w:szCs w:val="32"/>
          <w:lang w:val="en-US" w:eastAsia="zh-CN"/>
        </w:rPr>
        <w:t>2025</w:t>
      </w:r>
      <w:r>
        <w:rPr>
          <w:rFonts w:hint="eastAsia" w:ascii="仿宋_GB2312" w:hAnsi="仿宋_GB2312" w:eastAsia="仿宋_GB2312" w:cs="仿宋_GB2312"/>
          <w:color w:val="auto"/>
          <w:sz w:val="32"/>
          <w:szCs w:val="32"/>
          <w:lang w:eastAsia="zh-CN"/>
        </w:rPr>
        <w:t>冬季行动</w:t>
      </w:r>
      <w:r>
        <w:rPr>
          <w:rFonts w:hint="eastAsia" w:ascii="仿宋_GB2312" w:hAnsi="仿宋_GB2312" w:eastAsia="仿宋_GB2312" w:cs="仿宋_GB2312"/>
          <w:color w:val="auto"/>
          <w:sz w:val="32"/>
          <w:szCs w:val="32"/>
          <w:lang w:val="en-US" w:eastAsia="zh-CN"/>
        </w:rPr>
        <w:t>100个新建重点项目，建立特事特办、会商联办服务机制，开辟绿色通道，强化全代办服务和并联审批，加快推进项目前期手续办理。</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五是持续提升政务服务能力和水平。</w:t>
      </w:r>
      <w:r>
        <w:rPr>
          <w:rFonts w:hint="eastAsia" w:ascii="仿宋_GB2312" w:hAnsi="仿宋_GB2312" w:eastAsia="仿宋_GB2312" w:cs="仿宋_GB2312"/>
          <w:color w:val="auto"/>
          <w:sz w:val="32"/>
          <w:szCs w:val="32"/>
          <w:lang w:val="en-US" w:eastAsia="zh-CN"/>
        </w:rPr>
        <w:t>持续优化政务大厅自助服务区功能与布局，增强群众对智慧政务的获得感；加强县、乡、村三级政务服务体系建设，</w:t>
      </w:r>
      <w:r>
        <w:rPr>
          <w:rFonts w:hint="eastAsia" w:ascii="仿宋_GB2312" w:hAnsi="仿宋_GB2312" w:eastAsia="仿宋_GB2312" w:cs="仿宋_GB2312"/>
          <w:color w:val="auto"/>
          <w:sz w:val="32"/>
          <w:szCs w:val="32"/>
        </w:rPr>
        <w:t>推</w:t>
      </w:r>
      <w:r>
        <w:rPr>
          <w:rFonts w:hint="eastAsia" w:ascii="仿宋_GB2312" w:hAnsi="仿宋_GB2312" w:eastAsia="仿宋_GB2312" w:cs="仿宋_GB2312"/>
          <w:color w:val="auto"/>
          <w:sz w:val="32"/>
          <w:szCs w:val="32"/>
          <w:lang w:eastAsia="zh-CN"/>
        </w:rPr>
        <w:t>动</w:t>
      </w:r>
      <w:r>
        <w:rPr>
          <w:rFonts w:hint="eastAsia" w:ascii="仿宋_GB2312" w:hAnsi="仿宋_GB2312" w:eastAsia="仿宋_GB2312" w:cs="仿宋_GB2312"/>
          <w:color w:val="auto"/>
          <w:sz w:val="32"/>
          <w:szCs w:val="32"/>
        </w:rPr>
        <w:t>自助服务设备进乡镇、进社区，提升基层“就近办”</w:t>
      </w:r>
      <w:r>
        <w:rPr>
          <w:rFonts w:hint="eastAsia" w:ascii="仿宋_GB2312" w:hAnsi="仿宋_GB2312" w:eastAsia="仿宋_GB2312" w:cs="仿宋_GB2312"/>
          <w:color w:val="auto"/>
          <w:sz w:val="32"/>
          <w:szCs w:val="32"/>
          <w:lang w:eastAsia="zh-CN"/>
        </w:rPr>
        <w:t>“网上办”</w:t>
      </w:r>
      <w:r>
        <w:rPr>
          <w:rFonts w:hint="eastAsia" w:ascii="仿宋_GB2312" w:hAnsi="仿宋_GB2312" w:eastAsia="仿宋_GB2312" w:cs="仿宋_GB2312"/>
          <w:color w:val="auto"/>
          <w:sz w:val="32"/>
          <w:szCs w:val="32"/>
        </w:rPr>
        <w:t>能力</w:t>
      </w:r>
      <w:r>
        <w:rPr>
          <w:rFonts w:hint="eastAsia" w:ascii="仿宋_GB2312" w:hAnsi="仿宋_GB2312" w:eastAsia="仿宋_GB2312" w:cs="仿宋_GB2312"/>
          <w:color w:val="auto"/>
          <w:sz w:val="32"/>
          <w:szCs w:val="32"/>
          <w:lang w:eastAsia="zh-CN"/>
        </w:rPr>
        <w:t>。加强</w:t>
      </w:r>
      <w:r>
        <w:rPr>
          <w:rFonts w:hint="eastAsia" w:ascii="仿宋_GB2312" w:hAnsi="仿宋_GB2312" w:eastAsia="仿宋_GB2312" w:cs="仿宋_GB2312"/>
          <w:color w:val="auto"/>
          <w:sz w:val="32"/>
          <w:szCs w:val="32"/>
          <w:lang w:val="en-US" w:eastAsia="zh-CN"/>
        </w:rPr>
        <w:t>12345</w:t>
      </w:r>
      <w:r>
        <w:rPr>
          <w:rFonts w:hint="eastAsia" w:ascii="仿宋_GB2312" w:hAnsi="仿宋_GB2312" w:eastAsia="仿宋_GB2312" w:cs="仿宋_GB2312"/>
          <w:color w:val="auto"/>
          <w:sz w:val="32"/>
          <w:szCs w:val="32"/>
          <w:lang w:eastAsia="zh-CN"/>
        </w:rPr>
        <w:t>政务热线闭环管理，实行常态化通报反馈制度，强化工作人员能力提升，提高热线办件质量。</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eastAsia" w:ascii="国标楷体" w:hAnsi="国标楷体" w:eastAsia="国标楷体" w:cs="国标楷体"/>
          <w:b/>
          <w:bCs/>
          <w:color w:val="auto"/>
          <w:sz w:val="32"/>
          <w:szCs w:val="32"/>
          <w:lang w:val="en-US" w:eastAsia="zh-CN"/>
        </w:rPr>
      </w:pPr>
      <w:r>
        <w:rPr>
          <w:rFonts w:hint="eastAsia" w:ascii="国标楷体" w:hAnsi="国标楷体" w:eastAsia="国标楷体" w:cs="国标楷体"/>
          <w:b/>
          <w:bCs/>
          <w:color w:val="auto"/>
          <w:sz w:val="32"/>
          <w:szCs w:val="32"/>
          <w:lang w:val="en-US" w:eastAsia="zh-CN"/>
        </w:rPr>
        <w:t xml:space="preserve"> </w:t>
      </w:r>
    </w:p>
    <w:p>
      <w:pPr>
        <w:pStyle w:val="5"/>
        <w:keepNext w:val="0"/>
        <w:keepLines w:val="0"/>
        <w:pageBreakBefore w:val="0"/>
        <w:kinsoku/>
        <w:wordWrap/>
        <w:overflowPunct/>
        <w:topLinePunct w:val="0"/>
        <w:autoSpaceDE/>
        <w:autoSpaceDN/>
        <w:bidi w:val="0"/>
        <w:adjustRightInd/>
        <w:snapToGrid/>
        <w:spacing w:before="0" w:line="560" w:lineRule="exact"/>
        <w:ind w:firstLine="4480" w:firstLineChars="1400"/>
        <w:jc w:val="both"/>
        <w:textAlignment w:val="auto"/>
        <w:rPr>
          <w:rFonts w:hint="eastAsia" w:ascii="仿宋_GB2312" w:hAnsi="仿宋_GB2312" w:eastAsia="仿宋_GB2312" w:cs="仿宋_GB2312"/>
          <w:b w:val="0"/>
          <w:bCs w:val="0"/>
          <w:color w:val="auto"/>
          <w:spacing w:val="0"/>
          <w:kern w:val="2"/>
          <w:sz w:val="32"/>
          <w:szCs w:val="32"/>
          <w:lang w:val="en-US" w:eastAsia="zh-CN" w:bidi="ar-SA"/>
        </w:rPr>
      </w:pPr>
      <w:r>
        <w:rPr>
          <w:rFonts w:hint="eastAsia" w:ascii="仿宋_GB2312" w:hAnsi="仿宋_GB2312" w:eastAsia="仿宋_GB2312" w:cs="仿宋_GB2312"/>
          <w:b w:val="0"/>
          <w:bCs w:val="0"/>
          <w:color w:val="auto"/>
          <w:spacing w:val="0"/>
          <w:kern w:val="2"/>
          <w:sz w:val="32"/>
          <w:szCs w:val="32"/>
          <w:lang w:val="en-US" w:eastAsia="zh-CN" w:bidi="ar-SA"/>
        </w:rPr>
        <w:t>阳城县行政审批服务管理局</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val="0"/>
          <w:bCs w:val="0"/>
          <w:color w:val="auto"/>
          <w:spacing w:val="0"/>
          <w:kern w:val="2"/>
          <w:sz w:val="32"/>
          <w:szCs w:val="32"/>
          <w:lang w:val="en-US" w:eastAsia="zh-CN" w:bidi="ar-SA"/>
        </w:rPr>
        <w:t xml:space="preserve">                            2025年12月30日</w:t>
      </w:r>
    </w:p>
    <w:sectPr>
      <w:footerReference r:id="rId3" w:type="default"/>
      <w:pgSz w:w="11906" w:h="16838"/>
      <w:pgMar w:top="2098" w:right="1474" w:bottom="1984" w:left="1587" w:header="851" w:footer="141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国标楷体">
    <w:altName w:val="楷体_GB2312"/>
    <w:panose1 w:val="02000500000000000000"/>
    <w:charset w:val="86"/>
    <w:family w:val="auto"/>
    <w:pitch w:val="default"/>
    <w:sig w:usb0="00000000" w:usb1="00000000" w:usb2="00000000"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8"/>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9293B0"/>
    <w:multiLevelType w:val="multilevel"/>
    <w:tmpl w:val="799293B0"/>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6"/>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6D6B65"/>
    <w:rsid w:val="00D33667"/>
    <w:rsid w:val="00FC02BF"/>
    <w:rsid w:val="01CD7566"/>
    <w:rsid w:val="023575E5"/>
    <w:rsid w:val="03CE5F43"/>
    <w:rsid w:val="05F94DCD"/>
    <w:rsid w:val="062A31D9"/>
    <w:rsid w:val="07571DAC"/>
    <w:rsid w:val="07E37665"/>
    <w:rsid w:val="09DB3168"/>
    <w:rsid w:val="0C0A7D34"/>
    <w:rsid w:val="0CE702C2"/>
    <w:rsid w:val="0D18382D"/>
    <w:rsid w:val="0DB2F66F"/>
    <w:rsid w:val="0E1F7BDE"/>
    <w:rsid w:val="0EB67D00"/>
    <w:rsid w:val="0F9D0EBF"/>
    <w:rsid w:val="0FF46D31"/>
    <w:rsid w:val="164B3423"/>
    <w:rsid w:val="16781492"/>
    <w:rsid w:val="17B60D70"/>
    <w:rsid w:val="17DFC206"/>
    <w:rsid w:val="17E92EF4"/>
    <w:rsid w:val="18D94D16"/>
    <w:rsid w:val="19BB840E"/>
    <w:rsid w:val="1AA41354"/>
    <w:rsid w:val="1AE300CE"/>
    <w:rsid w:val="1CAB2919"/>
    <w:rsid w:val="1CEE0979"/>
    <w:rsid w:val="1D9E208B"/>
    <w:rsid w:val="1DC44F32"/>
    <w:rsid w:val="1DDD331D"/>
    <w:rsid w:val="1E796654"/>
    <w:rsid w:val="1F220A99"/>
    <w:rsid w:val="1F751511"/>
    <w:rsid w:val="1FFE9023"/>
    <w:rsid w:val="209D0D1F"/>
    <w:rsid w:val="21004E0A"/>
    <w:rsid w:val="215F4227"/>
    <w:rsid w:val="22703ACF"/>
    <w:rsid w:val="244E362D"/>
    <w:rsid w:val="247F49F9"/>
    <w:rsid w:val="25290DD3"/>
    <w:rsid w:val="261C6242"/>
    <w:rsid w:val="293D4E4D"/>
    <w:rsid w:val="2A73489F"/>
    <w:rsid w:val="2B004385"/>
    <w:rsid w:val="2BB73319"/>
    <w:rsid w:val="2BDF043E"/>
    <w:rsid w:val="2CC633AC"/>
    <w:rsid w:val="2DEF248E"/>
    <w:rsid w:val="2FD90941"/>
    <w:rsid w:val="2FEC50C0"/>
    <w:rsid w:val="31666F0B"/>
    <w:rsid w:val="318555E4"/>
    <w:rsid w:val="33A87367"/>
    <w:rsid w:val="33F8B3B5"/>
    <w:rsid w:val="342E1A85"/>
    <w:rsid w:val="36127662"/>
    <w:rsid w:val="36B10C29"/>
    <w:rsid w:val="36B349A1"/>
    <w:rsid w:val="36FE8F83"/>
    <w:rsid w:val="386A5533"/>
    <w:rsid w:val="38EE7F12"/>
    <w:rsid w:val="398E3600"/>
    <w:rsid w:val="3A165C0C"/>
    <w:rsid w:val="3AA30888"/>
    <w:rsid w:val="3B653D90"/>
    <w:rsid w:val="3BBBE820"/>
    <w:rsid w:val="3C395948"/>
    <w:rsid w:val="3C97266F"/>
    <w:rsid w:val="3ED7905D"/>
    <w:rsid w:val="3F43263A"/>
    <w:rsid w:val="3F701113"/>
    <w:rsid w:val="40DC68A2"/>
    <w:rsid w:val="45216F7A"/>
    <w:rsid w:val="467001B9"/>
    <w:rsid w:val="46FFC791"/>
    <w:rsid w:val="47395E3D"/>
    <w:rsid w:val="4860425D"/>
    <w:rsid w:val="490E1F0B"/>
    <w:rsid w:val="4A6D6B65"/>
    <w:rsid w:val="4AB4263E"/>
    <w:rsid w:val="4B6F7651"/>
    <w:rsid w:val="4BFBCA2D"/>
    <w:rsid w:val="4C013661"/>
    <w:rsid w:val="4E041130"/>
    <w:rsid w:val="4EDF5575"/>
    <w:rsid w:val="4F05653E"/>
    <w:rsid w:val="4FB25D8F"/>
    <w:rsid w:val="4FF71974"/>
    <w:rsid w:val="4FF76959"/>
    <w:rsid w:val="53DB8F3B"/>
    <w:rsid w:val="55052414"/>
    <w:rsid w:val="57CB82E6"/>
    <w:rsid w:val="582E1C82"/>
    <w:rsid w:val="59F72BF9"/>
    <w:rsid w:val="5ADA39FB"/>
    <w:rsid w:val="5BB7217B"/>
    <w:rsid w:val="5BFB2CC8"/>
    <w:rsid w:val="5BFFA174"/>
    <w:rsid w:val="5D7D3957"/>
    <w:rsid w:val="5DDD1D50"/>
    <w:rsid w:val="5E5F0228"/>
    <w:rsid w:val="5EB5A970"/>
    <w:rsid w:val="5ED66BCF"/>
    <w:rsid w:val="5EF7FB0D"/>
    <w:rsid w:val="5FD72BFF"/>
    <w:rsid w:val="5FD99613"/>
    <w:rsid w:val="6037544B"/>
    <w:rsid w:val="612B1454"/>
    <w:rsid w:val="616D20F2"/>
    <w:rsid w:val="63BF6B28"/>
    <w:rsid w:val="63CF2B06"/>
    <w:rsid w:val="648570CD"/>
    <w:rsid w:val="652E506F"/>
    <w:rsid w:val="65F30067"/>
    <w:rsid w:val="66255669"/>
    <w:rsid w:val="6910780F"/>
    <w:rsid w:val="69324B5A"/>
    <w:rsid w:val="6A975F8F"/>
    <w:rsid w:val="6B4C07EA"/>
    <w:rsid w:val="6D034F3B"/>
    <w:rsid w:val="6DF511D8"/>
    <w:rsid w:val="6F8F4748"/>
    <w:rsid w:val="6FC32969"/>
    <w:rsid w:val="6FF5527E"/>
    <w:rsid w:val="708A15C7"/>
    <w:rsid w:val="72563E57"/>
    <w:rsid w:val="73C82B32"/>
    <w:rsid w:val="73CA68AB"/>
    <w:rsid w:val="74836A59"/>
    <w:rsid w:val="75DF39AE"/>
    <w:rsid w:val="75E3A3C5"/>
    <w:rsid w:val="767FE870"/>
    <w:rsid w:val="771B8BB1"/>
    <w:rsid w:val="7796DF85"/>
    <w:rsid w:val="77BE58C4"/>
    <w:rsid w:val="77FB9D6B"/>
    <w:rsid w:val="78DE6954"/>
    <w:rsid w:val="797645FB"/>
    <w:rsid w:val="79EE2829"/>
    <w:rsid w:val="7A144B37"/>
    <w:rsid w:val="7A8E533A"/>
    <w:rsid w:val="7AAEF40C"/>
    <w:rsid w:val="7ADFD700"/>
    <w:rsid w:val="7B7F5C88"/>
    <w:rsid w:val="7BBF29A4"/>
    <w:rsid w:val="7BCB64C3"/>
    <w:rsid w:val="7BF75405"/>
    <w:rsid w:val="7BFD7088"/>
    <w:rsid w:val="7C7F71AB"/>
    <w:rsid w:val="7CB3CD7E"/>
    <w:rsid w:val="7CC61688"/>
    <w:rsid w:val="7CEBC17E"/>
    <w:rsid w:val="7D00333D"/>
    <w:rsid w:val="7DF1CEEC"/>
    <w:rsid w:val="7E1F5D5B"/>
    <w:rsid w:val="7E2F96AD"/>
    <w:rsid w:val="7E32CE58"/>
    <w:rsid w:val="7E5E656D"/>
    <w:rsid w:val="7EBE47EA"/>
    <w:rsid w:val="7EFB6A83"/>
    <w:rsid w:val="7F37C8F7"/>
    <w:rsid w:val="7F6F8FE2"/>
    <w:rsid w:val="7F7B24B0"/>
    <w:rsid w:val="7FB62DF1"/>
    <w:rsid w:val="7FB7013C"/>
    <w:rsid w:val="7FBCC457"/>
    <w:rsid w:val="7FDE4794"/>
    <w:rsid w:val="7FEB28FA"/>
    <w:rsid w:val="7FEEC540"/>
    <w:rsid w:val="7FF82717"/>
    <w:rsid w:val="7FFF01C2"/>
    <w:rsid w:val="7FFFB6C6"/>
    <w:rsid w:val="8EF5B483"/>
    <w:rsid w:val="9779D394"/>
    <w:rsid w:val="9BFE9F6D"/>
    <w:rsid w:val="9E7FC5EA"/>
    <w:rsid w:val="9FFF2301"/>
    <w:rsid w:val="A5E76AFE"/>
    <w:rsid w:val="A7E3049B"/>
    <w:rsid w:val="B2FC8665"/>
    <w:rsid w:val="B338FFCE"/>
    <w:rsid w:val="B3DDC0D8"/>
    <w:rsid w:val="B6FE1D0E"/>
    <w:rsid w:val="BBF72872"/>
    <w:rsid w:val="BD9D4FDE"/>
    <w:rsid w:val="BE7E098C"/>
    <w:rsid w:val="BE8AEFCC"/>
    <w:rsid w:val="BEAFAFA9"/>
    <w:rsid w:val="BEB6ACDF"/>
    <w:rsid w:val="BEB78AD4"/>
    <w:rsid w:val="BEF9E5D8"/>
    <w:rsid w:val="BEFB38B9"/>
    <w:rsid w:val="BF376766"/>
    <w:rsid w:val="BF4F8AD1"/>
    <w:rsid w:val="BFFE0A80"/>
    <w:rsid w:val="CDFD7AF8"/>
    <w:rsid w:val="CF9475F4"/>
    <w:rsid w:val="CFF31F75"/>
    <w:rsid w:val="D04B04B0"/>
    <w:rsid w:val="D37902A3"/>
    <w:rsid w:val="D579913B"/>
    <w:rsid w:val="D7CF360F"/>
    <w:rsid w:val="D7DB4E97"/>
    <w:rsid w:val="D7DF0ADB"/>
    <w:rsid w:val="DBEBF013"/>
    <w:rsid w:val="DBF7EE75"/>
    <w:rsid w:val="DFD526DB"/>
    <w:rsid w:val="DFD531D5"/>
    <w:rsid w:val="DFDAD4AD"/>
    <w:rsid w:val="DFEF509E"/>
    <w:rsid w:val="DFFB1777"/>
    <w:rsid w:val="E57D0865"/>
    <w:rsid w:val="E6BDB2E0"/>
    <w:rsid w:val="E7B192B1"/>
    <w:rsid w:val="E7ED6EFE"/>
    <w:rsid w:val="E7FF4C6F"/>
    <w:rsid w:val="EB1B60BF"/>
    <w:rsid w:val="EBBFB4D4"/>
    <w:rsid w:val="EBFEA52F"/>
    <w:rsid w:val="EED2811D"/>
    <w:rsid w:val="EEFE228C"/>
    <w:rsid w:val="EF7E5E9F"/>
    <w:rsid w:val="EFB73559"/>
    <w:rsid w:val="EFDF8E32"/>
    <w:rsid w:val="EFFF4F32"/>
    <w:rsid w:val="F3670FB7"/>
    <w:rsid w:val="F39EF102"/>
    <w:rsid w:val="F3F36D80"/>
    <w:rsid w:val="F5EFA396"/>
    <w:rsid w:val="F63D945F"/>
    <w:rsid w:val="F67B222B"/>
    <w:rsid w:val="F87736FB"/>
    <w:rsid w:val="F99C4A9D"/>
    <w:rsid w:val="FB7DFC28"/>
    <w:rsid w:val="FBB621E9"/>
    <w:rsid w:val="FBDFC4B8"/>
    <w:rsid w:val="FBFA5045"/>
    <w:rsid w:val="FBFBDA3E"/>
    <w:rsid w:val="FCBFF212"/>
    <w:rsid w:val="FD6EFF29"/>
    <w:rsid w:val="FDCB3FEB"/>
    <w:rsid w:val="FDDF7342"/>
    <w:rsid w:val="FDEF1FFF"/>
    <w:rsid w:val="FDEF2C71"/>
    <w:rsid w:val="FDFE1339"/>
    <w:rsid w:val="FEB88CE4"/>
    <w:rsid w:val="FEB93C46"/>
    <w:rsid w:val="FEBA35A7"/>
    <w:rsid w:val="FEE34CA1"/>
    <w:rsid w:val="FF1E9C14"/>
    <w:rsid w:val="FF5640F0"/>
    <w:rsid w:val="FF7A8646"/>
    <w:rsid w:val="FF7EA206"/>
    <w:rsid w:val="FFB754B9"/>
    <w:rsid w:val="FFBB8427"/>
    <w:rsid w:val="FFE82012"/>
    <w:rsid w:val="FFF756A5"/>
    <w:rsid w:val="FFFBBE57"/>
    <w:rsid w:val="FFFBC3F0"/>
    <w:rsid w:val="FFFFD242"/>
    <w:rsid w:val="FFFFDF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3"/>
    <w:basedOn w:val="1"/>
    <w:next w:val="1"/>
    <w:qFormat/>
    <w:uiPriority w:val="0"/>
    <w:pPr>
      <w:keepNext/>
      <w:keepLines/>
      <w:widowControl/>
      <w:numPr>
        <w:ilvl w:val="2"/>
        <w:numId w:val="1"/>
      </w:numPr>
      <w:spacing w:before="120" w:after="120" w:line="360" w:lineRule="auto"/>
      <w:jc w:val="center"/>
      <w:outlineLvl w:val="2"/>
    </w:pPr>
    <w:rPr>
      <w:b/>
      <w:kern w:val="0"/>
      <w:sz w:val="32"/>
      <w:szCs w:val="20"/>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Indent 2"/>
    <w:basedOn w:val="1"/>
    <w:next w:val="3"/>
    <w:unhideWhenUsed/>
    <w:qFormat/>
    <w:uiPriority w:val="99"/>
    <w:pPr>
      <w:spacing w:line="480" w:lineRule="auto"/>
      <w:ind w:left="420" w:leftChars="200"/>
    </w:pPr>
    <w:rPr>
      <w:rFonts w:ascii="Times New Roman" w:hAnsi="Times New Roman" w:eastAsia="宋体" w:cs="Times New Roman"/>
    </w:rPr>
  </w:style>
  <w:style w:type="paragraph" w:styleId="3">
    <w:name w:val="Body Text First Indent 2"/>
    <w:basedOn w:val="4"/>
    <w:next w:val="1"/>
    <w:qFormat/>
    <w:uiPriority w:val="99"/>
    <w:pPr>
      <w:ind w:firstLine="420" w:firstLineChars="200"/>
    </w:pPr>
  </w:style>
  <w:style w:type="paragraph" w:styleId="4">
    <w:name w:val="Body Text Indent"/>
    <w:basedOn w:val="1"/>
    <w:next w:val="5"/>
    <w:qFormat/>
    <w:uiPriority w:val="99"/>
    <w:pPr>
      <w:ind w:left="420" w:leftChars="200"/>
    </w:pPr>
  </w:style>
  <w:style w:type="paragraph" w:styleId="5">
    <w:name w:val="Body Text"/>
    <w:basedOn w:val="1"/>
    <w:next w:val="1"/>
    <w:qFormat/>
    <w:uiPriority w:val="1"/>
    <w:pPr>
      <w:spacing w:before="1"/>
    </w:pPr>
    <w:rPr>
      <w:rFonts w:ascii="宋体" w:hAnsi="宋体" w:eastAsia="宋体" w:cs="宋体"/>
      <w:sz w:val="36"/>
      <w:szCs w:val="36"/>
      <w:lang w:val="zh-CN" w:bidi="zh-CN"/>
    </w:rPr>
  </w:style>
  <w:style w:type="paragraph" w:styleId="7">
    <w:name w:val="Salutation"/>
    <w:basedOn w:val="1"/>
    <w:next w:val="1"/>
    <w:qFormat/>
    <w:uiPriority w:val="0"/>
    <w:pPr>
      <w:suppressAutoHyphens w:val="0"/>
    </w:pPr>
    <w:rPr>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customStyle="1" w:styleId="12">
    <w:name w:val="首行缩进"/>
    <w:basedOn w:val="1"/>
    <w:qFormat/>
    <w:uiPriority w:val="0"/>
    <w:pPr>
      <w:spacing w:line="360" w:lineRule="auto"/>
      <w:ind w:firstLine="480" w:firstLineChars="200"/>
    </w:pPr>
    <w:rPr>
      <w:rFonts w:ascii="Calibri" w:hAnsi="Calibri" w:cs="Times New Roman"/>
      <w:sz w:val="24"/>
      <w:szCs w:val="22"/>
      <w:lang w:val="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8724</Words>
  <Characters>9038</Characters>
  <Lines>0</Lines>
  <Paragraphs>0</Paragraphs>
  <TotalTime>0</TotalTime>
  <ScaleCrop>false</ScaleCrop>
  <LinksUpToDate>false</LinksUpToDate>
  <CharactersWithSpaces>9068</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2025-08-04T10:17:00Z</dcterms:created>
  <dc:creator>郭培育</dc:creator>
  <cp:lastModifiedBy>Administrator</cp:lastModifiedBy>
  <cp:lastPrinted>2025-10-17T19:41:00Z</cp:lastPrinted>
  <dcterms:modified xsi:type="dcterms:W3CDTF">2026-09-09T01:27:22Z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6BF6D44F4AD644539DCB6007037C8473_13</vt:lpwstr>
  </property>
  <property fmtid="{D5CDD505-2E9C-101B-9397-08002B2CF9AE}" pid="4" name="KSOTemplateDocerSaveRecord">
    <vt:lpwstr>eyJoZGlkIjoiNDQ5ODg4YTQwYzZhOTVhYThhOGY2YTQ2MGYwNDA2MzkiLCJ1c2VySWQiOiIxMDU5MDI0MTI5In0=</vt:lpwstr>
  </property>
</Properties>
</file>