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left"/>
        <w:rPr>
          <w:rFonts w:ascii="宋体" w:hAnsi="宋体"/>
          <w:b/>
          <w:color w:val="auto"/>
          <w:sz w:val="44"/>
          <w:u w:val="single"/>
        </w:rPr>
      </w:pPr>
      <w:r>
        <w:rPr>
          <w:rFonts w:hint="eastAsia" w:ascii="宋体" w:hAnsi="宋体"/>
          <w:b/>
          <w:color w:val="auto"/>
          <w:sz w:val="44"/>
          <w:u w:val="single"/>
        </w:rPr>
        <w:t xml:space="preserve">      </w:t>
      </w:r>
      <w:r>
        <w:rPr>
          <w:rFonts w:hint="eastAsia" w:ascii="方正小标宋简体" w:hAnsi="方正小标宋简体" w:eastAsia="方正小标宋简体" w:cs="方正小标宋简体"/>
          <w:b/>
          <w:color w:val="auto"/>
          <w:sz w:val="44"/>
          <w:u w:val="single"/>
        </w:rPr>
        <w:t xml:space="preserve"> </w:t>
      </w:r>
      <w:r>
        <w:rPr>
          <w:rFonts w:hint="eastAsia" w:ascii="方正小标宋简体" w:hAnsi="方正小标宋简体" w:eastAsia="方正小标宋简体" w:cs="方正小标宋简体"/>
          <w:b/>
          <w:color w:val="auto"/>
          <w:spacing w:val="0"/>
          <w:sz w:val="44"/>
          <w:u w:val="single"/>
        </w:rPr>
        <w:t>阳城县行政审批服务管理局</w:t>
      </w:r>
      <w:r>
        <w:rPr>
          <w:rFonts w:hint="eastAsia" w:ascii="方正小标宋简体" w:hAnsi="方正小标宋简体" w:eastAsia="方正小标宋简体" w:cs="方正小标宋简体"/>
          <w:b/>
          <w:color w:val="auto"/>
          <w:sz w:val="44"/>
          <w:u w:val="single"/>
        </w:rPr>
        <w:t xml:space="preserve"> </w:t>
      </w:r>
      <w:r>
        <w:rPr>
          <w:rFonts w:hint="eastAsia" w:ascii="宋体" w:hAnsi="宋体"/>
          <w:b/>
          <w:color w:val="auto"/>
          <w:sz w:val="44"/>
          <w:u w:val="single"/>
        </w:rPr>
        <w:t xml:space="preserve">       </w:t>
      </w:r>
    </w:p>
    <w:p>
      <w:pPr>
        <w:keepNext w:val="0"/>
        <w:keepLines w:val="0"/>
        <w:pageBreakBefore w:val="0"/>
        <w:wordWrap/>
        <w:topLinePunct w:val="0"/>
        <w:bidi w:val="0"/>
        <w:spacing w:line="560" w:lineRule="exact"/>
        <w:ind w:left="0"/>
        <w:jc w:val="left"/>
        <w:rPr>
          <w:rFonts w:hint="default" w:ascii="宋体" w:hAnsi="宋体" w:eastAsia="宋体"/>
          <w:b/>
          <w:color w:val="auto"/>
          <w:sz w:val="30"/>
          <w:u w:val="none"/>
          <w:lang w:val="en-US" w:eastAsia="zh-CN"/>
        </w:rPr>
      </w:pPr>
      <w:r>
        <w:rPr>
          <w:rFonts w:hint="eastAsia" w:ascii="宋体" w:hAnsi="宋体"/>
          <w:b/>
          <w:color w:val="auto"/>
          <w:sz w:val="30"/>
          <w:u w:val="none"/>
          <w:lang w:val="en-US" w:eastAsia="zh-CN"/>
        </w:rPr>
        <w:t xml:space="preserve">                                             A</w:t>
      </w:r>
    </w:p>
    <w:p>
      <w:pPr>
        <w:keepNext w:val="0"/>
        <w:keepLines w:val="0"/>
        <w:pageBreakBefore w:val="0"/>
        <w:wordWrap/>
        <w:topLinePunct w:val="0"/>
        <w:bidi w:val="0"/>
        <w:spacing w:after="0" w:afterLines="0" w:line="600" w:lineRule="exact"/>
        <w:ind w:left="0"/>
        <w:jc w:val="center"/>
        <w:rPr>
          <w:rFonts w:hint="eastAsia" w:ascii="宋体" w:hAnsi="宋体"/>
          <w:b/>
          <w:color w:val="auto"/>
          <w:sz w:val="44"/>
        </w:rPr>
      </w:pPr>
      <w:r>
        <w:rPr>
          <w:rFonts w:hint="eastAsia" w:ascii="宋体" w:hAnsi="宋体"/>
          <w:b/>
          <w:color w:val="auto"/>
          <w:sz w:val="44"/>
        </w:rPr>
        <w:t>关于对县</w:t>
      </w:r>
      <w:r>
        <w:rPr>
          <w:rFonts w:hint="eastAsia" w:ascii="宋体" w:hAnsi="宋体"/>
          <w:b/>
          <w:color w:val="auto"/>
          <w:sz w:val="44"/>
          <w:lang w:val="en-US" w:eastAsia="zh-CN"/>
        </w:rPr>
        <w:t>政协十五</w:t>
      </w:r>
      <w:r>
        <w:rPr>
          <w:rFonts w:hint="eastAsia" w:ascii="宋体" w:hAnsi="宋体"/>
          <w:b/>
          <w:color w:val="auto"/>
          <w:sz w:val="44"/>
        </w:rPr>
        <w:t>届</w:t>
      </w:r>
      <w:r>
        <w:rPr>
          <w:rFonts w:hint="eastAsia" w:ascii="宋体" w:hAnsi="宋体"/>
          <w:b/>
          <w:color w:val="auto"/>
          <w:sz w:val="44"/>
          <w:lang w:val="en-US" w:eastAsia="zh-CN"/>
        </w:rPr>
        <w:t>四</w:t>
      </w:r>
      <w:r>
        <w:rPr>
          <w:rFonts w:hint="eastAsia" w:ascii="宋体" w:hAnsi="宋体"/>
          <w:b/>
          <w:color w:val="auto"/>
          <w:sz w:val="44"/>
        </w:rPr>
        <w:t>次会议第</w:t>
      </w:r>
      <w:r>
        <w:rPr>
          <w:rFonts w:hint="eastAsia" w:ascii="宋体" w:hAnsi="宋体"/>
          <w:b/>
          <w:color w:val="auto"/>
          <w:sz w:val="44"/>
          <w:lang w:val="en-US" w:eastAsia="zh-CN"/>
        </w:rPr>
        <w:t>48</w:t>
      </w:r>
      <w:r>
        <w:rPr>
          <w:rFonts w:hint="eastAsia" w:ascii="宋体" w:hAnsi="宋体"/>
          <w:b/>
          <w:color w:val="auto"/>
          <w:sz w:val="44"/>
        </w:rPr>
        <w:t>号</w:t>
      </w:r>
    </w:p>
    <w:p>
      <w:pPr>
        <w:keepNext w:val="0"/>
        <w:keepLines w:val="0"/>
        <w:pageBreakBefore w:val="0"/>
        <w:wordWrap/>
        <w:topLinePunct w:val="0"/>
        <w:bidi w:val="0"/>
        <w:spacing w:after="0" w:afterLines="0" w:line="600" w:lineRule="exact"/>
        <w:ind w:left="0"/>
        <w:jc w:val="center"/>
        <w:rPr>
          <w:rFonts w:hint="eastAsia" w:ascii="宋体" w:hAnsi="宋体"/>
          <w:b/>
          <w:color w:val="auto"/>
          <w:sz w:val="44"/>
        </w:rPr>
      </w:pPr>
      <w:r>
        <w:rPr>
          <w:rFonts w:hint="eastAsia" w:ascii="宋体" w:hAnsi="宋体"/>
          <w:b/>
          <w:color w:val="auto"/>
          <w:sz w:val="44"/>
          <w:lang w:val="en-US" w:eastAsia="zh-CN"/>
        </w:rPr>
        <w:t>提案</w:t>
      </w:r>
      <w:r>
        <w:rPr>
          <w:rFonts w:hint="eastAsia" w:ascii="宋体" w:hAnsi="宋体"/>
          <w:b/>
          <w:color w:val="auto"/>
          <w:sz w:val="44"/>
        </w:rPr>
        <w:t>的答复</w:t>
      </w:r>
    </w:p>
    <w:p>
      <w:pPr>
        <w:pStyle w:val="5"/>
        <w:keepNext w:val="0"/>
        <w:keepLines w:val="0"/>
        <w:pageBreakBefore w:val="0"/>
        <w:wordWrap/>
        <w:topLinePunct w:val="0"/>
        <w:bidi w:val="0"/>
        <w:spacing w:line="600" w:lineRule="exact"/>
        <w:ind w:left="0"/>
        <w:rPr>
          <w:rFonts w:hint="eastAsia"/>
          <w:color w:val="auto"/>
          <w:lang w:eastAsia="zh-CN"/>
        </w:rPr>
      </w:pPr>
    </w:p>
    <w:p>
      <w:pPr>
        <w:keepNext w:val="0"/>
        <w:keepLines w:val="0"/>
        <w:pageBreakBefore w:val="0"/>
        <w:widowControl/>
        <w:kinsoku w:val="0"/>
        <w:wordWrap/>
        <w:overflowPunct/>
        <w:topLinePunct w:val="0"/>
        <w:autoSpaceDE w:val="0"/>
        <w:autoSpaceDN w:val="0"/>
        <w:bidi w:val="0"/>
        <w:adjustRightInd w:val="0"/>
        <w:snapToGrid w:val="0"/>
        <w:spacing w:after="0" w:afterLines="0" w:line="600" w:lineRule="exact"/>
        <w:ind w:left="0" w:leftChars="0"/>
        <w:jc w:val="both"/>
        <w:textAlignment w:val="baseline"/>
        <w:outlineLvl w:val="9"/>
        <w:rPr>
          <w:rFonts w:hint="eastAsia" w:ascii="仿宋" w:hAnsi="仿宋" w:eastAsia="仿宋" w:cs="仿宋"/>
          <w:color w:val="auto"/>
          <w:spacing w:val="0"/>
          <w:w w:val="100"/>
          <w:sz w:val="32"/>
          <w:lang w:eastAsia="zh-CN"/>
        </w:rPr>
      </w:pPr>
      <w:r>
        <w:rPr>
          <w:rFonts w:hint="eastAsia" w:ascii="仿宋" w:hAnsi="仿宋" w:eastAsia="仿宋" w:cs="仿宋"/>
          <w:color w:val="auto"/>
          <w:spacing w:val="0"/>
          <w:w w:val="100"/>
          <w:sz w:val="32"/>
          <w:lang w:val="en-US" w:eastAsia="zh-CN"/>
        </w:rPr>
        <w:t>张晓军委员</w:t>
      </w:r>
      <w:r>
        <w:rPr>
          <w:rFonts w:hint="eastAsia" w:ascii="仿宋" w:hAnsi="仿宋" w:eastAsia="仿宋" w:cs="仿宋"/>
          <w:color w:val="auto"/>
          <w:spacing w:val="0"/>
          <w:w w:val="100"/>
          <w:sz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after="0" w:afterLines="0" w:line="600" w:lineRule="exact"/>
        <w:ind w:left="0" w:leftChars="0" w:firstLine="659"/>
        <w:jc w:val="both"/>
        <w:textAlignment w:val="baseline"/>
        <w:outlineLvl w:val="9"/>
        <w:rPr>
          <w:rFonts w:hint="eastAsia" w:ascii="仿宋" w:hAnsi="仿宋" w:eastAsia="仿宋" w:cs="仿宋"/>
          <w:color w:val="auto"/>
          <w:spacing w:val="0"/>
          <w:w w:val="100"/>
          <w:sz w:val="32"/>
          <w:lang w:eastAsia="zh-CN"/>
        </w:rPr>
      </w:pPr>
      <w:r>
        <w:rPr>
          <w:rFonts w:hint="eastAsia" w:ascii="仿宋" w:hAnsi="仿宋" w:eastAsia="仿宋" w:cs="仿宋"/>
          <w:color w:val="auto"/>
          <w:spacing w:val="0"/>
          <w:w w:val="100"/>
          <w:sz w:val="32"/>
          <w:lang w:eastAsia="zh-CN"/>
        </w:rPr>
        <w:t>您提出的</w:t>
      </w:r>
      <w:r>
        <w:rPr>
          <w:rFonts w:hint="eastAsia" w:ascii="仿宋" w:hAnsi="仿宋" w:eastAsia="仿宋" w:cs="仿宋"/>
          <w:color w:val="auto"/>
          <w:spacing w:val="0"/>
          <w:w w:val="100"/>
          <w:sz w:val="32"/>
          <w:lang w:val="en-US" w:eastAsia="zh-CN"/>
        </w:rPr>
        <w:t>48</w:t>
      </w:r>
      <w:r>
        <w:rPr>
          <w:rFonts w:hint="eastAsia" w:ascii="仿宋" w:hAnsi="仿宋" w:eastAsia="仿宋" w:cs="仿宋"/>
          <w:color w:val="auto"/>
          <w:spacing w:val="0"/>
          <w:w w:val="100"/>
          <w:sz w:val="32"/>
          <w:lang w:eastAsia="zh-CN"/>
        </w:rPr>
        <w:t>号关于</w:t>
      </w:r>
      <w:r>
        <w:rPr>
          <w:rFonts w:hint="eastAsia" w:ascii="仿宋" w:hAnsi="仿宋" w:eastAsia="仿宋" w:cs="仿宋"/>
          <w:color w:val="auto"/>
          <w:spacing w:val="0"/>
          <w:w w:val="100"/>
          <w:sz w:val="32"/>
          <w:lang w:val="en-US" w:eastAsia="zh-CN"/>
        </w:rPr>
        <w:t>进一步</w:t>
      </w:r>
      <w:r>
        <w:rPr>
          <w:rFonts w:hint="eastAsia" w:ascii="仿宋" w:hAnsi="仿宋" w:eastAsia="仿宋" w:cs="仿宋"/>
          <w:color w:val="auto"/>
          <w:spacing w:val="0"/>
          <w:w w:val="100"/>
          <w:sz w:val="32"/>
          <w:lang w:eastAsia="zh-CN"/>
        </w:rPr>
        <w:t>优化营商环境的</w:t>
      </w:r>
      <w:r>
        <w:rPr>
          <w:rFonts w:hint="eastAsia" w:ascii="仿宋" w:hAnsi="仿宋" w:eastAsia="仿宋" w:cs="仿宋"/>
          <w:color w:val="auto"/>
          <w:spacing w:val="0"/>
          <w:w w:val="100"/>
          <w:sz w:val="32"/>
          <w:lang w:val="en-US" w:eastAsia="zh-CN"/>
        </w:rPr>
        <w:t>提案</w:t>
      </w:r>
      <w:r>
        <w:rPr>
          <w:rFonts w:hint="eastAsia" w:ascii="仿宋" w:hAnsi="仿宋" w:eastAsia="仿宋" w:cs="仿宋"/>
          <w:color w:val="auto"/>
          <w:spacing w:val="0"/>
          <w:w w:val="100"/>
          <w:sz w:val="32"/>
          <w:lang w:eastAsia="zh-CN"/>
        </w:rPr>
        <w:t>收悉。现答复如下：</w:t>
      </w:r>
    </w:p>
    <w:p>
      <w:pPr>
        <w:pStyle w:val="8"/>
        <w:keepNext w:val="0"/>
        <w:keepLines w:val="0"/>
        <w:pageBreakBefore w:val="0"/>
        <w:wordWrap/>
        <w:overflowPunct/>
        <w:topLinePunct w:val="0"/>
        <w:bidi w:val="0"/>
        <w:spacing w:line="600" w:lineRule="exact"/>
        <w:ind w:left="0" w:firstLine="640" w:firstLineChars="200"/>
        <w:rPr>
          <w:rFonts w:hint="eastAsia" w:ascii="仿宋" w:hAnsi="仿宋" w:eastAsia="仿宋" w:cs="仿宋"/>
          <w:color w:val="auto"/>
          <w:lang w:eastAsia="zh-CN"/>
        </w:rPr>
      </w:pPr>
      <w:r>
        <w:rPr>
          <w:rFonts w:hint="eastAsia" w:ascii="仿宋" w:hAnsi="仿宋" w:eastAsia="仿宋" w:cs="仿宋"/>
          <w:color w:val="auto"/>
          <w:spacing w:val="0"/>
          <w:w w:val="100"/>
          <w:sz w:val="32"/>
          <w:lang w:eastAsia="zh-CN"/>
        </w:rPr>
        <w:t>为认真</w:t>
      </w:r>
      <w:r>
        <w:rPr>
          <w:rFonts w:hint="eastAsia" w:ascii="仿宋" w:hAnsi="仿宋" w:eastAsia="仿宋" w:cs="仿宋"/>
          <w:color w:val="auto"/>
          <w:spacing w:val="0"/>
          <w:w w:val="100"/>
          <w:sz w:val="32"/>
          <w:lang w:val="en-US" w:eastAsia="zh-CN"/>
        </w:rPr>
        <w:t>贯彻落实省委省政府、市委市政府关于优化营商环境决策部署，我县聚力改革攻坚，强化政策落实，抓好经济工作中“营商环境”这个第一要件，为全县经济高质量发展提供坚实保障。</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left="0" w:firstLine="640" w:firstLineChars="200"/>
        <w:textAlignment w:val="auto"/>
        <w:rPr>
          <w:rFonts w:hint="eastAsia" w:ascii="黑体" w:hAnsi="黑体" w:eastAsia="黑体" w:cs="黑体"/>
          <w:color w:val="auto"/>
          <w:spacing w:val="0"/>
          <w:w w:val="100"/>
          <w:sz w:val="32"/>
          <w:lang w:val="en-US" w:eastAsia="zh-CN"/>
        </w:rPr>
      </w:pPr>
      <w:r>
        <w:rPr>
          <w:rFonts w:hint="eastAsia" w:ascii="黑体" w:hAnsi="黑体" w:eastAsia="黑体" w:cs="黑体"/>
          <w:color w:val="auto"/>
          <w:spacing w:val="0"/>
          <w:w w:val="100"/>
          <w:sz w:val="32"/>
          <w:lang w:val="en-US" w:eastAsia="zh-CN"/>
        </w:rPr>
        <w:t>一、进一步释放政策红利</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left="0" w:firstLine="683" w:firstLineChars="200"/>
        <w:textAlignment w:val="auto"/>
        <w:rPr>
          <w:rStyle w:val="9"/>
          <w:rFonts w:hint="eastAsia" w:ascii="仿宋" w:hAnsi="仿宋" w:eastAsia="仿宋" w:cs="仿宋"/>
          <w:i w:val="0"/>
          <w:color w:val="auto"/>
          <w:kern w:val="2"/>
          <w:sz w:val="32"/>
          <w:szCs w:val="32"/>
          <w:lang w:val="en-US" w:eastAsia="zh-CN" w:bidi="ar-SA"/>
        </w:rPr>
      </w:pPr>
      <w:r>
        <w:rPr>
          <w:rFonts w:hint="eastAsia" w:ascii="仿宋" w:hAnsi="仿宋" w:eastAsia="仿宋" w:cs="仿宋"/>
          <w:b/>
          <w:bCs/>
          <w:color w:val="auto"/>
          <w:sz w:val="32"/>
          <w:szCs w:val="32"/>
          <w:lang w:val="en-US" w:eastAsia="zh-CN"/>
        </w:rPr>
        <w:t>一是</w:t>
      </w:r>
      <w:r>
        <w:rPr>
          <w:rFonts w:hint="eastAsia" w:ascii="仿宋" w:hAnsi="仿宋" w:eastAsia="仿宋" w:cs="仿宋"/>
          <w:b/>
          <w:bCs/>
          <w:color w:val="auto"/>
          <w:sz w:val="32"/>
          <w:szCs w:val="32"/>
        </w:rPr>
        <w:t>注重狠抓政策落实。</w:t>
      </w:r>
      <w:r>
        <w:rPr>
          <w:rFonts w:hint="eastAsia" w:ascii="仿宋" w:hAnsi="仿宋" w:eastAsia="仿宋" w:cs="仿宋"/>
          <w:b w:val="0"/>
          <w:bCs w:val="0"/>
          <w:color w:val="auto"/>
          <w:sz w:val="32"/>
          <w:szCs w:val="32"/>
          <w:lang w:val="en-US" w:eastAsia="zh-CN"/>
        </w:rPr>
        <w:t>按照省、市</w:t>
      </w:r>
      <w:r>
        <w:rPr>
          <w:rFonts w:hint="eastAsia" w:ascii="仿宋" w:hAnsi="仿宋" w:eastAsia="仿宋" w:cs="仿宋"/>
          <w:b w:val="0"/>
          <w:bCs w:val="0"/>
          <w:color w:val="auto"/>
          <w:kern w:val="2"/>
          <w:sz w:val="32"/>
          <w:szCs w:val="32"/>
          <w:lang w:val="en-US" w:eastAsia="zh-CN" w:bidi="ar-SA"/>
        </w:rPr>
        <w:t>实施营商环境3.0版改革</w:t>
      </w:r>
      <w:r>
        <w:rPr>
          <w:rFonts w:hint="eastAsia" w:ascii="仿宋" w:hAnsi="仿宋" w:eastAsia="仿宋" w:cs="仿宋"/>
          <w:b w:val="0"/>
          <w:bCs w:val="0"/>
          <w:color w:val="auto"/>
          <w:sz w:val="32"/>
          <w:szCs w:val="32"/>
          <w:lang w:val="en-US" w:eastAsia="zh-CN"/>
        </w:rPr>
        <w:t>工作安排，</w:t>
      </w:r>
      <w:r>
        <w:rPr>
          <w:rFonts w:hint="eastAsia" w:ascii="仿宋" w:hAnsi="仿宋" w:eastAsia="仿宋" w:cs="仿宋"/>
          <w:color w:val="auto"/>
          <w:sz w:val="32"/>
          <w:szCs w:val="32"/>
        </w:rPr>
        <w:t>围绕打造法治、政务、信用、人文、要素保障“五个环境”，大力实施营商环境创新提升行动，</w:t>
      </w:r>
      <w:r>
        <w:rPr>
          <w:rFonts w:hint="eastAsia" w:ascii="仿宋" w:hAnsi="仿宋" w:eastAsia="仿宋" w:cs="仿宋"/>
          <w:color w:val="auto"/>
          <w:sz w:val="32"/>
          <w:szCs w:val="32"/>
          <w:lang w:val="en-US" w:eastAsia="zh-CN"/>
        </w:rPr>
        <w:t>2023年</w:t>
      </w:r>
      <w:r>
        <w:rPr>
          <w:rFonts w:hint="eastAsia" w:ascii="仿宋" w:hAnsi="仿宋" w:eastAsia="仿宋" w:cs="仿宋"/>
          <w:color w:val="auto"/>
          <w:sz w:val="32"/>
          <w:szCs w:val="32"/>
        </w:rPr>
        <w:t>推出30项改革举措，</w:t>
      </w:r>
      <w:r>
        <w:rPr>
          <w:rFonts w:hint="eastAsia" w:ascii="仿宋" w:hAnsi="仿宋" w:eastAsia="仿宋" w:cs="仿宋"/>
          <w:color w:val="auto"/>
          <w:sz w:val="32"/>
          <w:szCs w:val="32"/>
          <w:lang w:val="en-US" w:eastAsia="zh-CN"/>
        </w:rPr>
        <w:t>2024年推出52项</w:t>
      </w:r>
      <w:r>
        <w:rPr>
          <w:rFonts w:hint="eastAsia" w:ascii="仿宋" w:hAnsi="仿宋" w:eastAsia="仿宋" w:cs="仿宋"/>
          <w:color w:val="auto"/>
          <w:sz w:val="32"/>
          <w:szCs w:val="32"/>
        </w:rPr>
        <w:t>改革举措</w:t>
      </w:r>
      <w:r>
        <w:rPr>
          <w:rFonts w:hint="eastAsia" w:ascii="仿宋" w:hAnsi="仿宋" w:eastAsia="仿宋" w:cs="仿宋"/>
          <w:color w:val="auto"/>
          <w:sz w:val="32"/>
          <w:szCs w:val="32"/>
          <w:lang w:val="en-US" w:eastAsia="zh-CN"/>
        </w:rPr>
        <w:t>，</w:t>
      </w:r>
      <w:r>
        <w:rPr>
          <w:rFonts w:hint="eastAsia" w:ascii="仿宋" w:hAnsi="仿宋" w:eastAsia="仿宋" w:cs="仿宋"/>
          <w:b w:val="0"/>
          <w:bCs w:val="0"/>
          <w:color w:val="auto"/>
          <w:kern w:val="2"/>
          <w:sz w:val="32"/>
          <w:szCs w:val="32"/>
          <w:lang w:val="en-US" w:eastAsia="zh-CN" w:bidi="ar-SA"/>
        </w:rPr>
        <w:t>靶向施策、精准发力，</w:t>
      </w:r>
      <w:r>
        <w:rPr>
          <w:rFonts w:hint="eastAsia" w:ascii="仿宋" w:hAnsi="仿宋" w:eastAsia="仿宋" w:cs="仿宋"/>
          <w:b w:val="0"/>
          <w:bCs w:val="0"/>
          <w:color w:val="auto"/>
          <w:kern w:val="0"/>
          <w:sz w:val="32"/>
          <w:szCs w:val="32"/>
          <w:lang w:val="en-US" w:eastAsia="zh-CN" w:bidi="ar-SA"/>
        </w:rPr>
        <w:t>更大激发市场主体活力和社会创造力。</w:t>
      </w:r>
      <w:r>
        <w:rPr>
          <w:rFonts w:hint="eastAsia" w:ascii="仿宋" w:hAnsi="仿宋" w:eastAsia="仿宋" w:cs="仿宋"/>
          <w:b/>
          <w:bCs/>
          <w:color w:val="auto"/>
          <w:sz w:val="32"/>
          <w:szCs w:val="32"/>
          <w:lang w:val="en-US" w:eastAsia="zh-CN"/>
        </w:rPr>
        <w:t>二是系统梳理惠企政策。</w:t>
      </w:r>
      <w:r>
        <w:rPr>
          <w:rFonts w:hint="eastAsia" w:ascii="仿宋" w:hAnsi="仿宋" w:eastAsia="仿宋" w:cs="仿宋"/>
          <w:color w:val="auto"/>
          <w:sz w:val="32"/>
          <w:szCs w:val="32"/>
          <w:lang w:val="en-US" w:eastAsia="zh-CN"/>
        </w:rPr>
        <w:t>依托涉企政策一站式平台</w:t>
      </w:r>
      <w:r>
        <w:rPr>
          <w:rFonts w:hint="eastAsia" w:ascii="仿宋" w:hAnsi="仿宋" w:eastAsia="仿宋" w:cs="仿宋"/>
          <w:color w:val="auto"/>
          <w:sz w:val="32"/>
          <w:szCs w:val="32"/>
        </w:rPr>
        <w:t>，推动22家县直单位开通涉企政策服务平台</w:t>
      </w:r>
      <w:r>
        <w:rPr>
          <w:rFonts w:hint="eastAsia" w:ascii="仿宋" w:hAnsi="仿宋" w:eastAsia="仿宋" w:cs="仿宋"/>
          <w:color w:val="auto"/>
          <w:sz w:val="32"/>
          <w:szCs w:val="32"/>
          <w:lang w:eastAsia="zh-CN"/>
        </w:rPr>
        <w:t>账</w:t>
      </w:r>
      <w:r>
        <w:rPr>
          <w:rFonts w:hint="eastAsia" w:ascii="仿宋" w:hAnsi="仿宋" w:eastAsia="仿宋" w:cs="仿宋"/>
          <w:color w:val="auto"/>
          <w:sz w:val="32"/>
          <w:szCs w:val="32"/>
        </w:rPr>
        <w:t>号，</w:t>
      </w:r>
      <w:r>
        <w:rPr>
          <w:rFonts w:hint="eastAsia" w:ascii="仿宋" w:hAnsi="仿宋" w:eastAsia="仿宋" w:cs="仿宋"/>
          <w:b w:val="0"/>
          <w:bCs w:val="0"/>
          <w:color w:val="auto"/>
          <w:kern w:val="2"/>
          <w:sz w:val="32"/>
          <w:szCs w:val="32"/>
          <w:lang w:val="en-US" w:eastAsia="zh-CN" w:bidi="ar-SA"/>
        </w:rPr>
        <w:t>对国家、省、市级层面出台的优惠政策进行系统梳理整合，推进奖补资金“一键</w:t>
      </w:r>
      <w:bookmarkStart w:id="0" w:name="_GoBack"/>
      <w:bookmarkEnd w:id="0"/>
      <w:r>
        <w:rPr>
          <w:rFonts w:hint="eastAsia" w:ascii="仿宋" w:hAnsi="仿宋" w:eastAsia="仿宋" w:cs="仿宋"/>
          <w:b w:val="0"/>
          <w:bCs w:val="0"/>
          <w:color w:val="auto"/>
          <w:kern w:val="2"/>
          <w:sz w:val="32"/>
          <w:szCs w:val="32"/>
          <w:lang w:val="en-US" w:eastAsia="zh-CN" w:bidi="ar-SA"/>
        </w:rPr>
        <w:t>直达”、惠企政策“免申即享”</w:t>
      </w:r>
      <w:r>
        <w:rPr>
          <w:rFonts w:hint="eastAsia" w:ascii="仿宋" w:hAnsi="仿宋" w:eastAsia="仿宋" w:cs="仿宋"/>
          <w:color w:val="auto"/>
          <w:sz w:val="32"/>
          <w:szCs w:val="32"/>
        </w:rPr>
        <w:t>。</w:t>
      </w:r>
      <w:r>
        <w:rPr>
          <w:rFonts w:hint="eastAsia" w:ascii="仿宋" w:hAnsi="仿宋" w:eastAsia="仿宋" w:cs="仿宋"/>
          <w:b/>
          <w:bCs/>
          <w:color w:val="auto"/>
          <w:kern w:val="2"/>
          <w:sz w:val="32"/>
          <w:szCs w:val="32"/>
          <w:lang w:val="en-US" w:eastAsia="zh-CN" w:bidi="ar-SA"/>
        </w:rPr>
        <w:t>三是</w:t>
      </w:r>
      <w:r>
        <w:rPr>
          <w:rFonts w:hint="eastAsia" w:ascii="仿宋" w:hAnsi="仿宋" w:eastAsia="仿宋" w:cs="仿宋"/>
          <w:b/>
          <w:bCs/>
          <w:color w:val="auto"/>
          <w:sz w:val="32"/>
          <w:szCs w:val="32"/>
          <w:lang w:val="en-US" w:eastAsia="zh-CN"/>
        </w:rPr>
        <w:t>开展“新官不理旧账、政策不兑现”问题专项整治。</w:t>
      </w:r>
      <w:r>
        <w:rPr>
          <w:rFonts w:hint="eastAsia" w:ascii="仿宋" w:hAnsi="仿宋" w:eastAsia="仿宋" w:cs="仿宋"/>
          <w:color w:val="auto"/>
          <w:sz w:val="32"/>
          <w:szCs w:val="32"/>
          <w:lang w:val="en-US" w:eastAsia="zh-CN"/>
        </w:rPr>
        <w:t>连续两年</w:t>
      </w:r>
      <w:r>
        <w:rPr>
          <w:rFonts w:hint="eastAsia" w:ascii="仿宋" w:hAnsi="仿宋" w:eastAsia="仿宋" w:cs="仿宋"/>
          <w:color w:val="auto"/>
          <w:sz w:val="32"/>
          <w:szCs w:val="32"/>
        </w:rPr>
        <w:t>对</w:t>
      </w:r>
      <w:r>
        <w:rPr>
          <w:rFonts w:hint="eastAsia" w:ascii="仿宋" w:hAnsi="仿宋" w:eastAsia="仿宋" w:cs="仿宋"/>
          <w:color w:val="auto"/>
          <w:sz w:val="32"/>
          <w:szCs w:val="32"/>
          <w:lang w:val="en-US" w:eastAsia="zh-CN"/>
        </w:rPr>
        <w:t>全县</w:t>
      </w:r>
      <w:r>
        <w:rPr>
          <w:rFonts w:hint="eastAsia" w:ascii="仿宋" w:hAnsi="仿宋" w:eastAsia="仿宋" w:cs="仿宋"/>
          <w:color w:val="auto"/>
          <w:sz w:val="32"/>
          <w:szCs w:val="32"/>
        </w:rPr>
        <w:t>“两不”问题进行全面摸排、积极化解</w:t>
      </w:r>
      <w:r>
        <w:rPr>
          <w:rFonts w:hint="eastAsia" w:ascii="仿宋" w:hAnsi="仿宋" w:eastAsia="仿宋" w:cs="仿宋"/>
          <w:color w:val="auto"/>
          <w:sz w:val="32"/>
          <w:szCs w:val="32"/>
          <w:lang w:val="en-US" w:eastAsia="zh-CN"/>
        </w:rPr>
        <w:t>，稳妥化解历史旧账、兑现政策承诺。截至目前我县已整改29个问题，兑现政策资金共1904.36万元。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left="0" w:firstLine="640" w:firstLineChars="200"/>
        <w:textAlignment w:val="auto"/>
        <w:rPr>
          <w:rFonts w:hint="eastAsia" w:ascii="黑体" w:hAnsi="黑体" w:eastAsia="黑体" w:cs="黑体"/>
          <w:color w:val="auto"/>
          <w:spacing w:val="0"/>
          <w:w w:val="100"/>
          <w:sz w:val="32"/>
          <w:lang w:val="en-US" w:eastAsia="zh-CN"/>
        </w:rPr>
      </w:pPr>
      <w:r>
        <w:rPr>
          <w:rFonts w:hint="eastAsia" w:ascii="黑体" w:hAnsi="黑体" w:eastAsia="黑体" w:cs="黑体"/>
          <w:color w:val="auto"/>
          <w:spacing w:val="0"/>
          <w:w w:val="100"/>
          <w:sz w:val="32"/>
          <w:lang w:val="en-US" w:eastAsia="zh-CN"/>
        </w:rPr>
        <w:t>二、进一步强化企业帮扶引导</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left="0" w:firstLine="683"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一是积极回应企业诉求。</w:t>
      </w:r>
      <w:r>
        <w:rPr>
          <w:rFonts w:hint="eastAsia" w:ascii="仿宋" w:hAnsi="仿宋" w:eastAsia="仿宋" w:cs="仿宋"/>
          <w:b w:val="0"/>
          <w:bCs w:val="0"/>
          <w:color w:val="auto"/>
          <w:sz w:val="32"/>
          <w:szCs w:val="32"/>
          <w:lang w:val="en-US" w:eastAsia="zh-CN"/>
        </w:rPr>
        <w:t>通过公布举报电话、在政务大厅设立“办不成事”反映窗口等方式拓宽群众问题反映渠道。其中“12345”政务服务便民热线作为“营商环境总客服”，采取了一系列措施，形成快速响应、高效办理、主动反馈、跟踪回访的闭环服务机制。今年</w:t>
      </w:r>
      <w:r>
        <w:rPr>
          <w:rFonts w:hint="eastAsia" w:ascii="仿宋" w:hAnsi="仿宋" w:eastAsia="仿宋" w:cs="仿宋"/>
          <w:color w:val="auto"/>
          <w:sz w:val="32"/>
          <w:szCs w:val="32"/>
          <w:lang w:eastAsia="zh-CN"/>
        </w:rPr>
        <w:t>1-6月共受理各类工单2052件，</w:t>
      </w:r>
      <w:r>
        <w:rPr>
          <w:rFonts w:hint="eastAsia" w:ascii="仿宋" w:hAnsi="仿宋" w:eastAsia="仿宋" w:cs="仿宋"/>
          <w:color w:val="auto"/>
          <w:sz w:val="32"/>
          <w:szCs w:val="32"/>
          <w:lang w:val="en-US" w:eastAsia="zh-CN"/>
        </w:rPr>
        <w:t>全部办结</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val="en-US" w:eastAsia="zh-CN"/>
        </w:rPr>
        <w:t>二是提供优质法律服务。</w:t>
      </w:r>
      <w:r>
        <w:rPr>
          <w:rFonts w:hint="eastAsia" w:ascii="仿宋" w:hAnsi="仿宋" w:eastAsia="仿宋" w:cs="仿宋"/>
          <w:color w:val="auto"/>
          <w:sz w:val="32"/>
          <w:szCs w:val="32"/>
        </w:rPr>
        <w:t>建立万所联万会机制，深化民营企业法律服务工作</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目前，共组织晋城市和阳城县</w:t>
      </w:r>
      <w:r>
        <w:rPr>
          <w:rFonts w:hint="eastAsia" w:ascii="仿宋" w:hAnsi="仿宋" w:eastAsia="仿宋" w:cs="仿宋"/>
          <w:color w:val="auto"/>
          <w:sz w:val="32"/>
          <w:szCs w:val="32"/>
          <w:lang w:val="en-US" w:eastAsia="zh-CN"/>
        </w:rPr>
        <w:t>7个律师事务所与全县19个商会进行了对接，助力企业依法经营、规范管理。</w:t>
      </w:r>
      <w:r>
        <w:rPr>
          <w:rFonts w:hint="eastAsia" w:ascii="仿宋" w:hAnsi="仿宋" w:eastAsia="仿宋" w:cs="仿宋"/>
          <w:b/>
          <w:bCs/>
          <w:color w:val="auto"/>
          <w:sz w:val="32"/>
          <w:szCs w:val="32"/>
          <w:lang w:val="en-US" w:eastAsia="zh-CN"/>
        </w:rPr>
        <w:t>三是</w:t>
      </w:r>
      <w:r>
        <w:rPr>
          <w:rFonts w:hint="eastAsia" w:ascii="仿宋" w:hAnsi="仿宋" w:eastAsia="仿宋" w:cs="仿宋"/>
          <w:b/>
          <w:bCs/>
          <w:color w:val="auto"/>
          <w:sz w:val="32"/>
          <w:szCs w:val="32"/>
          <w:lang w:eastAsia="zh-CN"/>
        </w:rPr>
        <w:t>多元化解涉企纠纷。</w:t>
      </w:r>
      <w:r>
        <w:rPr>
          <w:rFonts w:hint="eastAsia" w:ascii="仿宋" w:hAnsi="仿宋" w:eastAsia="仿宋" w:cs="仿宋"/>
          <w:b w:val="0"/>
          <w:bCs w:val="0"/>
          <w:color w:val="auto"/>
          <w:sz w:val="32"/>
          <w:szCs w:val="32"/>
          <w:lang w:eastAsia="zh-CN"/>
        </w:rPr>
        <w:t>组织调解员开展</w:t>
      </w:r>
      <w:r>
        <w:rPr>
          <w:rFonts w:hint="eastAsia" w:ascii="仿宋" w:hAnsi="仿宋" w:eastAsia="仿宋" w:cs="仿宋"/>
          <w:b w:val="0"/>
          <w:bCs w:val="0"/>
          <w:color w:val="auto"/>
          <w:sz w:val="32"/>
          <w:szCs w:val="32"/>
          <w:lang w:val="en-US" w:eastAsia="zh-CN"/>
        </w:rPr>
        <w:t>商事纠纷培训</w:t>
      </w:r>
      <w:r>
        <w:rPr>
          <w:rFonts w:hint="eastAsia" w:ascii="仿宋" w:hAnsi="仿宋" w:eastAsia="仿宋" w:cs="仿宋"/>
          <w:b w:val="0"/>
          <w:bCs w:val="0"/>
          <w:color w:val="auto"/>
          <w:sz w:val="32"/>
          <w:szCs w:val="32"/>
          <w:lang w:eastAsia="zh-CN"/>
        </w:rPr>
        <w:t>，助力涉企纠纷高效化解。充分发挥阳城县商事纠纷调解委员会作用，持续深化商事多元解纷。推动美韵之家、居然之家、惠康超市、环城乐购超市调解工作室等涉企调解组织规范化运行，拓宽涉企矛盾纠纷化解领域范围。</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left="0" w:right="0" w:rightChars="0" w:firstLine="640" w:firstLineChars="200"/>
        <w:textAlignment w:val="auto"/>
        <w:rPr>
          <w:rFonts w:hint="eastAsia" w:ascii="黑体" w:hAnsi="黑体" w:eastAsia="黑体" w:cs="黑体"/>
          <w:color w:val="auto"/>
          <w:spacing w:val="0"/>
          <w:w w:val="100"/>
          <w:sz w:val="32"/>
          <w:lang w:val="en-US" w:eastAsia="zh-CN"/>
        </w:rPr>
      </w:pPr>
      <w:r>
        <w:rPr>
          <w:rFonts w:hint="eastAsia" w:ascii="黑体" w:hAnsi="黑体" w:eastAsia="黑体" w:cs="黑体"/>
          <w:color w:val="auto"/>
          <w:spacing w:val="0"/>
          <w:w w:val="100"/>
          <w:sz w:val="32"/>
          <w:lang w:val="en-US" w:eastAsia="zh-CN"/>
        </w:rPr>
        <w:t>三、进一步提升专业化服务能力</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left="0" w:right="0" w:rightChars="0" w:firstLine="683" w:firstLineChars="200"/>
        <w:textAlignment w:val="auto"/>
        <w:rPr>
          <w:rFonts w:hint="eastAsia" w:ascii="仿宋" w:hAnsi="仿宋" w:eastAsia="仿宋" w:cs="仿宋"/>
          <w:color w:val="auto"/>
          <w:spacing w:val="0"/>
          <w:kern w:val="0"/>
          <w:sz w:val="32"/>
          <w:szCs w:val="32"/>
          <w:lang w:val="en-US" w:eastAsia="zh-CN" w:bidi="ar-SA"/>
        </w:rPr>
      </w:pPr>
      <w:r>
        <w:rPr>
          <w:rFonts w:hint="eastAsia" w:ascii="仿宋" w:hAnsi="仿宋" w:eastAsia="仿宋" w:cs="仿宋"/>
          <w:b/>
          <w:color w:val="auto"/>
          <w:sz w:val="32"/>
          <w:szCs w:val="32"/>
          <w:lang w:val="en-US" w:eastAsia="zh-CN"/>
        </w:rPr>
        <w:t>一是</w:t>
      </w:r>
      <w:r>
        <w:rPr>
          <w:rFonts w:hint="eastAsia" w:ascii="仿宋" w:hAnsi="仿宋" w:eastAsia="仿宋" w:cs="仿宋"/>
          <w:b/>
          <w:color w:val="auto"/>
          <w:sz w:val="32"/>
          <w:szCs w:val="32"/>
        </w:rPr>
        <w:t>深化行政审批“告知承诺制”改革</w:t>
      </w:r>
      <w:r>
        <w:rPr>
          <w:rFonts w:hint="eastAsia" w:ascii="仿宋" w:hAnsi="仿宋" w:eastAsia="仿宋" w:cs="仿宋"/>
          <w:b/>
          <w:color w:val="auto"/>
          <w:sz w:val="32"/>
          <w:szCs w:val="32"/>
          <w:lang w:eastAsia="zh-CN"/>
        </w:rPr>
        <w:t>。</w:t>
      </w:r>
      <w:r>
        <w:rPr>
          <w:rFonts w:hint="eastAsia" w:ascii="仿宋" w:hAnsi="仿宋" w:eastAsia="仿宋" w:cs="仿宋"/>
          <w:b w:val="0"/>
          <w:bCs w:val="0"/>
          <w:color w:val="auto"/>
          <w:sz w:val="32"/>
          <w:szCs w:val="32"/>
        </w:rPr>
        <w:t>对于企业投资项目，在水土保持方案、取水许可等9类单体事项实行承诺制的基础上</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将承诺制范围进一步拓展到核准项目和“一本制”。</w:t>
      </w:r>
      <w:r>
        <w:rPr>
          <w:rFonts w:hint="eastAsia" w:ascii="仿宋" w:hAnsi="仿宋" w:eastAsia="仿宋" w:cs="仿宋"/>
          <w:color w:val="auto"/>
          <w:sz w:val="32"/>
          <w:szCs w:val="32"/>
          <w:lang w:eastAsia="zh-CN"/>
        </w:rPr>
        <w:t>对项目投资概（预）算200万元以下的公路建设项目施工图设计审批实行自审承诺制，申请材料从5项压减到2项，审批时限从20个工作日变为1个工作日，让审批有速度更有温度。</w:t>
      </w:r>
      <w:r>
        <w:rPr>
          <w:rFonts w:hint="eastAsia" w:ascii="仿宋" w:hAnsi="仿宋" w:eastAsia="仿宋" w:cs="仿宋"/>
          <w:color w:val="auto"/>
          <w:sz w:val="32"/>
          <w:szCs w:val="32"/>
        </w:rPr>
        <w:t>将经营项目不含散装熟食制品销售的食品销售新办许可和经营项目为热食类食品制售的小型餐饮服务新办许可纳入告知承诺制审批范围。</w:t>
      </w:r>
      <w:r>
        <w:rPr>
          <w:rFonts w:hint="eastAsia" w:ascii="仿宋" w:hAnsi="仿宋" w:eastAsia="仿宋" w:cs="仿宋"/>
          <w:b/>
          <w:bCs/>
          <w:color w:val="auto"/>
          <w:sz w:val="32"/>
          <w:szCs w:val="32"/>
          <w:lang w:val="en-US" w:eastAsia="zh-CN"/>
        </w:rPr>
        <w:t>二是</w:t>
      </w:r>
      <w:r>
        <w:rPr>
          <w:rFonts w:hint="eastAsia" w:ascii="仿宋" w:hAnsi="仿宋" w:eastAsia="仿宋" w:cs="仿宋"/>
          <w:b/>
          <w:bCs/>
          <w:color w:val="auto"/>
          <w:spacing w:val="0"/>
          <w:kern w:val="2"/>
          <w:sz w:val="32"/>
          <w:szCs w:val="32"/>
          <w:lang w:val="en-US" w:eastAsia="zh-CN" w:bidi="ar-SA"/>
        </w:rPr>
        <w:t>推动智慧政务改革。</w:t>
      </w:r>
      <w:r>
        <w:rPr>
          <w:rFonts w:hint="eastAsia" w:ascii="仿宋" w:hAnsi="仿宋" w:eastAsia="仿宋" w:cs="仿宋"/>
          <w:color w:val="auto"/>
          <w:spacing w:val="0"/>
          <w:kern w:val="2"/>
          <w:sz w:val="32"/>
          <w:szCs w:val="32"/>
          <w:lang w:val="en-US" w:eastAsia="zh-CN" w:bidi="ar-SA"/>
        </w:rPr>
        <w:t>建成“基层便民服务管理系统”和“智慧审批业务管理系统”，配置出具证明、秒批秒办等功能模块。目前，录入对接一体化平台审批事项1228项，</w:t>
      </w:r>
      <w:r>
        <w:rPr>
          <w:rFonts w:hint="eastAsia" w:ascii="仿宋" w:hAnsi="仿宋" w:eastAsia="仿宋" w:cs="仿宋"/>
          <w:color w:val="auto"/>
          <w:spacing w:val="0"/>
          <w:kern w:val="2"/>
          <w:sz w:val="32"/>
          <w:szCs w:val="32"/>
          <w:highlight w:val="none"/>
          <w:lang w:val="en-US" w:eastAsia="zh-CN" w:bidi="ar-SA"/>
        </w:rPr>
        <w:t>上线“秒批秒办”事项27项</w:t>
      </w:r>
      <w:r>
        <w:rPr>
          <w:rFonts w:hint="eastAsia" w:ascii="仿宋" w:hAnsi="仿宋" w:eastAsia="仿宋" w:cs="仿宋"/>
          <w:color w:val="auto"/>
          <w:spacing w:val="0"/>
          <w:sz w:val="32"/>
          <w:szCs w:val="32"/>
          <w:highlight w:val="none"/>
          <w:lang w:eastAsia="zh-CN"/>
        </w:rPr>
        <w:t>。</w:t>
      </w:r>
      <w:r>
        <w:rPr>
          <w:rFonts w:hint="eastAsia" w:ascii="仿宋" w:hAnsi="仿宋" w:eastAsia="仿宋" w:cs="仿宋"/>
          <w:color w:val="auto"/>
          <w:spacing w:val="0"/>
          <w:kern w:val="2"/>
          <w:sz w:val="32"/>
          <w:szCs w:val="32"/>
          <w:lang w:val="en-US" w:eastAsia="zh-CN" w:bidi="ar-SA"/>
        </w:rPr>
        <w:t>同时</w:t>
      </w:r>
      <w:r>
        <w:rPr>
          <w:rFonts w:hint="eastAsia" w:ascii="仿宋" w:hAnsi="仿宋" w:eastAsia="仿宋" w:cs="仿宋"/>
          <w:b w:val="0"/>
          <w:bCs w:val="0"/>
          <w:color w:val="auto"/>
          <w:kern w:val="2"/>
          <w:sz w:val="32"/>
          <w:szCs w:val="32"/>
          <w:lang w:val="en-US" w:eastAsia="zh-CN" w:bidi="ar-SA"/>
        </w:rPr>
        <w:t>加强村级帮办人员的培训，基本实现个体工商户登记村内可办，进一步延伸了政务服务触角，</w:t>
      </w:r>
      <w:r>
        <w:rPr>
          <w:rFonts w:hint="eastAsia" w:ascii="仿宋" w:hAnsi="仿宋" w:eastAsia="仿宋" w:cs="仿宋"/>
          <w:color w:val="auto"/>
          <w:spacing w:val="0"/>
          <w:kern w:val="0"/>
          <w:sz w:val="32"/>
          <w:szCs w:val="32"/>
          <w:lang w:val="en-US" w:eastAsia="zh-CN" w:bidi="ar"/>
        </w:rPr>
        <w:t>有效打通服务群众“最后一公里”</w:t>
      </w:r>
      <w:r>
        <w:rPr>
          <w:rFonts w:hint="eastAsia" w:ascii="仿宋" w:hAnsi="仿宋" w:eastAsia="仿宋" w:cs="仿宋"/>
          <w:color w:val="auto"/>
          <w:spacing w:val="0"/>
          <w:sz w:val="32"/>
          <w:szCs w:val="32"/>
          <w:lang w:eastAsia="zh-CN"/>
        </w:rPr>
        <w:t>。</w:t>
      </w:r>
      <w:r>
        <w:rPr>
          <w:rFonts w:hint="eastAsia" w:ascii="仿宋" w:hAnsi="仿宋" w:eastAsia="仿宋" w:cs="仿宋"/>
          <w:b/>
          <w:bCs/>
          <w:color w:val="auto"/>
          <w:spacing w:val="0"/>
          <w:sz w:val="32"/>
          <w:szCs w:val="32"/>
          <w:lang w:val="en-US" w:eastAsia="zh-CN"/>
        </w:rPr>
        <w:t>三是</w:t>
      </w:r>
      <w:r>
        <w:rPr>
          <w:rFonts w:hint="eastAsia" w:ascii="仿宋" w:hAnsi="仿宋" w:eastAsia="仿宋" w:cs="仿宋"/>
          <w:b/>
          <w:bCs/>
          <w:color w:val="auto"/>
          <w:spacing w:val="0"/>
          <w:kern w:val="2"/>
          <w:sz w:val="32"/>
          <w:szCs w:val="32"/>
          <w:lang w:val="en-US" w:eastAsia="zh-CN" w:bidi="ar-SA"/>
        </w:rPr>
        <w:t>深化“高效办成一件事”改革。</w:t>
      </w:r>
      <w:r>
        <w:rPr>
          <w:rFonts w:hint="eastAsia" w:ascii="仿宋" w:hAnsi="仿宋" w:eastAsia="仿宋" w:cs="仿宋"/>
          <w:color w:val="auto"/>
          <w:spacing w:val="0"/>
          <w:kern w:val="2"/>
          <w:sz w:val="32"/>
          <w:szCs w:val="32"/>
          <w:lang w:val="en-US" w:eastAsia="zh-CN" w:bidi="ar-SA"/>
        </w:rPr>
        <w:t>制定</w:t>
      </w:r>
      <w:r>
        <w:rPr>
          <w:rFonts w:hint="eastAsia" w:ascii="仿宋" w:hAnsi="仿宋" w:eastAsia="仿宋" w:cs="仿宋"/>
          <w:b w:val="0"/>
          <w:bCs w:val="0"/>
          <w:color w:val="auto"/>
          <w:kern w:val="2"/>
          <w:sz w:val="32"/>
          <w:szCs w:val="32"/>
          <w:lang w:val="en-US" w:eastAsia="zh-CN" w:bidi="ar-SA"/>
        </w:rPr>
        <w:t>我县“高效办成一件事”实施方案，做好“高效办成一件事”政策解读和舆论引导，20个企业运营一件事、新生儿出生一件事已实现“一网通办”，企业和群众的获得感和满意度进一步提升。</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left="0" w:firstLine="68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 w:eastAsia="zh-CN"/>
        </w:rPr>
        <w:t>感谢您对</w:t>
      </w:r>
      <w:r>
        <w:rPr>
          <w:rFonts w:hint="eastAsia" w:ascii="仿宋" w:hAnsi="仿宋" w:eastAsia="仿宋" w:cs="仿宋"/>
          <w:color w:val="auto"/>
          <w:sz w:val="32"/>
          <w:szCs w:val="32"/>
          <w:lang w:val="en-US" w:eastAsia="zh-CN"/>
        </w:rPr>
        <w:t>营商环境工作的关心和支持，下一步我们将</w:t>
      </w:r>
      <w:r>
        <w:rPr>
          <w:rFonts w:hint="eastAsia" w:ascii="仿宋" w:hAnsi="仿宋" w:eastAsia="仿宋" w:cs="仿宋"/>
          <w:color w:val="auto"/>
          <w:sz w:val="32"/>
          <w:szCs w:val="32"/>
          <w:vertAlign w:val="baseline"/>
          <w:lang w:val="en-US" w:eastAsia="zh-CN"/>
        </w:rPr>
        <w:t>聚焦解决企业群众的“急难愁盼”和堵点难点痛点问题，以强烈的责任担当、有力的工作举措、过硬的能力作风开展营商环境重点领域改革攻坚，</w:t>
      </w:r>
      <w:r>
        <w:rPr>
          <w:rFonts w:hint="eastAsia" w:ascii="仿宋" w:hAnsi="仿宋" w:eastAsia="仿宋" w:cs="仿宋"/>
          <w:color w:val="auto"/>
          <w:sz w:val="32"/>
          <w:szCs w:val="32"/>
          <w:highlight w:val="none"/>
          <w:lang w:val="en-US" w:eastAsia="zh-CN"/>
        </w:rPr>
        <w:t>全面创优我县营商环境，</w:t>
      </w:r>
      <w:r>
        <w:rPr>
          <w:rFonts w:hint="eastAsia" w:ascii="仿宋" w:hAnsi="仿宋" w:eastAsia="仿宋" w:cs="仿宋"/>
          <w:color w:val="auto"/>
          <w:sz w:val="32"/>
          <w:szCs w:val="32"/>
          <w:lang w:val="en-US" w:eastAsia="zh-CN"/>
        </w:rPr>
        <w:t>欢迎您今后提出更多宝贵意见！</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600" w:lineRule="exact"/>
        <w:ind w:left="0" w:firstLine="680" w:firstLineChars="200"/>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8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单位负责人：于建龙　　　　　</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承办人员： 王晓丽　　　　　</w:t>
      </w:r>
    </w:p>
    <w:p>
      <w:pPr>
        <w:keepNext w:val="0"/>
        <w:keepLines w:val="0"/>
        <w:pageBreakBefore w:val="0"/>
        <w:widowControl w:val="0"/>
        <w:kinsoku/>
        <w:wordWrap/>
        <w:overflowPunct/>
        <w:topLinePunct w:val="0"/>
        <w:autoSpaceDE/>
        <w:autoSpaceDN/>
        <w:bidi w:val="0"/>
        <w:adjustRightInd/>
        <w:snapToGrid/>
        <w:spacing w:line="600" w:lineRule="exact"/>
        <w:ind w:left="0" w:firstLine="68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联系电话： 3201125</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仿宋" w:hAnsi="仿宋" w:eastAsia="仿宋" w:cs="仿宋"/>
          <w:color w:val="auto"/>
          <w:sz w:val="32"/>
          <w:szCs w:val="32"/>
          <w:lang w:val="en-US" w:eastAsia="zh-CN"/>
        </w:rPr>
      </w:pPr>
    </w:p>
    <w:p>
      <w:pPr>
        <w:pStyle w:val="2"/>
        <w:keepNext w:val="0"/>
        <w:keepLines w:val="0"/>
        <w:pageBreakBefore w:val="0"/>
        <w:kinsoku/>
        <w:wordWrap/>
        <w:overflowPunct/>
        <w:topLinePunct w:val="0"/>
        <w:autoSpaceDE/>
        <w:autoSpaceDN/>
        <w:bidi w:val="0"/>
        <w:adjustRightInd/>
        <w:snapToGrid/>
        <w:spacing w:after="0" w:afterLines="0" w:line="600" w:lineRule="exact"/>
        <w:ind w:left="0"/>
        <w:textAlignment w:val="auto"/>
        <w:rPr>
          <w:rFonts w:hint="eastAsia" w:ascii="仿宋" w:hAnsi="仿宋" w:eastAsia="仿宋" w:cs="仿宋"/>
          <w:color w:va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阳城县行政审批服务管理局　　　　</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2024年8月22日</w:t>
      </w:r>
      <w:r>
        <w:rPr>
          <w:rFonts w:hint="eastAsia" w:ascii="仿宋" w:hAnsi="仿宋" w:eastAsia="仿宋" w:cs="仿宋"/>
          <w:color w:val="auto"/>
          <w:lang w:val="en-US" w:eastAsia="zh-CN"/>
        </w:rPr>
        <w:t>　　</w:t>
      </w:r>
    </w:p>
    <w:p>
      <w:pPr>
        <w:keepNext w:val="0"/>
        <w:keepLines w:val="0"/>
        <w:pageBreakBefore w:val="0"/>
        <w:widowControl/>
        <w:kinsoku w:val="0"/>
        <w:wordWrap/>
        <w:overflowPunct/>
        <w:topLinePunct w:val="0"/>
        <w:autoSpaceDE w:val="0"/>
        <w:autoSpaceDN w:val="0"/>
        <w:bidi w:val="0"/>
        <w:adjustRightInd w:val="0"/>
        <w:snapToGrid w:val="0"/>
        <w:spacing w:after="0" w:afterLines="0" w:line="600" w:lineRule="exact"/>
        <w:ind w:left="0" w:leftChars="0" w:firstLine="0" w:firstLineChars="0"/>
        <w:jc w:val="both"/>
        <w:textAlignment w:val="baseline"/>
        <w:outlineLvl w:val="9"/>
        <w:rPr>
          <w:rFonts w:hint="eastAsia" w:ascii="仿宋" w:hAnsi="仿宋" w:eastAsia="仿宋" w:cs="仿宋"/>
          <w:spacing w:val="0"/>
          <w:w w:val="100"/>
          <w:sz w:val="32"/>
          <w:lang w:eastAsia="zh-CN"/>
        </w:rPr>
      </w:pP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ODg4YTQwYzZhOTVhYThhOGY2YTQ2MGYwNDA2MzkifQ=="/>
  </w:docVars>
  <w:rsids>
    <w:rsidRoot w:val="00000000"/>
    <w:rsid w:val="138555A0"/>
    <w:rsid w:val="1ACB4306"/>
    <w:rsid w:val="37B67EF6"/>
    <w:rsid w:val="50D92668"/>
    <w:rsid w:val="567C7ECA"/>
    <w:rsid w:val="581032FF"/>
    <w:rsid w:val="6D3158BE"/>
    <w:rsid w:val="70A0157D"/>
    <w:rsid w:val="75AE2B13"/>
    <w:rsid w:val="77F42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beforeLines="0" w:after="0" w:afterLines="0" w:line="365" w:lineRule="atLeast"/>
      <w:ind w:left="1" w:right="0" w:firstLine="0" w:firstLineChars="0"/>
      <w:jc w:val="both"/>
      <w:textAlignment w:val="bottom"/>
    </w:pPr>
    <w:rPr>
      <w:rFonts w:ascii="Calibri" w:hAnsi="Calibri" w:eastAsia="宋体" w:cs="Times New Roman"/>
      <w:spacing w:val="10"/>
      <w:sz w:val="21"/>
      <w:szCs w:val="22"/>
    </w:rPr>
  </w:style>
  <w:style w:type="paragraph" w:styleId="2">
    <w:name w:val="heading 1"/>
    <w:basedOn w:val="1"/>
    <w:next w:val="1"/>
    <w:qFormat/>
    <w:uiPriority w:val="0"/>
    <w:pPr>
      <w:spacing w:after="50" w:afterLines="50" w:line="640" w:lineRule="exact"/>
      <w:outlineLvl w:val="0"/>
    </w:pPr>
    <w:rPr>
      <w:rFonts w:ascii="方正小标宋简体" w:eastAsia="方正小标宋简体"/>
      <w:sz w:val="44"/>
      <w:szCs w:val="36"/>
    </w:rPr>
  </w:style>
  <w:style w:type="paragraph" w:styleId="3">
    <w:name w:val="heading 5"/>
    <w:basedOn w:val="1"/>
    <w:next w:val="1"/>
    <w:unhideWhenUsed/>
    <w:qFormat/>
    <w:uiPriority w:val="0"/>
    <w:pPr>
      <w:keepNext/>
      <w:keepLines/>
      <w:spacing w:line="372" w:lineRule="auto"/>
      <w:outlineLvl w:val="4"/>
    </w:pPr>
    <w:rPr>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line="240" w:lineRule="auto"/>
      <w:ind w:firstLine="420"/>
    </w:pPr>
    <w:rPr>
      <w:rFonts w:ascii="Calibri" w:hAnsi="Calibri" w:eastAsia="宋体" w:cs="黑体"/>
      <w:sz w:val="21"/>
    </w:rPr>
  </w:style>
  <w:style w:type="paragraph" w:styleId="5">
    <w:name w:val="Salutation"/>
    <w:next w:val="1"/>
    <w:qFormat/>
    <w:uiPriority w:val="0"/>
    <w:pPr>
      <w:widowControl w:val="0"/>
      <w:suppressAutoHyphens w:val="0"/>
      <w:spacing w:before="0" w:beforeLines="0" w:after="0" w:afterLines="0" w:line="365" w:lineRule="atLeast"/>
      <w:ind w:left="1" w:right="0" w:firstLine="0" w:firstLineChars="0"/>
      <w:jc w:val="both"/>
      <w:textAlignment w:val="bottom"/>
    </w:pPr>
    <w:rPr>
      <w:rFonts w:ascii="Calibri" w:hAnsi="Calibri" w:eastAsia="宋体" w:cs="Times New Roman"/>
      <w:spacing w:val="10"/>
      <w:sz w:val="21"/>
      <w:szCs w:val="20"/>
    </w:rPr>
  </w:style>
  <w:style w:type="paragraph" w:customStyle="1" w:styleId="8">
    <w:name w:val="纯文本1"/>
    <w:qFormat/>
    <w:uiPriority w:val="0"/>
    <w:pPr>
      <w:widowControl w:val="0"/>
      <w:spacing w:before="0" w:beforeLines="0" w:after="0" w:afterLines="0" w:line="365" w:lineRule="atLeast"/>
      <w:ind w:left="1" w:right="0" w:firstLine="0" w:firstLineChars="0"/>
      <w:jc w:val="both"/>
      <w:textAlignment w:val="bottom"/>
    </w:pPr>
    <w:rPr>
      <w:rFonts w:ascii="宋体" w:hAnsi="Courier New" w:eastAsia="宋体" w:cs="Courier New"/>
      <w:spacing w:val="10"/>
      <w:sz w:val="21"/>
      <w:szCs w:val="21"/>
    </w:rPr>
  </w:style>
  <w:style w:type="character" w:customStyle="1" w:styleId="9">
    <w:name w:val="Subtle Emphasis"/>
    <w:basedOn w:val="7"/>
    <w:qFormat/>
    <w:uiPriority w:val="19"/>
    <w:rPr>
      <w:i/>
      <w:iCs/>
      <w:color w:val="3F3F3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1454</Words>
  <Characters>1502</Characters>
  <Lines>0</Lines>
  <Paragraphs>0</Paragraphs>
  <TotalTime>2</TotalTime>
  <ScaleCrop>false</ScaleCrop>
  <LinksUpToDate>false</LinksUpToDate>
  <CharactersWithSpaces>1611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2024-07-30T01:27:00Z</dcterms:created>
  <dc:creator>Lenovo</dc:creator>
  <cp:lastModifiedBy>Administrator</cp:lastModifiedBy>
  <dcterms:modified xsi:type="dcterms:W3CDTF">2025-08-26T07:13:04Z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6D50199EA4764F2EB1F1840EC9CE3882_12</vt:lpwstr>
  </property>
</Properties>
</file>