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6F4E80">
      <w:pPr>
        <w:spacing w:line="660" w:lineRule="exact"/>
        <w:jc w:val="left"/>
        <w:rPr>
          <w:rFonts w:ascii="宋体" w:hAnsi="宋体"/>
          <w:b/>
          <w:color w:val="auto"/>
          <w:sz w:val="44"/>
          <w:u w:val="single"/>
        </w:rPr>
      </w:pPr>
      <w:r>
        <w:rPr>
          <w:rFonts w:hint="eastAsia" w:ascii="宋体" w:hAnsi="宋体"/>
          <w:b/>
          <w:color w:val="auto"/>
          <w:sz w:val="44"/>
          <w:u w:val="single"/>
        </w:rPr>
        <w:t xml:space="preserve">      </w:t>
      </w:r>
      <w:r>
        <w:rPr>
          <w:rFonts w:hint="eastAsia" w:ascii="方正小标宋简体" w:hAnsi="方正小标宋简体" w:eastAsia="方正小标宋简体" w:cs="方正小标宋简体"/>
          <w:b/>
          <w:color w:val="auto"/>
          <w:sz w:val="44"/>
          <w:u w:val="single"/>
        </w:rPr>
        <w:t xml:space="preserve"> </w:t>
      </w:r>
      <w:r>
        <w:rPr>
          <w:rFonts w:hint="eastAsia" w:ascii="方正小标宋简体" w:hAnsi="方正小标宋简体" w:eastAsia="方正小标宋简体" w:cs="方正小标宋简体"/>
          <w:b/>
          <w:color w:val="auto"/>
          <w:spacing w:val="0"/>
          <w:sz w:val="44"/>
          <w:u w:val="single"/>
        </w:rPr>
        <w:t>阳城县行政审批服务管理局</w:t>
      </w:r>
      <w:r>
        <w:rPr>
          <w:rFonts w:hint="eastAsia" w:ascii="方正小标宋简体" w:hAnsi="方正小标宋简体" w:eastAsia="方正小标宋简体" w:cs="方正小标宋简体"/>
          <w:b/>
          <w:color w:val="auto"/>
          <w:sz w:val="44"/>
          <w:u w:val="single"/>
        </w:rPr>
        <w:t xml:space="preserve"> </w:t>
      </w:r>
      <w:r>
        <w:rPr>
          <w:rFonts w:hint="eastAsia" w:ascii="宋体" w:hAnsi="宋体"/>
          <w:b/>
          <w:color w:val="auto"/>
          <w:sz w:val="44"/>
          <w:u w:val="single"/>
        </w:rPr>
        <w:t xml:space="preserve">       </w:t>
      </w:r>
    </w:p>
    <w:p w14:paraId="50003974">
      <w:pPr>
        <w:keepNext w:val="0"/>
        <w:keepLines w:val="0"/>
        <w:pageBreakBefore w:val="0"/>
        <w:wordWrap/>
        <w:topLinePunct w:val="0"/>
        <w:bidi w:val="0"/>
        <w:spacing w:line="560" w:lineRule="exact"/>
        <w:ind w:left="0"/>
        <w:jc w:val="left"/>
        <w:rPr>
          <w:rFonts w:hint="default" w:ascii="宋体" w:hAnsi="宋体" w:eastAsia="宋体"/>
          <w:b/>
          <w:color w:val="auto"/>
          <w:sz w:val="30"/>
          <w:u w:val="none"/>
          <w:lang w:val="en-US" w:eastAsia="zh-CN"/>
        </w:rPr>
      </w:pPr>
      <w:r>
        <w:rPr>
          <w:rFonts w:hint="eastAsia" w:ascii="宋体" w:hAnsi="宋体"/>
          <w:b/>
          <w:color w:val="auto"/>
          <w:sz w:val="30"/>
          <w:u w:val="none"/>
          <w:lang w:val="en-US" w:eastAsia="zh-CN"/>
        </w:rPr>
        <w:t xml:space="preserve">                                             A</w:t>
      </w:r>
    </w:p>
    <w:p w14:paraId="6662D159">
      <w:pPr>
        <w:keepNext w:val="0"/>
        <w:keepLines w:val="0"/>
        <w:pageBreakBefore w:val="0"/>
        <w:wordWrap/>
        <w:topLinePunct w:val="0"/>
        <w:bidi w:val="0"/>
        <w:spacing w:after="0" w:afterLines="0" w:line="600" w:lineRule="exact"/>
        <w:ind w:left="0"/>
        <w:jc w:val="center"/>
        <w:rPr>
          <w:rFonts w:hint="eastAsia" w:ascii="宋体" w:hAnsi="宋体"/>
          <w:b/>
          <w:color w:val="auto"/>
          <w:sz w:val="44"/>
        </w:rPr>
      </w:pPr>
      <w:r>
        <w:rPr>
          <w:rFonts w:hint="eastAsia" w:ascii="宋体" w:hAnsi="宋体"/>
          <w:b/>
          <w:color w:val="auto"/>
          <w:sz w:val="44"/>
        </w:rPr>
        <w:t>关于对县</w:t>
      </w:r>
      <w:r>
        <w:rPr>
          <w:rFonts w:hint="eastAsia" w:ascii="宋体" w:hAnsi="宋体"/>
          <w:b/>
          <w:color w:val="auto"/>
          <w:sz w:val="44"/>
          <w:lang w:val="en-US" w:eastAsia="zh-CN"/>
        </w:rPr>
        <w:t>政协十五</w:t>
      </w:r>
      <w:r>
        <w:rPr>
          <w:rFonts w:hint="eastAsia" w:ascii="宋体" w:hAnsi="宋体"/>
          <w:b/>
          <w:color w:val="auto"/>
          <w:sz w:val="44"/>
        </w:rPr>
        <w:t>届</w:t>
      </w:r>
      <w:r>
        <w:rPr>
          <w:rFonts w:hint="eastAsia" w:ascii="宋体" w:hAnsi="宋体"/>
          <w:b/>
          <w:color w:val="auto"/>
          <w:sz w:val="44"/>
          <w:lang w:val="en-US" w:eastAsia="zh-CN"/>
        </w:rPr>
        <w:t>六</w:t>
      </w:r>
      <w:r>
        <w:rPr>
          <w:rFonts w:hint="eastAsia" w:ascii="宋体" w:hAnsi="宋体"/>
          <w:b/>
          <w:color w:val="auto"/>
          <w:sz w:val="44"/>
        </w:rPr>
        <w:t>次会议第</w:t>
      </w:r>
      <w:r>
        <w:rPr>
          <w:rFonts w:hint="eastAsia" w:ascii="宋体" w:hAnsi="宋体"/>
          <w:b/>
          <w:color w:val="auto"/>
          <w:sz w:val="44"/>
          <w:lang w:val="en-US" w:eastAsia="zh-CN"/>
        </w:rPr>
        <w:t>120</w:t>
      </w:r>
      <w:r>
        <w:rPr>
          <w:rFonts w:hint="eastAsia" w:ascii="宋体" w:hAnsi="宋体"/>
          <w:b/>
          <w:color w:val="auto"/>
          <w:sz w:val="44"/>
        </w:rPr>
        <w:t>号</w:t>
      </w:r>
    </w:p>
    <w:p w14:paraId="2E4DC428">
      <w:pPr>
        <w:keepNext w:val="0"/>
        <w:keepLines w:val="0"/>
        <w:pageBreakBefore w:val="0"/>
        <w:wordWrap/>
        <w:topLinePunct w:val="0"/>
        <w:bidi w:val="0"/>
        <w:spacing w:after="0" w:afterLines="0" w:line="600" w:lineRule="exact"/>
        <w:ind w:left="0"/>
        <w:jc w:val="center"/>
        <w:rPr>
          <w:rFonts w:hint="eastAsia" w:ascii="宋体" w:hAnsi="宋体"/>
          <w:b/>
          <w:color w:val="auto"/>
          <w:sz w:val="44"/>
        </w:rPr>
      </w:pPr>
      <w:r>
        <w:rPr>
          <w:rFonts w:hint="eastAsia" w:ascii="宋体" w:hAnsi="宋体"/>
          <w:b/>
          <w:color w:val="auto"/>
          <w:sz w:val="44"/>
          <w:lang w:val="en-US" w:eastAsia="zh-CN"/>
        </w:rPr>
        <w:t>提案</w:t>
      </w:r>
      <w:r>
        <w:rPr>
          <w:rFonts w:hint="eastAsia" w:ascii="宋体" w:hAnsi="宋体"/>
          <w:b/>
          <w:color w:val="auto"/>
          <w:sz w:val="44"/>
        </w:rPr>
        <w:t>的答复</w:t>
      </w:r>
    </w:p>
    <w:p w14:paraId="03762F55">
      <w:pPr>
        <w:pStyle w:val="3"/>
        <w:keepNext w:val="0"/>
        <w:keepLines w:val="0"/>
        <w:pageBreakBefore w:val="0"/>
        <w:wordWrap/>
        <w:topLinePunct w:val="0"/>
        <w:bidi w:val="0"/>
        <w:spacing w:line="600" w:lineRule="exact"/>
        <w:ind w:left="0"/>
        <w:rPr>
          <w:rFonts w:hint="eastAsia"/>
          <w:color w:val="auto"/>
          <w:lang w:eastAsia="zh-CN"/>
        </w:rPr>
      </w:pPr>
    </w:p>
    <w:p w14:paraId="6ADBDA0F">
      <w:pPr>
        <w:keepNext w:val="0"/>
        <w:keepLines w:val="0"/>
        <w:pageBreakBefore w:val="0"/>
        <w:widowControl/>
        <w:kinsoku w:val="0"/>
        <w:wordWrap/>
        <w:overflowPunct/>
        <w:topLinePunct w:val="0"/>
        <w:autoSpaceDE w:val="0"/>
        <w:autoSpaceDN w:val="0"/>
        <w:bidi w:val="0"/>
        <w:adjustRightInd w:val="0"/>
        <w:snapToGrid w:val="0"/>
        <w:spacing w:after="0" w:afterLines="0" w:line="600" w:lineRule="exact"/>
        <w:ind w:left="0" w:leftChars="0"/>
        <w:jc w:val="both"/>
        <w:textAlignment w:val="baseline"/>
        <w:outlineLvl w:val="9"/>
        <w:rPr>
          <w:rFonts w:hint="eastAsia" w:ascii="仿宋_GB2312" w:hAnsi="仿宋_GB2312" w:eastAsia="仿宋_GB2312" w:cs="仿宋_GB2312"/>
          <w:color w:val="auto"/>
          <w:spacing w:val="0"/>
          <w:w w:val="100"/>
          <w:sz w:val="32"/>
          <w:lang w:eastAsia="zh-CN"/>
        </w:rPr>
      </w:pPr>
      <w:r>
        <w:rPr>
          <w:rFonts w:hint="eastAsia" w:ascii="仿宋_GB2312" w:hAnsi="仿宋_GB2312" w:eastAsia="仿宋_GB2312" w:cs="仿宋_GB2312"/>
          <w:color w:val="auto"/>
          <w:spacing w:val="0"/>
          <w:w w:val="100"/>
          <w:sz w:val="32"/>
          <w:lang w:val="en-US" w:eastAsia="zh-CN"/>
        </w:rPr>
        <w:t>县学习实践小组</w:t>
      </w:r>
      <w:r>
        <w:rPr>
          <w:rFonts w:hint="eastAsia" w:ascii="仿宋_GB2312" w:hAnsi="仿宋_GB2312" w:eastAsia="仿宋_GB2312" w:cs="仿宋_GB2312"/>
          <w:color w:val="auto"/>
          <w:spacing w:val="0"/>
          <w:w w:val="100"/>
          <w:sz w:val="32"/>
          <w:lang w:eastAsia="zh-CN"/>
        </w:rPr>
        <w:t>：</w:t>
      </w:r>
    </w:p>
    <w:p w14:paraId="42C721C8">
      <w:pPr>
        <w:keepNext w:val="0"/>
        <w:keepLines w:val="0"/>
        <w:pageBreakBefore w:val="0"/>
        <w:widowControl/>
        <w:kinsoku w:val="0"/>
        <w:wordWrap/>
        <w:overflowPunct/>
        <w:topLinePunct w:val="0"/>
        <w:autoSpaceDE w:val="0"/>
        <w:autoSpaceDN w:val="0"/>
        <w:bidi w:val="0"/>
        <w:adjustRightInd w:val="0"/>
        <w:snapToGrid w:val="0"/>
        <w:spacing w:after="0" w:afterLines="0" w:line="600" w:lineRule="exact"/>
        <w:ind w:left="0" w:leftChars="0" w:firstLine="659"/>
        <w:jc w:val="both"/>
        <w:textAlignment w:val="baseline"/>
        <w:outlineLvl w:val="9"/>
        <w:rPr>
          <w:rFonts w:hint="eastAsia" w:ascii="仿宋_GB2312" w:hAnsi="仿宋_GB2312" w:eastAsia="仿宋_GB2312" w:cs="仿宋_GB2312"/>
          <w:color w:val="auto"/>
          <w:spacing w:val="0"/>
          <w:w w:val="100"/>
          <w:sz w:val="32"/>
          <w:lang w:eastAsia="zh-CN"/>
        </w:rPr>
      </w:pPr>
      <w:r>
        <w:rPr>
          <w:rFonts w:hint="eastAsia" w:ascii="仿宋_GB2312" w:hAnsi="仿宋_GB2312" w:eastAsia="仿宋_GB2312" w:cs="仿宋_GB2312"/>
          <w:color w:val="auto"/>
          <w:spacing w:val="0"/>
          <w:w w:val="100"/>
          <w:sz w:val="32"/>
          <w:lang w:eastAsia="zh-CN"/>
        </w:rPr>
        <w:t>您提出的</w:t>
      </w:r>
      <w:r>
        <w:rPr>
          <w:rFonts w:hint="eastAsia" w:ascii="仿宋_GB2312" w:hAnsi="仿宋_GB2312" w:eastAsia="仿宋_GB2312" w:cs="仿宋_GB2312"/>
          <w:color w:val="auto"/>
          <w:spacing w:val="0"/>
          <w:w w:val="100"/>
          <w:sz w:val="32"/>
          <w:lang w:val="en-US" w:eastAsia="zh-CN"/>
        </w:rPr>
        <w:t>120</w:t>
      </w:r>
      <w:r>
        <w:rPr>
          <w:rFonts w:hint="eastAsia" w:ascii="仿宋_GB2312" w:hAnsi="仿宋_GB2312" w:eastAsia="仿宋_GB2312" w:cs="仿宋_GB2312"/>
          <w:color w:val="auto"/>
          <w:spacing w:val="0"/>
          <w:w w:val="100"/>
          <w:sz w:val="32"/>
          <w:lang w:eastAsia="zh-CN"/>
        </w:rPr>
        <w:t>号关于优化</w:t>
      </w:r>
      <w:r>
        <w:rPr>
          <w:rFonts w:hint="eastAsia" w:ascii="仿宋_GB2312" w:hAnsi="仿宋_GB2312" w:eastAsia="仿宋_GB2312" w:cs="仿宋_GB2312"/>
          <w:color w:val="auto"/>
          <w:spacing w:val="0"/>
          <w:w w:val="100"/>
          <w:sz w:val="32"/>
          <w:lang w:val="en-US" w:eastAsia="zh-CN"/>
        </w:rPr>
        <w:t>我县</w:t>
      </w:r>
      <w:r>
        <w:rPr>
          <w:rFonts w:hint="eastAsia" w:ascii="仿宋_GB2312" w:hAnsi="仿宋_GB2312" w:eastAsia="仿宋_GB2312" w:cs="仿宋_GB2312"/>
          <w:color w:val="auto"/>
          <w:spacing w:val="0"/>
          <w:w w:val="100"/>
          <w:sz w:val="32"/>
          <w:lang w:eastAsia="zh-CN"/>
        </w:rPr>
        <w:t>营商环境的</w:t>
      </w:r>
      <w:r>
        <w:rPr>
          <w:rFonts w:hint="eastAsia" w:ascii="仿宋_GB2312" w:hAnsi="仿宋_GB2312" w:eastAsia="仿宋_GB2312" w:cs="仿宋_GB2312"/>
          <w:color w:val="auto"/>
          <w:spacing w:val="0"/>
          <w:w w:val="100"/>
          <w:sz w:val="32"/>
          <w:lang w:val="en-US" w:eastAsia="zh-CN"/>
        </w:rPr>
        <w:t>提案</w:t>
      </w:r>
      <w:r>
        <w:rPr>
          <w:rFonts w:hint="eastAsia" w:ascii="仿宋_GB2312" w:hAnsi="仿宋_GB2312" w:eastAsia="仿宋_GB2312" w:cs="仿宋_GB2312"/>
          <w:color w:val="auto"/>
          <w:spacing w:val="0"/>
          <w:w w:val="100"/>
          <w:sz w:val="32"/>
          <w:lang w:eastAsia="zh-CN"/>
        </w:rPr>
        <w:t>收悉。现答复如下：</w:t>
      </w:r>
    </w:p>
    <w:p w14:paraId="39CB3785">
      <w:pPr>
        <w:pStyle w:val="8"/>
        <w:keepNext w:val="0"/>
        <w:keepLines w:val="0"/>
        <w:pageBreakBefore w:val="0"/>
        <w:wordWrap/>
        <w:overflowPunct/>
        <w:topLinePunct w:val="0"/>
        <w:bidi w:val="0"/>
        <w:spacing w:line="600" w:lineRule="exact"/>
        <w:ind w:left="0" w:firstLine="640" w:firstLineChars="200"/>
        <w:rPr>
          <w:rFonts w:hint="eastAsia" w:ascii="仿宋_GB2312" w:hAnsi="仿宋_GB2312" w:eastAsia="仿宋_GB2312" w:cs="仿宋_GB2312"/>
          <w:color w:val="auto"/>
          <w:spacing w:val="0"/>
          <w:w w:val="100"/>
          <w:sz w:val="32"/>
          <w:lang w:val="en-US" w:eastAsia="zh-CN"/>
        </w:rPr>
      </w:pPr>
      <w:r>
        <w:rPr>
          <w:rFonts w:hint="eastAsia" w:ascii="仿宋_GB2312" w:hAnsi="仿宋_GB2312" w:eastAsia="仿宋_GB2312" w:cs="仿宋_GB2312"/>
          <w:color w:val="auto"/>
          <w:spacing w:val="0"/>
          <w:w w:val="100"/>
          <w:sz w:val="32"/>
          <w:lang w:eastAsia="zh-CN"/>
        </w:rPr>
        <w:t>为认真</w:t>
      </w:r>
      <w:r>
        <w:rPr>
          <w:rFonts w:hint="eastAsia" w:ascii="仿宋_GB2312" w:hAnsi="仿宋_GB2312" w:eastAsia="仿宋_GB2312" w:cs="仿宋_GB2312"/>
          <w:color w:val="auto"/>
          <w:spacing w:val="0"/>
          <w:w w:val="100"/>
          <w:sz w:val="32"/>
          <w:lang w:val="en-US" w:eastAsia="zh-CN"/>
        </w:rPr>
        <w:t>贯彻落实省委、省政府，市委、市政府关于优化营商环境决策部署，我县聚力改革攻坚，强化政策落实，抓好经济工作中“营商环境”这个第一要件，为全县经济高质量发展提供坚实保障。</w:t>
      </w:r>
    </w:p>
    <w:p w14:paraId="0D0E1A35">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default" w:ascii="黑体" w:hAnsi="黑体" w:eastAsia="黑体" w:cs="黑体"/>
          <w:spacing w:val="0"/>
          <w:w w:val="100"/>
          <w:sz w:val="32"/>
          <w:lang w:val="en-US" w:eastAsia="zh-CN"/>
        </w:rPr>
      </w:pPr>
      <w:r>
        <w:rPr>
          <w:rFonts w:hint="eastAsia" w:ascii="黑体" w:hAnsi="黑体" w:eastAsia="黑体" w:cs="黑体"/>
          <w:spacing w:val="0"/>
          <w:w w:val="100"/>
          <w:sz w:val="32"/>
          <w:lang w:val="en-US" w:eastAsia="zh-CN"/>
        </w:rPr>
        <w:t>一、聚焦思想解放，进一步形成“全县一盘棋”格局</w:t>
      </w:r>
    </w:p>
    <w:p w14:paraId="0EC12C8C">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spacing w:val="0"/>
          <w:w w:val="100"/>
          <w:sz w:val="32"/>
          <w:lang w:val="en-US" w:eastAsia="zh-CN"/>
        </w:rPr>
      </w:pPr>
      <w:r>
        <w:rPr>
          <w:rFonts w:hint="eastAsia" w:ascii="仿宋_GB2312" w:hAnsi="仿宋_GB2312" w:eastAsia="仿宋_GB2312" w:cs="仿宋_GB2312"/>
          <w:spacing w:val="0"/>
          <w:w w:val="100"/>
          <w:sz w:val="32"/>
          <w:lang w:val="en-US" w:eastAsia="zh-CN"/>
        </w:rPr>
        <w:t>持之以恒学习贯彻习近平总书记关于优化营商环境的重要讲话精神和视察山西时对优化营商环境作出的重要指示精神，深化思想认识，对优化营商环境的重要性认识再强化。</w:t>
      </w:r>
      <w:r>
        <w:rPr>
          <w:rFonts w:hint="eastAsia" w:ascii="仿宋_GB2312" w:hAnsi="仿宋_GB2312" w:eastAsia="仿宋_GB2312" w:cs="仿宋_GB2312"/>
          <w:kern w:val="0"/>
          <w:sz w:val="32"/>
          <w:szCs w:val="32"/>
          <w:lang w:val="en-US" w:eastAsia="zh-CN" w:bidi="ar"/>
        </w:rPr>
        <w:t>将深化“放管服”改革、优化营商环境作为“一号工程”抓紧抓实，由县委书记、县长部署推动。2026年拟定《阳城县营商环境创优提升举措“六定”“四清单”台账》，进一步压实各级各部门主体责任，强化部门协同联动，推动形成上下贯通、左右协同、齐抓共管的营商环境建设工作格局。</w:t>
      </w:r>
    </w:p>
    <w:p w14:paraId="551736E8">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eastAsia" w:ascii="黑体" w:hAnsi="黑体" w:eastAsia="黑体" w:cs="黑体"/>
          <w:spacing w:val="0"/>
          <w:w w:val="100"/>
          <w:sz w:val="32"/>
          <w:lang w:val="en-US" w:eastAsia="zh-CN"/>
        </w:rPr>
      </w:pPr>
      <w:r>
        <w:rPr>
          <w:rFonts w:hint="eastAsia" w:ascii="黑体" w:hAnsi="黑体" w:eastAsia="黑体" w:cs="黑体"/>
          <w:spacing w:val="0"/>
          <w:w w:val="100"/>
          <w:sz w:val="32"/>
          <w:lang w:val="en-US" w:eastAsia="zh-CN"/>
        </w:rPr>
        <w:t>二、深耕一网通办改革，以标准办事降低企业群众办事成本</w:t>
      </w:r>
    </w:p>
    <w:p w14:paraId="05BE9246">
      <w:pPr>
        <w:keepNext w:val="0"/>
        <w:keepLines w:val="0"/>
        <w:pageBreakBefore w:val="0"/>
        <w:widowControl w:val="0"/>
        <w:kinsoku/>
        <w:wordWrap/>
        <w:overflowPunct/>
        <w:topLinePunct w:val="0"/>
        <w:autoSpaceDE/>
        <w:autoSpaceDN/>
        <w:bidi w:val="0"/>
        <w:adjustRightInd/>
        <w:snapToGrid/>
        <w:spacing w:line="600" w:lineRule="exact"/>
        <w:ind w:left="0" w:firstLine="68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持续推进行政审批事项标准化提质与线上服务升级，分阶段补齐办事指南短板、优化线上办事渠道、夯实数字办事支撑能力。一是抓实事项标准化动态管护。完成依申请事项办事指南标准化发布，并对全量许可事项开展“回头看”复核，持续整改要素缺失、流程滞后等问题。目前，全县一体化平台共发布依申请六类许可事项1223项，办事指南准确率稳定保持在90%以上，实现线上线下办事标准统一、口径一致。二是全面提升网办服务能力。全县政务服务事项可网办率达98.02%，即办事项占比47.94%；完成357项县级许可事项认领、214项许可事项融合确认，279个审批事项实现新旧业务系统平稳切换；制作46个高频事项导办视频，有效降低群众网办操作门槛，线上办事意愿逐年提升。三是强化电子证照赋能应用。扩容电子证照库至146类模板，累计生成电子证照60954个，依托证照共享全面落实“减材料、免提交”改革要求，切实减少办事群众纸质材料提交量。</w:t>
      </w:r>
    </w:p>
    <w:p w14:paraId="029AC0D3">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default" w:ascii="黑体" w:hAnsi="黑体" w:eastAsia="黑体" w:cs="黑体"/>
          <w:spacing w:val="0"/>
          <w:w w:val="100"/>
          <w:sz w:val="32"/>
          <w:lang w:val="en-US" w:eastAsia="zh-CN"/>
        </w:rPr>
      </w:pPr>
      <w:r>
        <w:rPr>
          <w:rFonts w:hint="eastAsia" w:ascii="黑体" w:hAnsi="黑体" w:eastAsia="黑体" w:cs="黑体"/>
          <w:spacing w:val="0"/>
          <w:w w:val="100"/>
          <w:sz w:val="32"/>
          <w:lang w:val="en-US" w:eastAsia="zh-CN"/>
        </w:rPr>
        <w:t>三、加强业务培训，着力提升政务服务质效</w:t>
      </w:r>
    </w:p>
    <w:p w14:paraId="7D2CC625">
      <w:pPr>
        <w:keepNext w:val="0"/>
        <w:keepLines w:val="0"/>
        <w:pageBreakBefore w:val="0"/>
        <w:widowControl w:val="0"/>
        <w:kinsoku/>
        <w:wordWrap/>
        <w:overflowPunct/>
        <w:topLinePunct w:val="0"/>
        <w:autoSpaceDE/>
        <w:autoSpaceDN/>
        <w:bidi w:val="0"/>
        <w:adjustRightInd/>
        <w:snapToGrid/>
        <w:spacing w:line="600" w:lineRule="exact"/>
        <w:ind w:left="0" w:firstLine="68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一是针对审批人员对“市县同权”市级下放95项事项“政策不熟悉、流程不掌握、标准不清晰”的突出问题，我县主动对接市行政审批局，分3批次组织各承接部门审批骨干参加市局举办的为期一周的专题业务培训，重点学习事项受理条件、审核标准、流程规范及系统操作等核心内容。建立“市级业务指导员+县级联络员”双向对接机制，指定专人负责日常业务咨询，实时解决审批过程中遇到的堵点难点问题，形成“集中培训+实时指导”的能力提升模式，确保审批人员实现“懂政策、熟流程、会操作、能办事、善服务”的工作目标。二是年初组织全县各乡镇和精品示范村的45名红色代办员，开展乡村两级红色代办员业务培训。培训紧扣基层政务服务实际需求，精准聚焦城乡居民养老保险、医保、税务、登记注册四大核心业务模块，结合最新政策要求，对各项业务的办理流程、申报材料、操作规范及常见问题进行了讲解。通过培训，学员们不仅深化了对政策文件的理解，更掌握了标准化、规范化的业务办理流程，有效弥补了业务短板。三是五月份结合市场主体登记新规落地要求，集中组织综合窗口工作人员学习《经营主体登记文书规范（2026 年版）》《经营主体登记提交材料规范（2026 年版）》，深入解读新规变化、材料标准与办理要点。同时同步开展新业务系统实操培训，确保窗口人员熟练掌握操作流程，全面适配新规范、新系统运行需求。</w:t>
      </w:r>
    </w:p>
    <w:p w14:paraId="24BBC9C3">
      <w:pPr>
        <w:keepNext w:val="0"/>
        <w:keepLines w:val="0"/>
        <w:pageBreakBefore w:val="0"/>
        <w:widowControl w:val="0"/>
        <w:kinsoku/>
        <w:wordWrap/>
        <w:overflowPunct/>
        <w:topLinePunct w:val="0"/>
        <w:autoSpaceDE/>
        <w:autoSpaceDN/>
        <w:bidi w:val="0"/>
        <w:adjustRightInd/>
        <w:snapToGrid/>
        <w:spacing w:line="600" w:lineRule="exact"/>
        <w:ind w:left="0" w:firstLine="68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 w:eastAsia="zh-CN"/>
        </w:rPr>
        <w:t>感谢您对</w:t>
      </w:r>
      <w:r>
        <w:rPr>
          <w:rFonts w:hint="eastAsia" w:ascii="仿宋_GB2312" w:hAnsi="仿宋_GB2312" w:eastAsia="仿宋_GB2312" w:cs="仿宋_GB2312"/>
          <w:sz w:val="32"/>
          <w:szCs w:val="32"/>
          <w:lang w:val="en-US" w:eastAsia="zh-CN"/>
        </w:rPr>
        <w:t>营商环境工作的关心和支持，下一步我们将</w:t>
      </w:r>
      <w:r>
        <w:rPr>
          <w:rFonts w:hint="eastAsia" w:ascii="仿宋_GB2312" w:hAnsi="仿宋_GB2312" w:eastAsia="仿宋_GB2312" w:cs="仿宋_GB2312"/>
          <w:color w:val="auto"/>
          <w:sz w:val="32"/>
          <w:szCs w:val="32"/>
          <w:vertAlign w:val="baseline"/>
          <w:lang w:val="en-US" w:eastAsia="zh-CN"/>
        </w:rPr>
        <w:t>聚焦解决企业群众的“急难愁盼”和堵点难点痛点问题，以强烈的责任担当、有力的工作举措、过硬的能力作风开展营商环境重点领域改革攻坚，</w:t>
      </w:r>
      <w:r>
        <w:rPr>
          <w:rFonts w:hint="eastAsia" w:ascii="仿宋_GB2312" w:hAnsi="仿宋_GB2312" w:eastAsia="仿宋_GB2312" w:cs="仿宋_GB2312"/>
          <w:color w:val="auto"/>
          <w:sz w:val="32"/>
          <w:szCs w:val="32"/>
          <w:highlight w:val="none"/>
          <w:lang w:val="en-US" w:eastAsia="zh-CN"/>
        </w:rPr>
        <w:t>全面创优我县营商环境，</w:t>
      </w:r>
      <w:r>
        <w:rPr>
          <w:rFonts w:hint="eastAsia" w:ascii="仿宋_GB2312" w:hAnsi="仿宋_GB2312" w:eastAsia="仿宋_GB2312" w:cs="仿宋_GB2312"/>
          <w:sz w:val="32"/>
          <w:szCs w:val="32"/>
          <w:lang w:val="en-US" w:eastAsia="zh-CN"/>
        </w:rPr>
        <w:t>欢迎您今后提出更多宝贵意见！</w:t>
      </w:r>
    </w:p>
    <w:p w14:paraId="1B0D7969">
      <w:pPr>
        <w:keepNext w:val="0"/>
        <w:keepLines w:val="0"/>
        <w:pageBreakBefore w:val="0"/>
        <w:widowControl w:val="0"/>
        <w:kinsoku/>
        <w:wordWrap/>
        <w:overflowPunct/>
        <w:topLinePunct w:val="0"/>
        <w:autoSpaceDE/>
        <w:autoSpaceDN/>
        <w:bidi w:val="0"/>
        <w:adjustRightInd/>
        <w:snapToGrid/>
        <w:spacing w:line="600" w:lineRule="exact"/>
        <w:ind w:firstLine="680" w:firstLineChars="200"/>
        <w:textAlignment w:val="auto"/>
        <w:rPr>
          <w:rFonts w:hint="eastAsia" w:ascii="仿宋_GB2312" w:hAnsi="仿宋_GB2312" w:eastAsia="仿宋_GB2312" w:cs="仿宋_GB2312"/>
          <w:color w:val="auto"/>
          <w:sz w:val="32"/>
          <w:szCs w:val="32"/>
          <w:lang w:val="en-US" w:eastAsia="zh-CN"/>
        </w:rPr>
      </w:pPr>
    </w:p>
    <w:p w14:paraId="0251ED42">
      <w:pPr>
        <w:pStyle w:val="8"/>
        <w:keepNext w:val="0"/>
        <w:keepLines w:val="0"/>
        <w:pageBreakBefore w:val="0"/>
        <w:wordWrap/>
        <w:overflowPunct/>
        <w:topLinePunct w:val="0"/>
        <w:bidi w:val="0"/>
        <w:spacing w:line="600" w:lineRule="exact"/>
        <w:ind w:left="0" w:firstLine="640" w:firstLineChars="200"/>
        <w:rPr>
          <w:rFonts w:hint="eastAsia" w:ascii="仿宋" w:hAnsi="仿宋" w:eastAsia="仿宋" w:cs="仿宋"/>
          <w:color w:val="auto"/>
          <w:spacing w:val="0"/>
          <w:w w:val="100"/>
          <w:sz w:val="32"/>
          <w:lang w:val="en-US" w:eastAsia="zh-CN"/>
        </w:rPr>
      </w:pPr>
      <w:bookmarkStart w:id="0" w:name="_GoBack"/>
      <w:bookmarkEnd w:id="0"/>
    </w:p>
    <w:p w14:paraId="6865D44C"/>
    <w:sectPr>
      <w:footerReference r:id="rId5" w:type="default"/>
      <w:pgSz w:w="11906" w:h="16838"/>
      <w:pgMar w:top="2098" w:right="1474" w:bottom="1984" w:left="1587" w:header="851" w:footer="1417"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B6A2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8590E">
                          <w:pPr>
                            <w:pStyle w:val="4"/>
                            <w:rPr>
                              <w:rFonts w:hint="eastAsia" w:ascii="宋体" w:hAnsi="宋体" w:eastAsia="宋体" w:cs="宋体"/>
                              <w:sz w:val="32"/>
                              <w:szCs w:val="32"/>
                            </w:rPr>
                          </w:pPr>
                          <w:r>
                            <w:rPr>
                              <w:rFonts w:hint="eastAsia" w:ascii="宋体" w:hAnsi="宋体" w:eastAsia="宋体" w:cs="宋体"/>
                              <w:sz w:val="32"/>
                              <w:szCs w:val="32"/>
                            </w:rPr>
                            <w:t xml:space="preserve">— </w:t>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68590E">
                    <w:pPr>
                      <w:pStyle w:val="4"/>
                      <w:rPr>
                        <w:rFonts w:hint="eastAsia" w:ascii="宋体" w:hAnsi="宋体" w:eastAsia="宋体" w:cs="宋体"/>
                        <w:sz w:val="32"/>
                        <w:szCs w:val="32"/>
                      </w:rPr>
                    </w:pPr>
                    <w:r>
                      <w:rPr>
                        <w:rFonts w:hint="eastAsia" w:ascii="宋体" w:hAnsi="宋体" w:eastAsia="宋体" w:cs="宋体"/>
                        <w:sz w:val="32"/>
                        <w:szCs w:val="32"/>
                      </w:rPr>
                      <w:t xml:space="preserve">— </w:t>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z w:val="32"/>
                        <w:szCs w:val="32"/>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22591"/>
    <w:rsid w:val="053849C7"/>
    <w:rsid w:val="05FF6AEF"/>
    <w:rsid w:val="099A0675"/>
    <w:rsid w:val="10FC4D03"/>
    <w:rsid w:val="202D3914"/>
    <w:rsid w:val="2AF12B61"/>
    <w:rsid w:val="3DB54BDD"/>
    <w:rsid w:val="3DFD26B4"/>
    <w:rsid w:val="435353E2"/>
    <w:rsid w:val="476B4E24"/>
    <w:rsid w:val="55D35205"/>
    <w:rsid w:val="5CB309A7"/>
    <w:rsid w:val="5D0B2591"/>
    <w:rsid w:val="6E2A4841"/>
    <w:rsid w:val="73E779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beforeLines="0" w:after="0" w:afterLines="0" w:line="365" w:lineRule="atLeast"/>
      <w:ind w:left="1" w:right="0" w:firstLine="0" w:firstLineChars="0"/>
      <w:jc w:val="both"/>
      <w:textAlignment w:val="bottom"/>
    </w:pPr>
    <w:rPr>
      <w:rFonts w:ascii="Calibri" w:hAnsi="Calibri" w:eastAsia="宋体" w:cs="Times New Roman"/>
      <w:spacing w:val="10"/>
      <w:sz w:val="21"/>
      <w:szCs w:val="22"/>
    </w:rPr>
  </w:style>
  <w:style w:type="paragraph" w:styleId="2">
    <w:name w:val="heading 1"/>
    <w:basedOn w:val="1"/>
    <w:next w:val="1"/>
    <w:qFormat/>
    <w:uiPriority w:val="0"/>
    <w:pPr>
      <w:spacing w:after="50" w:afterLines="50" w:line="640" w:lineRule="exact"/>
      <w:outlineLvl w:val="0"/>
    </w:pPr>
    <w:rPr>
      <w:rFonts w:ascii="方正小标宋简体" w:eastAsia="方正小标宋简体"/>
      <w:sz w:val="44"/>
      <w:szCs w:val="36"/>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Salutation"/>
    <w:next w:val="1"/>
    <w:qFormat/>
    <w:uiPriority w:val="0"/>
    <w:pPr>
      <w:widowControl w:val="0"/>
      <w:suppressAutoHyphens w:val="0"/>
      <w:spacing w:before="0" w:beforeLines="0" w:after="0" w:afterLines="0" w:line="365" w:lineRule="atLeast"/>
      <w:ind w:left="1" w:right="0" w:firstLine="0" w:firstLineChars="0"/>
      <w:jc w:val="both"/>
      <w:textAlignment w:val="bottom"/>
    </w:pPr>
    <w:rPr>
      <w:rFonts w:ascii="Calibri" w:hAnsi="Calibri" w:eastAsia="宋体" w:cs="Times New Roman"/>
      <w:spacing w:val="10"/>
      <w:sz w:val="21"/>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纯文本1"/>
    <w:qFormat/>
    <w:uiPriority w:val="0"/>
    <w:pPr>
      <w:widowControl w:val="0"/>
      <w:spacing w:before="0" w:beforeLines="0" w:after="0" w:afterLines="0" w:line="365" w:lineRule="atLeast"/>
      <w:ind w:left="1" w:right="0" w:firstLine="0" w:firstLineChars="0"/>
      <w:jc w:val="both"/>
      <w:textAlignment w:val="bottom"/>
    </w:pPr>
    <w:rPr>
      <w:rFonts w:ascii="宋体" w:hAnsi="Courier New" w:eastAsia="宋体" w:cs="Courier New"/>
      <w:spacing w:val="1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8dc0e316-c122-4093-9ce6-26e28439ca7e</errorID>
      <errorWord>        </errorWord>
      <group>L1_Format</group>
      <groupName>格式问题</groupName>
      <ability>L2_Whitespace</ability>
      <abilityName>空白字符</abilityName>
      <candidateList>
        <item/>
      </candidateList>
      <explain>文本间存在多余的空白字符。</explain>
      <paraID>3B6F4E80</paraID>
      <start>19</start>
      <end>27</end>
      <status>unmodified</status>
      <modifiedWord/>
      <trackRevisions>false</trackRevisions>
    </reviewItem>
    <reviewItem>
      <errorID>e0b72f96-3530-410d-b5f2-529d31400aa0</errorID>
      <errorWord>省委省政府</errorWord>
      <group>L1_Political</group>
      <groupName>政治性问题</groupName>
      <ability>L2_Keyword</ability>
      <abilityName>固定表述</abilityName>
      <candidateList>
        <item>省委、省政府</item>
      </candidateList>
      <explain>注意检查当前固定表述标点是否使用规范。</explain>
      <paraID>39CB3785</paraID>
      <start>7</start>
      <end>12</end>
      <status>unmodified</status>
      <modifiedWord/>
      <trackRevisions>false</trackRevisions>
    </reviewItem>
    <reviewItem>
      <errorID>79b170fb-a932-432c-9e1d-0a8922b4f2f9</errorID>
      <errorWord>市委市政府</errorWord>
      <group>L1_Word</group>
      <groupName>字词问题</groupName>
      <ability>L2_Typo</ability>
      <abilityName>字词错误</abilityName>
      <candidateList>
        <item>市委、市政府</item>
      </candidateList>
      <explain/>
      <paraID>39CB3785</paraID>
      <start>13</start>
      <end>18</end>
      <status>unmodified</status>
      <modifiedWord/>
      <trackRevisions>false</trackRevisions>
    </reviewItem>
    <reviewItem>
      <errorID>13591ca1-db8f-4fd3-be99-ee5f4e651728</errorID>
      <errorWord>一网通办</errorWord>
      <group>L1_Political</group>
      <groupName>政治性问题</groupName>
      <ability>L2_Keyword</ability>
      <abilityName>固定表述</abilityName>
      <candidateList>
        <item>“一网通办”</item>
      </candidateList>
      <explain>注意检查当前固定表述标点是否使用规范。</explain>
      <paraID>551736E8</paraID>
      <start>4</start>
      <end>8</end>
      <status>unmodified</status>
      <modifiedWord/>
      <trackRevisions>false</trackRevisions>
    </reviewItem>
    <reviewItem>
      <errorID>e120f1d2-7888-464c-aa4c-474f264fd11a</errorID>
      <errorWord>。</errorWord>
      <group>L1_Grammar</group>
      <groupName>语法问题</groupName>
      <ability>L2_Order</ability>
      <abilityName>语序不当</abilityName>
      <candidateList>
        <item>的目标。</item>
      </candidateList>
      <explain>句子可能没有遵循时空、逻辑顺序，或者介词、关联词等位置不当。</explain>
      <paraID> 5BE9246</paraID>
      <start>184</start>
      <end>185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a916d2-a721-4a04-98a4-107b88becec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1517</Words>
  <Characters>1570</Characters>
  <Lines>0</Lines>
  <Paragraphs>0</Paragraphs>
  <TotalTime>3</TotalTime>
  <ScaleCrop>false</ScaleCrop>
  <LinksUpToDate>false</LinksUpToDate>
  <CharactersWithSpaces>1675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2026-06-09T01:17:00Z</dcterms:created>
  <dc:creator>Administrator</dc:creator>
  <cp:lastModifiedBy>心琪</cp:lastModifiedBy>
  <cp:lastPrinted>2026-07-21T03:15:00Z</cp:lastPrinted>
  <dcterms:modified xsi:type="dcterms:W3CDTF">2026-08-06T06:54:44Z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eyJoZGlkIjoiNDQ5ODg4YTQwYzZhOTVhYThhOGY2YTQ2MGYwNDA2MzkiLCJ1c2VySWQiOiIxMDU5MDI0MTI5In0=</vt:lpwstr>
  </property>
  <property fmtid="{D5CDD505-2E9C-101B-9397-08002B2CF9AE}" pid="4" name="ICV">
    <vt:lpwstr>E1E97015A2D248CA942A3FDEC2305A59_12</vt:lpwstr>
  </property>
</Properties>
</file>