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阳城县中李丘城中村改造工程</w:t>
      </w:r>
    </w:p>
    <w:p>
      <w:pPr>
        <w:jc w:val="center"/>
        <w:rPr>
          <w:rFonts w:hint="eastAsia"/>
          <w:b/>
          <w:bCs/>
          <w:sz w:val="44"/>
          <w:szCs w:val="44"/>
          <w:lang w:eastAsia="zh-CN"/>
        </w:rPr>
      </w:pPr>
      <w:r>
        <w:rPr>
          <w:rFonts w:hint="eastAsia"/>
          <w:b/>
          <w:bCs/>
          <w:sz w:val="44"/>
          <w:szCs w:val="44"/>
          <w:lang w:eastAsia="zh-CN"/>
        </w:rPr>
        <w:t>房屋征收补偿与安置方案</w:t>
      </w:r>
    </w:p>
    <w:p>
      <w:pPr>
        <w:jc w:val="center"/>
        <w:rPr>
          <w:rFonts w:hint="eastAsia"/>
          <w:b/>
          <w:bCs/>
          <w:sz w:val="44"/>
          <w:szCs w:val="44"/>
          <w:lang w:eastAsia="zh-CN"/>
        </w:rPr>
      </w:pPr>
    </w:p>
    <w:p>
      <w:pPr>
        <w:widowControl w:val="0"/>
        <w:numPr>
          <w:ilvl w:val="0"/>
          <w:numId w:val="0"/>
        </w:numPr>
        <w:wordWrap/>
        <w:adjustRightInd/>
        <w:snapToGrid/>
        <w:spacing w:line="240" w:lineRule="auto"/>
        <w:ind w:right="0"/>
        <w:rPr>
          <w:rFonts w:hint="eastAsia"/>
          <w:sz w:val="28"/>
          <w:szCs w:val="28"/>
          <w:lang w:eastAsia="zh-CN"/>
        </w:rPr>
      </w:pPr>
      <w:r>
        <w:rPr>
          <w:rFonts w:hint="eastAsia"/>
          <w:sz w:val="28"/>
          <w:szCs w:val="28"/>
          <w:lang w:val="en-US" w:eastAsia="zh-CN"/>
        </w:rPr>
        <w:t xml:space="preserve">    </w:t>
      </w:r>
      <w:r>
        <w:rPr>
          <w:rFonts w:hint="eastAsia"/>
          <w:sz w:val="28"/>
          <w:szCs w:val="28"/>
          <w:lang w:eastAsia="zh-CN"/>
        </w:rPr>
        <w:t>根据阳城县国民经济和社会发展总体规划及城市总体规划布局，为加快中李丘城中村改造步伐，改变危、乱、脏、差，基础设施落后的现状，改善居民居住条件，完善城市功能，提升城市整体形象，促进经济、社会、环境的协调发展，现根据国务院《国有土地上房屋征收与补偿条例》等有关规定，结合实际，特制订阳城县中李丘城中村改造工程房屋征收补偿与安置方案。</w:t>
      </w:r>
    </w:p>
    <w:p>
      <w:pPr>
        <w:widowControl w:val="0"/>
        <w:wordWrap/>
        <w:adjustRightInd/>
        <w:snapToGrid/>
        <w:spacing w:line="240" w:lineRule="auto"/>
        <w:ind w:left="0" w:right="0" w:firstLine="562" w:firstLineChars="200"/>
        <w:jc w:val="left"/>
        <w:rPr>
          <w:b/>
          <w:bCs/>
          <w:sz w:val="28"/>
          <w:szCs w:val="28"/>
        </w:rPr>
      </w:pPr>
      <w:r>
        <w:rPr>
          <w:rFonts w:hint="eastAsia"/>
          <w:b/>
          <w:bCs/>
          <w:sz w:val="28"/>
          <w:szCs w:val="28"/>
          <w:lang w:eastAsia="zh-CN"/>
        </w:rPr>
        <w:t>一、</w:t>
      </w:r>
      <w:r>
        <w:rPr>
          <w:b/>
          <w:bCs/>
          <w:sz w:val="28"/>
          <w:szCs w:val="28"/>
        </w:rPr>
        <w:t>征收范围</w:t>
      </w:r>
    </w:p>
    <w:p>
      <w:pPr>
        <w:spacing w:after="0"/>
        <w:ind w:firstLine="560" w:firstLineChars="200"/>
        <w:rPr>
          <w:rFonts w:hint="eastAsia" w:ascii="Calibri" w:hAnsi="Calibri" w:eastAsia="宋体" w:cs="黑体"/>
          <w:kern w:val="2"/>
          <w:sz w:val="28"/>
          <w:szCs w:val="28"/>
          <w:lang w:val="en-US" w:eastAsia="zh-CN" w:bidi="ar-SA"/>
        </w:rPr>
      </w:pPr>
      <w:r>
        <w:rPr>
          <w:rFonts w:hint="eastAsia" w:ascii="Calibri" w:hAnsi="Calibri" w:eastAsia="宋体" w:cs="黑体"/>
          <w:kern w:val="2"/>
          <w:sz w:val="28"/>
          <w:szCs w:val="28"/>
          <w:lang w:val="en-US" w:eastAsia="zh-CN" w:bidi="ar-SA"/>
        </w:rPr>
        <w:t>（一）阳城县中李丘城中村改造工程范围</w:t>
      </w:r>
      <w:r>
        <w:rPr>
          <w:rFonts w:hint="eastAsia" w:ascii="Calibri" w:hAnsi="Calibri" w:eastAsia="宋体" w:cs="黑体"/>
          <w:b w:val="0"/>
          <w:bCs w:val="0"/>
          <w:kern w:val="2"/>
          <w:sz w:val="28"/>
          <w:szCs w:val="28"/>
          <w:lang w:val="en-US" w:eastAsia="zh-CN" w:bidi="ar-SA"/>
        </w:rPr>
        <w:t>为：</w:t>
      </w:r>
      <w:r>
        <w:rPr>
          <w:rFonts w:hint="eastAsia" w:ascii="Calibri" w:hAnsi="Calibri" w:eastAsia="宋体" w:cs="黑体"/>
          <w:kern w:val="2"/>
          <w:sz w:val="28"/>
          <w:szCs w:val="28"/>
          <w:lang w:val="en-US" w:eastAsia="zh-CN" w:bidi="ar-SA"/>
        </w:rPr>
        <w:t>东至</w:t>
      </w:r>
      <w:r>
        <w:rPr>
          <w:rFonts w:hint="eastAsia" w:cs="黑体"/>
          <w:kern w:val="2"/>
          <w:sz w:val="28"/>
          <w:szCs w:val="28"/>
          <w:lang w:val="en-US" w:eastAsia="zh-CN" w:bidi="ar-SA"/>
        </w:rPr>
        <w:t>村沿河</w:t>
      </w:r>
      <w:r>
        <w:rPr>
          <w:rFonts w:hint="eastAsia" w:ascii="Calibri" w:hAnsi="Calibri" w:eastAsia="宋体" w:cs="黑体"/>
          <w:kern w:val="2"/>
          <w:sz w:val="28"/>
          <w:szCs w:val="28"/>
          <w:lang w:val="en-US" w:eastAsia="zh-CN" w:bidi="ar-SA"/>
        </w:rPr>
        <w:t>路，南至析城大街，西至迎宾大道，北至中李丘村小学</w:t>
      </w:r>
      <w:r>
        <w:rPr>
          <w:rFonts w:hint="eastAsia" w:cs="黑体"/>
          <w:kern w:val="2"/>
          <w:sz w:val="28"/>
          <w:szCs w:val="28"/>
          <w:lang w:val="en-US" w:eastAsia="zh-CN" w:bidi="ar-SA"/>
        </w:rPr>
        <w:t>（二职）后围墙</w:t>
      </w:r>
      <w:r>
        <w:rPr>
          <w:rFonts w:hint="eastAsia" w:ascii="Calibri" w:hAnsi="Calibri" w:eastAsia="宋体" w:cs="黑体"/>
          <w:b w:val="0"/>
          <w:bCs w:val="0"/>
          <w:kern w:val="2"/>
          <w:sz w:val="28"/>
          <w:szCs w:val="28"/>
          <w:lang w:val="en-US" w:eastAsia="zh-CN" w:bidi="ar-SA"/>
        </w:rPr>
        <w:t>。</w:t>
      </w:r>
      <w:r>
        <w:rPr>
          <w:rFonts w:hint="eastAsia" w:ascii="Calibri" w:hAnsi="Calibri" w:eastAsia="宋体" w:cs="黑体"/>
          <w:kern w:val="2"/>
          <w:sz w:val="28"/>
          <w:szCs w:val="28"/>
          <w:lang w:val="en-US" w:eastAsia="zh-CN" w:bidi="ar-SA"/>
        </w:rPr>
        <w:t>总改造用地面积为</w:t>
      </w:r>
      <w:r>
        <w:rPr>
          <w:rFonts w:hint="eastAsia" w:cs="黑体"/>
          <w:kern w:val="2"/>
          <w:sz w:val="28"/>
          <w:szCs w:val="28"/>
          <w:lang w:val="en-US" w:eastAsia="zh-CN" w:bidi="ar-SA"/>
        </w:rPr>
        <w:t>154</w:t>
      </w:r>
      <w:r>
        <w:rPr>
          <w:rFonts w:hint="eastAsia" w:ascii="Calibri" w:hAnsi="Calibri" w:eastAsia="宋体" w:cs="黑体"/>
          <w:kern w:val="2"/>
          <w:sz w:val="28"/>
          <w:szCs w:val="28"/>
          <w:lang w:val="en-US" w:eastAsia="zh-CN" w:bidi="ar-SA"/>
        </w:rPr>
        <w:t>亩。凡在此范围内需征收的建筑物及其附属物等设施均适用本方案。具体范围以中李丘城中村改造工程规划范围红线为准。</w:t>
      </w:r>
    </w:p>
    <w:p>
      <w:pPr>
        <w:spacing w:after="0"/>
        <w:ind w:firstLine="560" w:firstLineChars="200"/>
        <w:rPr>
          <w:rFonts w:hint="eastAsia"/>
          <w:sz w:val="28"/>
          <w:szCs w:val="28"/>
          <w:lang w:eastAsia="zh-CN"/>
        </w:rPr>
      </w:pPr>
      <w:r>
        <w:rPr>
          <w:rFonts w:hint="eastAsia"/>
          <w:sz w:val="28"/>
          <w:szCs w:val="28"/>
          <w:lang w:eastAsia="zh-CN"/>
        </w:rPr>
        <w:t>（二）</w:t>
      </w:r>
      <w:r>
        <w:rPr>
          <w:sz w:val="28"/>
          <w:szCs w:val="28"/>
        </w:rPr>
        <w:t>在房屋征收范围确定并发布公告之日起，被征收人不得在房屋征收范围内实施新建、扩建、改建房屋和改变房屋</w:t>
      </w:r>
      <w:r>
        <w:rPr>
          <w:rFonts w:hint="eastAsia"/>
          <w:sz w:val="28"/>
          <w:szCs w:val="28"/>
          <w:lang w:eastAsia="zh-CN"/>
        </w:rPr>
        <w:t>用</w:t>
      </w:r>
      <w:r>
        <w:rPr>
          <w:sz w:val="28"/>
          <w:szCs w:val="28"/>
        </w:rPr>
        <w:t>途等不当增加补偿费用的行为；违反规定实施的部分不予</w:t>
      </w:r>
      <w:r>
        <w:rPr>
          <w:rFonts w:hint="eastAsia"/>
          <w:sz w:val="28"/>
          <w:szCs w:val="28"/>
          <w:lang w:eastAsia="zh-CN"/>
        </w:rPr>
        <w:t>补偿。</w:t>
      </w:r>
    </w:p>
    <w:p>
      <w:pPr>
        <w:spacing w:after="0"/>
        <w:ind w:firstLine="562" w:firstLineChars="200"/>
        <w:rPr>
          <w:rFonts w:hint="default"/>
          <w:b/>
          <w:bCs/>
          <w:sz w:val="28"/>
          <w:szCs w:val="28"/>
          <w:lang w:val="en-US"/>
        </w:rPr>
      </w:pPr>
      <w:r>
        <w:rPr>
          <w:rFonts w:hint="eastAsia"/>
          <w:b/>
          <w:bCs/>
          <w:sz w:val="28"/>
          <w:szCs w:val="28"/>
          <w:lang w:eastAsia="zh-CN"/>
        </w:rPr>
        <w:t>二、</w:t>
      </w:r>
      <w:r>
        <w:rPr>
          <w:b/>
          <w:bCs/>
          <w:sz w:val="28"/>
          <w:szCs w:val="28"/>
        </w:rPr>
        <w:t>征收部门和实施单位</w:t>
      </w:r>
      <w:r>
        <w:rPr>
          <w:rFonts w:hint="eastAsia"/>
          <w:b/>
          <w:bCs/>
          <w:sz w:val="44"/>
          <w:szCs w:val="44"/>
          <w:lang w:val="en-US" w:eastAsia="zh-CN"/>
        </w:rPr>
        <w:t xml:space="preserve"> </w:t>
      </w:r>
    </w:p>
    <w:p>
      <w:pPr>
        <w:spacing w:after="0"/>
        <w:ind w:firstLine="560" w:firstLineChars="200"/>
        <w:rPr>
          <w:rFonts w:hint="eastAsia"/>
          <w:sz w:val="28"/>
          <w:szCs w:val="28"/>
          <w:lang w:eastAsia="zh-CN"/>
        </w:rPr>
      </w:pPr>
      <w:r>
        <w:rPr>
          <w:rFonts w:hint="eastAsia"/>
          <w:sz w:val="28"/>
          <w:szCs w:val="28"/>
          <w:lang w:eastAsia="zh-CN"/>
        </w:rPr>
        <w:t>征收部门：阳城县住房和城乡建设管理局</w:t>
      </w:r>
    </w:p>
    <w:p>
      <w:pPr>
        <w:spacing w:after="0"/>
        <w:ind w:firstLine="560" w:firstLineChars="200"/>
        <w:rPr>
          <w:rFonts w:hint="eastAsia"/>
          <w:sz w:val="28"/>
          <w:szCs w:val="28"/>
          <w:lang w:eastAsia="zh-CN"/>
        </w:rPr>
      </w:pPr>
      <w:r>
        <w:rPr>
          <w:rFonts w:hint="eastAsia"/>
          <w:sz w:val="28"/>
          <w:szCs w:val="28"/>
          <w:lang w:eastAsia="zh-CN"/>
        </w:rPr>
        <w:t>征收实施单位：凤城镇人民政府</w:t>
      </w:r>
    </w:p>
    <w:p>
      <w:pPr>
        <w:spacing w:after="0"/>
        <w:ind w:firstLine="560" w:firstLineChars="200"/>
        <w:rPr>
          <w:rFonts w:hint="eastAsia"/>
          <w:sz w:val="28"/>
          <w:szCs w:val="28"/>
          <w:lang w:eastAsia="zh-CN"/>
        </w:rPr>
      </w:pPr>
      <w:r>
        <w:rPr>
          <w:rFonts w:hint="eastAsia"/>
          <w:sz w:val="28"/>
          <w:szCs w:val="28"/>
          <w:lang w:eastAsia="zh-CN"/>
        </w:rPr>
        <w:t>征收实施单位具体承担该项目拆迁改造红线范围内的建筑物及附属物等设施的征收、补偿、拆迁、安置等工作。</w:t>
      </w:r>
    </w:p>
    <w:p>
      <w:pPr>
        <w:spacing w:after="0"/>
        <w:ind w:firstLine="560" w:firstLineChars="200"/>
        <w:rPr>
          <w:rFonts w:hint="eastAsia"/>
          <w:sz w:val="28"/>
          <w:szCs w:val="28"/>
          <w:lang w:eastAsia="zh-CN"/>
        </w:rPr>
      </w:pPr>
      <w:r>
        <w:rPr>
          <w:rFonts w:hint="eastAsia"/>
          <w:sz w:val="28"/>
          <w:szCs w:val="28"/>
          <w:lang w:eastAsia="zh-CN"/>
        </w:rPr>
        <w:t>阳城县住房和城乡建设管理局对房屋征收实施单位在委托范围内实施的房屋征收与补偿行为负责监督，并对其行为后果承担法律责任。</w:t>
      </w:r>
    </w:p>
    <w:p>
      <w:pPr>
        <w:spacing w:after="0"/>
        <w:ind w:firstLine="562" w:firstLineChars="200"/>
        <w:rPr>
          <w:b/>
          <w:bCs/>
          <w:sz w:val="28"/>
          <w:szCs w:val="28"/>
        </w:rPr>
      </w:pPr>
      <w:r>
        <w:rPr>
          <w:rFonts w:hint="eastAsia"/>
          <w:b/>
          <w:bCs/>
          <w:sz w:val="28"/>
          <w:szCs w:val="28"/>
          <w:lang w:eastAsia="zh-CN"/>
        </w:rPr>
        <w:t>三、</w:t>
      </w:r>
      <w:r>
        <w:rPr>
          <w:b/>
          <w:bCs/>
          <w:sz w:val="28"/>
          <w:szCs w:val="28"/>
        </w:rPr>
        <w:t>被征收房屋的认定</w:t>
      </w:r>
    </w:p>
    <w:p>
      <w:pPr>
        <w:spacing w:after="0"/>
        <w:ind w:firstLine="560" w:firstLineChars="200"/>
        <w:rPr>
          <w:b/>
          <w:bCs/>
          <w:sz w:val="28"/>
          <w:szCs w:val="28"/>
        </w:rPr>
      </w:pPr>
      <w:r>
        <w:rPr>
          <w:rFonts w:hint="eastAsia"/>
          <w:sz w:val="28"/>
          <w:szCs w:val="28"/>
          <w:lang w:eastAsia="zh-CN"/>
        </w:rPr>
        <w:t>（一）</w:t>
      </w:r>
      <w:r>
        <w:rPr>
          <w:sz w:val="28"/>
          <w:szCs w:val="28"/>
        </w:rPr>
        <w:t>被征收房屋的权属认定，以《土地使用权证》、《房屋所有权证》</w:t>
      </w:r>
      <w:r>
        <w:rPr>
          <w:rFonts w:hint="eastAsia"/>
          <w:sz w:val="28"/>
          <w:szCs w:val="28"/>
          <w:lang w:eastAsia="zh-CN"/>
        </w:rPr>
        <w:t>、《不动产权证》及法院生效法律文书、生效仲裁文书</w:t>
      </w:r>
      <w:r>
        <w:rPr>
          <w:sz w:val="28"/>
          <w:szCs w:val="28"/>
        </w:rPr>
        <w:t>等有效的法律文书为依据。</w:t>
      </w:r>
      <w:r>
        <w:rPr>
          <w:rFonts w:hint="eastAsia"/>
          <w:sz w:val="28"/>
          <w:szCs w:val="28"/>
        </w:rPr>
        <w:t>对未经登记的房屋以有关部门认定的结果处理。对认定为违法建筑和超过批准期限的临时建筑，不予补偿。</w:t>
      </w:r>
    </w:p>
    <w:p>
      <w:pPr>
        <w:spacing w:after="0"/>
        <w:ind w:firstLine="560" w:firstLineChars="200"/>
        <w:rPr>
          <w:sz w:val="28"/>
          <w:szCs w:val="28"/>
        </w:rPr>
      </w:pPr>
      <w:r>
        <w:rPr>
          <w:rFonts w:ascii="Calibri" w:hAnsi="Calibri" w:eastAsia="宋体" w:cs="黑体"/>
          <w:kern w:val="2"/>
          <w:sz w:val="28"/>
          <w:szCs w:val="28"/>
          <w:lang w:val="en-US" w:eastAsia="zh-CN" w:bidi="ar-SA"/>
        </w:rPr>
        <w:drawing>
          <wp:anchor distT="0" distB="0" distL="114300" distR="114300" simplePos="0" relativeHeight="251660288" behindDoc="0" locked="0" layoutInCell="1" allowOverlap="1">
            <wp:simplePos x="0" y="0"/>
            <wp:positionH relativeFrom="page">
              <wp:posOffset>352425</wp:posOffset>
            </wp:positionH>
            <wp:positionV relativeFrom="page">
              <wp:posOffset>3097530</wp:posOffset>
            </wp:positionV>
            <wp:extent cx="5080" cy="10160"/>
            <wp:effectExtent l="0" t="0" r="0" b="0"/>
            <wp:wrapSquare wrapText="bothSides"/>
            <wp:docPr id="1" name="Picture 2232"/>
            <wp:cNvGraphicFramePr/>
            <a:graphic xmlns:a="http://schemas.openxmlformats.org/drawingml/2006/main">
              <a:graphicData uri="http://schemas.openxmlformats.org/drawingml/2006/picture">
                <pic:pic xmlns:pic="http://schemas.openxmlformats.org/drawingml/2006/picture">
                  <pic:nvPicPr>
                    <pic:cNvPr id="1" name="Picture 2232"/>
                    <pic:cNvPicPr/>
                  </pic:nvPicPr>
                  <pic:blipFill>
                    <a:blip r:embed="rId5"/>
                    <a:stretch>
                      <a:fillRect/>
                    </a:stretch>
                  </pic:blipFill>
                  <pic:spPr>
                    <a:xfrm>
                      <a:off x="0" y="0"/>
                      <a:ext cx="5080" cy="10160"/>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61312" behindDoc="0" locked="0" layoutInCell="1" allowOverlap="1">
            <wp:simplePos x="0" y="0"/>
            <wp:positionH relativeFrom="page">
              <wp:posOffset>585470</wp:posOffset>
            </wp:positionH>
            <wp:positionV relativeFrom="page">
              <wp:posOffset>5678805</wp:posOffset>
            </wp:positionV>
            <wp:extent cx="5080" cy="34925"/>
            <wp:effectExtent l="0" t="0" r="13970" b="3175"/>
            <wp:wrapSquare wrapText="bothSides"/>
            <wp:docPr id="2" name="Picture 2236"/>
            <wp:cNvGraphicFramePr/>
            <a:graphic xmlns:a="http://schemas.openxmlformats.org/drawingml/2006/main">
              <a:graphicData uri="http://schemas.openxmlformats.org/drawingml/2006/picture">
                <pic:pic xmlns:pic="http://schemas.openxmlformats.org/drawingml/2006/picture">
                  <pic:nvPicPr>
                    <pic:cNvPr id="2" name="Picture 2236"/>
                    <pic:cNvPicPr/>
                  </pic:nvPicPr>
                  <pic:blipFill>
                    <a:blip r:embed="rId6"/>
                    <a:stretch>
                      <a:fillRect/>
                    </a:stretch>
                  </pic:blipFill>
                  <pic:spPr>
                    <a:xfrm>
                      <a:off x="0" y="0"/>
                      <a:ext cx="5080" cy="34925"/>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62336" behindDoc="0" locked="0" layoutInCell="1" allowOverlap="1">
            <wp:simplePos x="0" y="0"/>
            <wp:positionH relativeFrom="page">
              <wp:posOffset>610235</wp:posOffset>
            </wp:positionH>
            <wp:positionV relativeFrom="page">
              <wp:posOffset>5723255</wp:posOffset>
            </wp:positionV>
            <wp:extent cx="5080" cy="34925"/>
            <wp:effectExtent l="0" t="0" r="13970" b="3175"/>
            <wp:wrapSquare wrapText="bothSides"/>
            <wp:docPr id="3" name="Picture 2237"/>
            <wp:cNvGraphicFramePr/>
            <a:graphic xmlns:a="http://schemas.openxmlformats.org/drawingml/2006/main">
              <a:graphicData uri="http://schemas.openxmlformats.org/drawingml/2006/picture">
                <pic:pic xmlns:pic="http://schemas.openxmlformats.org/drawingml/2006/picture">
                  <pic:nvPicPr>
                    <pic:cNvPr id="3" name="Picture 2237"/>
                    <pic:cNvPicPr/>
                  </pic:nvPicPr>
                  <pic:blipFill>
                    <a:blip r:embed="rId7"/>
                    <a:stretch>
                      <a:fillRect/>
                    </a:stretch>
                  </pic:blipFill>
                  <pic:spPr>
                    <a:xfrm>
                      <a:off x="0" y="0"/>
                      <a:ext cx="5080" cy="34925"/>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63360" behindDoc="0" locked="0" layoutInCell="1" allowOverlap="1">
            <wp:simplePos x="0" y="0"/>
            <wp:positionH relativeFrom="page">
              <wp:posOffset>585470</wp:posOffset>
            </wp:positionH>
            <wp:positionV relativeFrom="page">
              <wp:posOffset>5812790</wp:posOffset>
            </wp:positionV>
            <wp:extent cx="5080" cy="14605"/>
            <wp:effectExtent l="0" t="0" r="0" b="0"/>
            <wp:wrapSquare wrapText="bothSides"/>
            <wp:docPr id="4" name="Picture 2238"/>
            <wp:cNvGraphicFramePr/>
            <a:graphic xmlns:a="http://schemas.openxmlformats.org/drawingml/2006/main">
              <a:graphicData uri="http://schemas.openxmlformats.org/drawingml/2006/picture">
                <pic:pic xmlns:pic="http://schemas.openxmlformats.org/drawingml/2006/picture">
                  <pic:nvPicPr>
                    <pic:cNvPr id="4" name="Picture 2238"/>
                    <pic:cNvPicPr/>
                  </pic:nvPicPr>
                  <pic:blipFill>
                    <a:blip r:embed="rId8"/>
                    <a:stretch>
                      <a:fillRect/>
                    </a:stretch>
                  </pic:blipFill>
                  <pic:spPr>
                    <a:xfrm>
                      <a:off x="0" y="0"/>
                      <a:ext cx="5080" cy="14605"/>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64384" behindDoc="0" locked="0" layoutInCell="1" allowOverlap="1">
            <wp:simplePos x="0" y="0"/>
            <wp:positionH relativeFrom="page">
              <wp:posOffset>610235</wp:posOffset>
            </wp:positionH>
            <wp:positionV relativeFrom="page">
              <wp:posOffset>6473190</wp:posOffset>
            </wp:positionV>
            <wp:extent cx="5080" cy="29845"/>
            <wp:effectExtent l="0" t="0" r="13970" b="8255"/>
            <wp:wrapSquare wrapText="bothSides"/>
            <wp:docPr id="5" name="Picture 2244"/>
            <wp:cNvGraphicFramePr/>
            <a:graphic xmlns:a="http://schemas.openxmlformats.org/drawingml/2006/main">
              <a:graphicData uri="http://schemas.openxmlformats.org/drawingml/2006/picture">
                <pic:pic xmlns:pic="http://schemas.openxmlformats.org/drawingml/2006/picture">
                  <pic:nvPicPr>
                    <pic:cNvPr id="5" name="Picture 2244"/>
                    <pic:cNvPicPr/>
                  </pic:nvPicPr>
                  <pic:blipFill>
                    <a:blip r:embed="rId9"/>
                    <a:stretch>
                      <a:fillRect/>
                    </a:stretch>
                  </pic:blipFill>
                  <pic:spPr>
                    <a:xfrm>
                      <a:off x="0" y="0"/>
                      <a:ext cx="5080" cy="29844"/>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65408" behindDoc="0" locked="0" layoutInCell="1" allowOverlap="1">
            <wp:simplePos x="0" y="0"/>
            <wp:positionH relativeFrom="page">
              <wp:posOffset>570865</wp:posOffset>
            </wp:positionH>
            <wp:positionV relativeFrom="page">
              <wp:posOffset>6631940</wp:posOffset>
            </wp:positionV>
            <wp:extent cx="5080" cy="40005"/>
            <wp:effectExtent l="0" t="0" r="13970" b="17145"/>
            <wp:wrapSquare wrapText="bothSides"/>
            <wp:docPr id="6" name="Picture 2246"/>
            <wp:cNvGraphicFramePr/>
            <a:graphic xmlns:a="http://schemas.openxmlformats.org/drawingml/2006/main">
              <a:graphicData uri="http://schemas.openxmlformats.org/drawingml/2006/picture">
                <pic:pic xmlns:pic="http://schemas.openxmlformats.org/drawingml/2006/picture">
                  <pic:nvPicPr>
                    <pic:cNvPr id="6" name="Picture 2246"/>
                    <pic:cNvPicPr/>
                  </pic:nvPicPr>
                  <pic:blipFill>
                    <a:blip r:embed="rId10"/>
                    <a:stretch>
                      <a:fillRect/>
                    </a:stretch>
                  </pic:blipFill>
                  <pic:spPr>
                    <a:xfrm>
                      <a:off x="0" y="0"/>
                      <a:ext cx="5080" cy="40005"/>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66432" behindDoc="0" locked="0" layoutInCell="1" allowOverlap="1">
            <wp:simplePos x="0" y="0"/>
            <wp:positionH relativeFrom="page">
              <wp:posOffset>595630</wp:posOffset>
            </wp:positionH>
            <wp:positionV relativeFrom="page">
              <wp:posOffset>6686550</wp:posOffset>
            </wp:positionV>
            <wp:extent cx="5080" cy="5080"/>
            <wp:effectExtent l="0" t="0" r="0" b="0"/>
            <wp:wrapSquare wrapText="bothSides"/>
            <wp:docPr id="7" name="Picture 2247"/>
            <wp:cNvGraphicFramePr/>
            <a:graphic xmlns:a="http://schemas.openxmlformats.org/drawingml/2006/main">
              <a:graphicData uri="http://schemas.openxmlformats.org/drawingml/2006/picture">
                <pic:pic xmlns:pic="http://schemas.openxmlformats.org/drawingml/2006/picture">
                  <pic:nvPicPr>
                    <pic:cNvPr id="7" name="Picture 2247"/>
                    <pic:cNvPicPr/>
                  </pic:nvPicPr>
                  <pic:blipFill>
                    <a:blip r:embed="rId11"/>
                    <a:stretch>
                      <a:fillRect/>
                    </a:stretch>
                  </pic:blipFill>
                  <pic:spPr>
                    <a:xfrm>
                      <a:off x="0" y="0"/>
                      <a:ext cx="5080" cy="5080"/>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67456" behindDoc="0" locked="0" layoutInCell="1" allowOverlap="1">
            <wp:simplePos x="0" y="0"/>
            <wp:positionH relativeFrom="page">
              <wp:posOffset>610235</wp:posOffset>
            </wp:positionH>
            <wp:positionV relativeFrom="page">
              <wp:posOffset>6880225</wp:posOffset>
            </wp:positionV>
            <wp:extent cx="5080" cy="14605"/>
            <wp:effectExtent l="0" t="0" r="0" b="0"/>
            <wp:wrapSquare wrapText="bothSides"/>
            <wp:docPr id="8" name="Picture 2248"/>
            <wp:cNvGraphicFramePr/>
            <a:graphic xmlns:a="http://schemas.openxmlformats.org/drawingml/2006/main">
              <a:graphicData uri="http://schemas.openxmlformats.org/drawingml/2006/picture">
                <pic:pic xmlns:pic="http://schemas.openxmlformats.org/drawingml/2006/picture">
                  <pic:nvPicPr>
                    <pic:cNvPr id="8" name="Picture 2248"/>
                    <pic:cNvPicPr/>
                  </pic:nvPicPr>
                  <pic:blipFill>
                    <a:blip r:embed="rId12"/>
                    <a:stretch>
                      <a:fillRect/>
                    </a:stretch>
                  </pic:blipFill>
                  <pic:spPr>
                    <a:xfrm>
                      <a:off x="0" y="0"/>
                      <a:ext cx="5080" cy="14605"/>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68480" behindDoc="0" locked="0" layoutInCell="1" allowOverlap="1">
            <wp:simplePos x="0" y="0"/>
            <wp:positionH relativeFrom="page">
              <wp:posOffset>590550</wp:posOffset>
            </wp:positionH>
            <wp:positionV relativeFrom="page">
              <wp:posOffset>6889750</wp:posOffset>
            </wp:positionV>
            <wp:extent cx="10160" cy="10160"/>
            <wp:effectExtent l="0" t="0" r="0" b="0"/>
            <wp:wrapSquare wrapText="bothSides"/>
            <wp:docPr id="9" name="Picture 2249"/>
            <wp:cNvGraphicFramePr/>
            <a:graphic xmlns:a="http://schemas.openxmlformats.org/drawingml/2006/main">
              <a:graphicData uri="http://schemas.openxmlformats.org/drawingml/2006/picture">
                <pic:pic xmlns:pic="http://schemas.openxmlformats.org/drawingml/2006/picture">
                  <pic:nvPicPr>
                    <pic:cNvPr id="9" name="Picture 2249"/>
                    <pic:cNvPicPr/>
                  </pic:nvPicPr>
                  <pic:blipFill>
                    <a:blip r:embed="rId13"/>
                    <a:stretch>
                      <a:fillRect/>
                    </a:stretch>
                  </pic:blipFill>
                  <pic:spPr>
                    <a:xfrm>
                      <a:off x="0" y="0"/>
                      <a:ext cx="10160" cy="10160"/>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69504" behindDoc="0" locked="0" layoutInCell="1" allowOverlap="1">
            <wp:simplePos x="0" y="0"/>
            <wp:positionH relativeFrom="page">
              <wp:posOffset>570865</wp:posOffset>
            </wp:positionH>
            <wp:positionV relativeFrom="page">
              <wp:posOffset>6924675</wp:posOffset>
            </wp:positionV>
            <wp:extent cx="5080" cy="14605"/>
            <wp:effectExtent l="0" t="0" r="0" b="0"/>
            <wp:wrapSquare wrapText="bothSides"/>
            <wp:docPr id="10" name="Picture 2250"/>
            <wp:cNvGraphicFramePr/>
            <a:graphic xmlns:a="http://schemas.openxmlformats.org/drawingml/2006/main">
              <a:graphicData uri="http://schemas.openxmlformats.org/drawingml/2006/picture">
                <pic:pic xmlns:pic="http://schemas.openxmlformats.org/drawingml/2006/picture">
                  <pic:nvPicPr>
                    <pic:cNvPr id="10" name="Picture 2250"/>
                    <pic:cNvPicPr/>
                  </pic:nvPicPr>
                  <pic:blipFill>
                    <a:blip r:embed="rId14"/>
                    <a:stretch>
                      <a:fillRect/>
                    </a:stretch>
                  </pic:blipFill>
                  <pic:spPr>
                    <a:xfrm>
                      <a:off x="0" y="0"/>
                      <a:ext cx="5080" cy="14605"/>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70528" behindDoc="0" locked="0" layoutInCell="1" allowOverlap="1">
            <wp:simplePos x="0" y="0"/>
            <wp:positionH relativeFrom="page">
              <wp:posOffset>610235</wp:posOffset>
            </wp:positionH>
            <wp:positionV relativeFrom="page">
              <wp:posOffset>6939280</wp:posOffset>
            </wp:positionV>
            <wp:extent cx="5080" cy="10160"/>
            <wp:effectExtent l="0" t="0" r="0" b="0"/>
            <wp:wrapSquare wrapText="bothSides"/>
            <wp:docPr id="11" name="Picture 2251"/>
            <wp:cNvGraphicFramePr/>
            <a:graphic xmlns:a="http://schemas.openxmlformats.org/drawingml/2006/main">
              <a:graphicData uri="http://schemas.openxmlformats.org/drawingml/2006/picture">
                <pic:pic xmlns:pic="http://schemas.openxmlformats.org/drawingml/2006/picture">
                  <pic:nvPicPr>
                    <pic:cNvPr id="11" name="Picture 2251"/>
                    <pic:cNvPicPr/>
                  </pic:nvPicPr>
                  <pic:blipFill>
                    <a:blip r:embed="rId15"/>
                    <a:stretch>
                      <a:fillRect/>
                    </a:stretch>
                  </pic:blipFill>
                  <pic:spPr>
                    <a:xfrm>
                      <a:off x="0" y="0"/>
                      <a:ext cx="5080" cy="10160"/>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71552" behindDoc="0" locked="0" layoutInCell="1" allowOverlap="1">
            <wp:simplePos x="0" y="0"/>
            <wp:positionH relativeFrom="page">
              <wp:posOffset>565785</wp:posOffset>
            </wp:positionH>
            <wp:positionV relativeFrom="page">
              <wp:posOffset>6949440</wp:posOffset>
            </wp:positionV>
            <wp:extent cx="5080" cy="19685"/>
            <wp:effectExtent l="0" t="0" r="13970" b="8890"/>
            <wp:wrapSquare wrapText="bothSides"/>
            <wp:docPr id="12" name="Picture 2252"/>
            <wp:cNvGraphicFramePr/>
            <a:graphic xmlns:a="http://schemas.openxmlformats.org/drawingml/2006/main">
              <a:graphicData uri="http://schemas.openxmlformats.org/drawingml/2006/picture">
                <pic:pic xmlns:pic="http://schemas.openxmlformats.org/drawingml/2006/picture">
                  <pic:nvPicPr>
                    <pic:cNvPr id="12" name="Picture 2252"/>
                    <pic:cNvPicPr/>
                  </pic:nvPicPr>
                  <pic:blipFill>
                    <a:blip r:embed="rId16"/>
                    <a:stretch>
                      <a:fillRect/>
                    </a:stretch>
                  </pic:blipFill>
                  <pic:spPr>
                    <a:xfrm>
                      <a:off x="0" y="0"/>
                      <a:ext cx="5080" cy="19685"/>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72576" behindDoc="0" locked="0" layoutInCell="1" allowOverlap="1">
            <wp:simplePos x="0" y="0"/>
            <wp:positionH relativeFrom="page">
              <wp:posOffset>610235</wp:posOffset>
            </wp:positionH>
            <wp:positionV relativeFrom="page">
              <wp:posOffset>6964680</wp:posOffset>
            </wp:positionV>
            <wp:extent cx="5080" cy="5080"/>
            <wp:effectExtent l="0" t="0" r="0" b="0"/>
            <wp:wrapSquare wrapText="bothSides"/>
            <wp:docPr id="13" name="Picture 2253"/>
            <wp:cNvGraphicFramePr/>
            <a:graphic xmlns:a="http://schemas.openxmlformats.org/drawingml/2006/main">
              <a:graphicData uri="http://schemas.openxmlformats.org/drawingml/2006/picture">
                <pic:pic xmlns:pic="http://schemas.openxmlformats.org/drawingml/2006/picture">
                  <pic:nvPicPr>
                    <pic:cNvPr id="13" name="Picture 2253"/>
                    <pic:cNvPicPr/>
                  </pic:nvPicPr>
                  <pic:blipFill>
                    <a:blip r:embed="rId17"/>
                    <a:stretch>
                      <a:fillRect/>
                    </a:stretch>
                  </pic:blipFill>
                  <pic:spPr>
                    <a:xfrm>
                      <a:off x="0" y="0"/>
                      <a:ext cx="5080" cy="5080"/>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73600" behindDoc="0" locked="0" layoutInCell="1" allowOverlap="1">
            <wp:simplePos x="0" y="0"/>
            <wp:positionH relativeFrom="page">
              <wp:posOffset>620395</wp:posOffset>
            </wp:positionH>
            <wp:positionV relativeFrom="page">
              <wp:posOffset>6964680</wp:posOffset>
            </wp:positionV>
            <wp:extent cx="5080" cy="5080"/>
            <wp:effectExtent l="0" t="0" r="0" b="0"/>
            <wp:wrapSquare wrapText="bothSides"/>
            <wp:docPr id="14" name="Picture 2254"/>
            <wp:cNvGraphicFramePr/>
            <a:graphic xmlns:a="http://schemas.openxmlformats.org/drawingml/2006/main">
              <a:graphicData uri="http://schemas.openxmlformats.org/drawingml/2006/picture">
                <pic:pic xmlns:pic="http://schemas.openxmlformats.org/drawingml/2006/picture">
                  <pic:nvPicPr>
                    <pic:cNvPr id="14" name="Picture 2254"/>
                    <pic:cNvPicPr/>
                  </pic:nvPicPr>
                  <pic:blipFill>
                    <a:blip r:embed="rId18"/>
                    <a:stretch>
                      <a:fillRect/>
                    </a:stretch>
                  </pic:blipFill>
                  <pic:spPr>
                    <a:xfrm>
                      <a:off x="0" y="0"/>
                      <a:ext cx="5080" cy="5080"/>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74624" behindDoc="0" locked="0" layoutInCell="1" allowOverlap="1">
            <wp:simplePos x="0" y="0"/>
            <wp:positionH relativeFrom="page">
              <wp:posOffset>595630</wp:posOffset>
            </wp:positionH>
            <wp:positionV relativeFrom="page">
              <wp:posOffset>6988810</wp:posOffset>
            </wp:positionV>
            <wp:extent cx="10160" cy="10160"/>
            <wp:effectExtent l="0" t="0" r="0" b="0"/>
            <wp:wrapSquare wrapText="bothSides"/>
            <wp:docPr id="15" name="Picture 2255"/>
            <wp:cNvGraphicFramePr/>
            <a:graphic xmlns:a="http://schemas.openxmlformats.org/drawingml/2006/main">
              <a:graphicData uri="http://schemas.openxmlformats.org/drawingml/2006/picture">
                <pic:pic xmlns:pic="http://schemas.openxmlformats.org/drawingml/2006/picture">
                  <pic:nvPicPr>
                    <pic:cNvPr id="15" name="Picture 2255"/>
                    <pic:cNvPicPr/>
                  </pic:nvPicPr>
                  <pic:blipFill>
                    <a:blip r:embed="rId19"/>
                    <a:stretch>
                      <a:fillRect/>
                    </a:stretch>
                  </pic:blipFill>
                  <pic:spPr>
                    <a:xfrm>
                      <a:off x="0" y="0"/>
                      <a:ext cx="10160" cy="10160"/>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75648" behindDoc="0" locked="0" layoutInCell="1" allowOverlap="1">
            <wp:simplePos x="0" y="0"/>
            <wp:positionH relativeFrom="page">
              <wp:posOffset>605155</wp:posOffset>
            </wp:positionH>
            <wp:positionV relativeFrom="page">
              <wp:posOffset>7028815</wp:posOffset>
            </wp:positionV>
            <wp:extent cx="10160" cy="49530"/>
            <wp:effectExtent l="0" t="0" r="8890" b="7620"/>
            <wp:wrapSquare wrapText="bothSides"/>
            <wp:docPr id="16" name="Picture 2256"/>
            <wp:cNvGraphicFramePr/>
            <a:graphic xmlns:a="http://schemas.openxmlformats.org/drawingml/2006/main">
              <a:graphicData uri="http://schemas.openxmlformats.org/drawingml/2006/picture">
                <pic:pic xmlns:pic="http://schemas.openxmlformats.org/drawingml/2006/picture">
                  <pic:nvPicPr>
                    <pic:cNvPr id="16" name="Picture 2256"/>
                    <pic:cNvPicPr/>
                  </pic:nvPicPr>
                  <pic:blipFill>
                    <a:blip r:embed="rId20"/>
                    <a:stretch>
                      <a:fillRect/>
                    </a:stretch>
                  </pic:blipFill>
                  <pic:spPr>
                    <a:xfrm>
                      <a:off x="0" y="0"/>
                      <a:ext cx="10160" cy="49530"/>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76672" behindDoc="0" locked="0" layoutInCell="1" allowOverlap="1">
            <wp:simplePos x="0" y="0"/>
            <wp:positionH relativeFrom="page">
              <wp:posOffset>605155</wp:posOffset>
            </wp:positionH>
            <wp:positionV relativeFrom="page">
              <wp:posOffset>7321550</wp:posOffset>
            </wp:positionV>
            <wp:extent cx="10160" cy="24765"/>
            <wp:effectExtent l="0" t="0" r="8890" b="3810"/>
            <wp:wrapSquare wrapText="bothSides"/>
            <wp:docPr id="17" name="Picture 2257"/>
            <wp:cNvGraphicFramePr/>
            <a:graphic xmlns:a="http://schemas.openxmlformats.org/drawingml/2006/main">
              <a:graphicData uri="http://schemas.openxmlformats.org/drawingml/2006/picture">
                <pic:pic xmlns:pic="http://schemas.openxmlformats.org/drawingml/2006/picture">
                  <pic:nvPicPr>
                    <pic:cNvPr id="17" name="Picture 2257"/>
                    <pic:cNvPicPr/>
                  </pic:nvPicPr>
                  <pic:blipFill>
                    <a:blip r:embed="rId21"/>
                    <a:stretch>
                      <a:fillRect/>
                    </a:stretch>
                  </pic:blipFill>
                  <pic:spPr>
                    <a:xfrm>
                      <a:off x="0" y="0"/>
                      <a:ext cx="10160" cy="24765"/>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77696" behindDoc="0" locked="0" layoutInCell="1" allowOverlap="1">
            <wp:simplePos x="0" y="0"/>
            <wp:positionH relativeFrom="page">
              <wp:posOffset>570865</wp:posOffset>
            </wp:positionH>
            <wp:positionV relativeFrom="page">
              <wp:posOffset>7361555</wp:posOffset>
            </wp:positionV>
            <wp:extent cx="5080" cy="5080"/>
            <wp:effectExtent l="0" t="0" r="0" b="0"/>
            <wp:wrapSquare wrapText="bothSides"/>
            <wp:docPr id="18" name="Picture 2258"/>
            <wp:cNvGraphicFramePr/>
            <a:graphic xmlns:a="http://schemas.openxmlformats.org/drawingml/2006/main">
              <a:graphicData uri="http://schemas.openxmlformats.org/drawingml/2006/picture">
                <pic:pic xmlns:pic="http://schemas.openxmlformats.org/drawingml/2006/picture">
                  <pic:nvPicPr>
                    <pic:cNvPr id="18" name="Picture 2258"/>
                    <pic:cNvPicPr/>
                  </pic:nvPicPr>
                  <pic:blipFill>
                    <a:blip r:embed="rId22"/>
                    <a:stretch>
                      <a:fillRect/>
                    </a:stretch>
                  </pic:blipFill>
                  <pic:spPr>
                    <a:xfrm>
                      <a:off x="0" y="0"/>
                      <a:ext cx="5080" cy="5080"/>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78720" behindDoc="0" locked="0" layoutInCell="1" allowOverlap="1">
            <wp:simplePos x="0" y="0"/>
            <wp:positionH relativeFrom="page">
              <wp:posOffset>605155</wp:posOffset>
            </wp:positionH>
            <wp:positionV relativeFrom="page">
              <wp:posOffset>7396480</wp:posOffset>
            </wp:positionV>
            <wp:extent cx="10160" cy="14605"/>
            <wp:effectExtent l="0" t="0" r="0" b="0"/>
            <wp:wrapSquare wrapText="bothSides"/>
            <wp:docPr id="19" name="Picture 2259"/>
            <wp:cNvGraphicFramePr/>
            <a:graphic xmlns:a="http://schemas.openxmlformats.org/drawingml/2006/main">
              <a:graphicData uri="http://schemas.openxmlformats.org/drawingml/2006/picture">
                <pic:pic xmlns:pic="http://schemas.openxmlformats.org/drawingml/2006/picture">
                  <pic:nvPicPr>
                    <pic:cNvPr id="19" name="Picture 2259"/>
                    <pic:cNvPicPr/>
                  </pic:nvPicPr>
                  <pic:blipFill>
                    <a:blip r:embed="rId23"/>
                    <a:stretch>
                      <a:fillRect/>
                    </a:stretch>
                  </pic:blipFill>
                  <pic:spPr>
                    <a:xfrm>
                      <a:off x="0" y="0"/>
                      <a:ext cx="10160" cy="14605"/>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79744" behindDoc="0" locked="0" layoutInCell="1" allowOverlap="1">
            <wp:simplePos x="0" y="0"/>
            <wp:positionH relativeFrom="page">
              <wp:posOffset>595630</wp:posOffset>
            </wp:positionH>
            <wp:positionV relativeFrom="page">
              <wp:posOffset>7719060</wp:posOffset>
            </wp:positionV>
            <wp:extent cx="10160" cy="10160"/>
            <wp:effectExtent l="0" t="0" r="0" b="0"/>
            <wp:wrapSquare wrapText="bothSides"/>
            <wp:docPr id="20" name="Picture 2261"/>
            <wp:cNvGraphicFramePr/>
            <a:graphic xmlns:a="http://schemas.openxmlformats.org/drawingml/2006/main">
              <a:graphicData uri="http://schemas.openxmlformats.org/drawingml/2006/picture">
                <pic:pic xmlns:pic="http://schemas.openxmlformats.org/drawingml/2006/picture">
                  <pic:nvPicPr>
                    <pic:cNvPr id="20" name="Picture 2261"/>
                    <pic:cNvPicPr/>
                  </pic:nvPicPr>
                  <pic:blipFill>
                    <a:blip r:embed="rId24"/>
                    <a:stretch>
                      <a:fillRect/>
                    </a:stretch>
                  </pic:blipFill>
                  <pic:spPr>
                    <a:xfrm>
                      <a:off x="0" y="0"/>
                      <a:ext cx="10160" cy="10160"/>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80768" behindDoc="0" locked="0" layoutInCell="1" allowOverlap="1">
            <wp:simplePos x="0" y="0"/>
            <wp:positionH relativeFrom="page">
              <wp:posOffset>570865</wp:posOffset>
            </wp:positionH>
            <wp:positionV relativeFrom="page">
              <wp:posOffset>7813040</wp:posOffset>
            </wp:positionV>
            <wp:extent cx="5080" cy="10160"/>
            <wp:effectExtent l="0" t="0" r="0" b="0"/>
            <wp:wrapSquare wrapText="bothSides"/>
            <wp:docPr id="21" name="Picture 2262"/>
            <wp:cNvGraphicFramePr/>
            <a:graphic xmlns:a="http://schemas.openxmlformats.org/drawingml/2006/main">
              <a:graphicData uri="http://schemas.openxmlformats.org/drawingml/2006/picture">
                <pic:pic xmlns:pic="http://schemas.openxmlformats.org/drawingml/2006/picture">
                  <pic:nvPicPr>
                    <pic:cNvPr id="21" name="Picture 2262"/>
                    <pic:cNvPicPr/>
                  </pic:nvPicPr>
                  <pic:blipFill>
                    <a:blip r:embed="rId25"/>
                    <a:stretch>
                      <a:fillRect/>
                    </a:stretch>
                  </pic:blipFill>
                  <pic:spPr>
                    <a:xfrm>
                      <a:off x="0" y="0"/>
                      <a:ext cx="5080" cy="10160"/>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81792" behindDoc="0" locked="0" layoutInCell="1" allowOverlap="1">
            <wp:simplePos x="0" y="0"/>
            <wp:positionH relativeFrom="page">
              <wp:posOffset>610235</wp:posOffset>
            </wp:positionH>
            <wp:positionV relativeFrom="page">
              <wp:posOffset>7858125</wp:posOffset>
            </wp:positionV>
            <wp:extent cx="5080" cy="5080"/>
            <wp:effectExtent l="0" t="0" r="0" b="0"/>
            <wp:wrapSquare wrapText="bothSides"/>
            <wp:docPr id="22" name="Picture 2263"/>
            <wp:cNvGraphicFramePr/>
            <a:graphic xmlns:a="http://schemas.openxmlformats.org/drawingml/2006/main">
              <a:graphicData uri="http://schemas.openxmlformats.org/drawingml/2006/picture">
                <pic:pic xmlns:pic="http://schemas.openxmlformats.org/drawingml/2006/picture">
                  <pic:nvPicPr>
                    <pic:cNvPr id="22" name="Picture 2263"/>
                    <pic:cNvPicPr/>
                  </pic:nvPicPr>
                  <pic:blipFill>
                    <a:blip r:embed="rId26"/>
                    <a:stretch>
                      <a:fillRect/>
                    </a:stretch>
                  </pic:blipFill>
                  <pic:spPr>
                    <a:xfrm>
                      <a:off x="0" y="0"/>
                      <a:ext cx="5080" cy="5080"/>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82816" behindDoc="0" locked="0" layoutInCell="1" allowOverlap="1">
            <wp:simplePos x="0" y="0"/>
            <wp:positionH relativeFrom="page">
              <wp:posOffset>565785</wp:posOffset>
            </wp:positionH>
            <wp:positionV relativeFrom="page">
              <wp:posOffset>8110855</wp:posOffset>
            </wp:positionV>
            <wp:extent cx="10160" cy="29845"/>
            <wp:effectExtent l="0" t="0" r="8890" b="8255"/>
            <wp:wrapSquare wrapText="bothSides"/>
            <wp:docPr id="23" name="Picture 2264"/>
            <wp:cNvGraphicFramePr/>
            <a:graphic xmlns:a="http://schemas.openxmlformats.org/drawingml/2006/main">
              <a:graphicData uri="http://schemas.openxmlformats.org/drawingml/2006/picture">
                <pic:pic xmlns:pic="http://schemas.openxmlformats.org/drawingml/2006/picture">
                  <pic:nvPicPr>
                    <pic:cNvPr id="23" name="Picture 2264"/>
                    <pic:cNvPicPr/>
                  </pic:nvPicPr>
                  <pic:blipFill>
                    <a:blip r:embed="rId27"/>
                    <a:stretch>
                      <a:fillRect/>
                    </a:stretch>
                  </pic:blipFill>
                  <pic:spPr>
                    <a:xfrm>
                      <a:off x="0" y="0"/>
                      <a:ext cx="10160" cy="29844"/>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83840" behindDoc="0" locked="0" layoutInCell="1" allowOverlap="1">
            <wp:simplePos x="0" y="0"/>
            <wp:positionH relativeFrom="page">
              <wp:posOffset>570865</wp:posOffset>
            </wp:positionH>
            <wp:positionV relativeFrom="page">
              <wp:posOffset>8150860</wp:posOffset>
            </wp:positionV>
            <wp:extent cx="5080" cy="5080"/>
            <wp:effectExtent l="0" t="0" r="0" b="0"/>
            <wp:wrapSquare wrapText="bothSides"/>
            <wp:docPr id="24" name="Picture 2265"/>
            <wp:cNvGraphicFramePr/>
            <a:graphic xmlns:a="http://schemas.openxmlformats.org/drawingml/2006/main">
              <a:graphicData uri="http://schemas.openxmlformats.org/drawingml/2006/picture">
                <pic:pic xmlns:pic="http://schemas.openxmlformats.org/drawingml/2006/picture">
                  <pic:nvPicPr>
                    <pic:cNvPr id="24" name="Picture 2265"/>
                    <pic:cNvPicPr/>
                  </pic:nvPicPr>
                  <pic:blipFill>
                    <a:blip r:embed="rId28"/>
                    <a:stretch>
                      <a:fillRect/>
                    </a:stretch>
                  </pic:blipFill>
                  <pic:spPr>
                    <a:xfrm>
                      <a:off x="0" y="0"/>
                      <a:ext cx="5080" cy="5080"/>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84864" behindDoc="0" locked="0" layoutInCell="1" allowOverlap="1">
            <wp:simplePos x="0" y="0"/>
            <wp:positionH relativeFrom="page">
              <wp:posOffset>565785</wp:posOffset>
            </wp:positionH>
            <wp:positionV relativeFrom="page">
              <wp:posOffset>8175625</wp:posOffset>
            </wp:positionV>
            <wp:extent cx="10160" cy="10160"/>
            <wp:effectExtent l="0" t="0" r="0" b="0"/>
            <wp:wrapSquare wrapText="bothSides"/>
            <wp:docPr id="25" name="Picture 2266"/>
            <wp:cNvGraphicFramePr/>
            <a:graphic xmlns:a="http://schemas.openxmlformats.org/drawingml/2006/main">
              <a:graphicData uri="http://schemas.openxmlformats.org/drawingml/2006/picture">
                <pic:pic xmlns:pic="http://schemas.openxmlformats.org/drawingml/2006/picture">
                  <pic:nvPicPr>
                    <pic:cNvPr id="25" name="Picture 2266"/>
                    <pic:cNvPicPr/>
                  </pic:nvPicPr>
                  <pic:blipFill>
                    <a:blip r:embed="rId29"/>
                    <a:stretch>
                      <a:fillRect/>
                    </a:stretch>
                  </pic:blipFill>
                  <pic:spPr>
                    <a:xfrm>
                      <a:off x="0" y="0"/>
                      <a:ext cx="10160" cy="10160"/>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85888" behindDoc="0" locked="0" layoutInCell="1" allowOverlap="1">
            <wp:simplePos x="0" y="0"/>
            <wp:positionH relativeFrom="page">
              <wp:posOffset>570865</wp:posOffset>
            </wp:positionH>
            <wp:positionV relativeFrom="page">
              <wp:posOffset>8215630</wp:posOffset>
            </wp:positionV>
            <wp:extent cx="5080" cy="14605"/>
            <wp:effectExtent l="0" t="0" r="0" b="0"/>
            <wp:wrapSquare wrapText="bothSides"/>
            <wp:docPr id="26" name="Picture 2267"/>
            <wp:cNvGraphicFramePr/>
            <a:graphic xmlns:a="http://schemas.openxmlformats.org/drawingml/2006/main">
              <a:graphicData uri="http://schemas.openxmlformats.org/drawingml/2006/picture">
                <pic:pic xmlns:pic="http://schemas.openxmlformats.org/drawingml/2006/picture">
                  <pic:nvPicPr>
                    <pic:cNvPr id="26" name="Picture 2267"/>
                    <pic:cNvPicPr/>
                  </pic:nvPicPr>
                  <pic:blipFill>
                    <a:blip r:embed="rId30"/>
                    <a:stretch>
                      <a:fillRect/>
                    </a:stretch>
                  </pic:blipFill>
                  <pic:spPr>
                    <a:xfrm>
                      <a:off x="0" y="0"/>
                      <a:ext cx="5080" cy="14605"/>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86912" behindDoc="0" locked="0" layoutInCell="1" allowOverlap="1">
            <wp:simplePos x="0" y="0"/>
            <wp:positionH relativeFrom="page">
              <wp:posOffset>565785</wp:posOffset>
            </wp:positionH>
            <wp:positionV relativeFrom="page">
              <wp:posOffset>8249285</wp:posOffset>
            </wp:positionV>
            <wp:extent cx="10160" cy="14605"/>
            <wp:effectExtent l="0" t="0" r="0" b="0"/>
            <wp:wrapSquare wrapText="bothSides"/>
            <wp:docPr id="27" name="Picture 2269"/>
            <wp:cNvGraphicFramePr/>
            <a:graphic xmlns:a="http://schemas.openxmlformats.org/drawingml/2006/main">
              <a:graphicData uri="http://schemas.openxmlformats.org/drawingml/2006/picture">
                <pic:pic xmlns:pic="http://schemas.openxmlformats.org/drawingml/2006/picture">
                  <pic:nvPicPr>
                    <pic:cNvPr id="27" name="Picture 2269"/>
                    <pic:cNvPicPr/>
                  </pic:nvPicPr>
                  <pic:blipFill>
                    <a:blip r:embed="rId31"/>
                    <a:stretch>
                      <a:fillRect/>
                    </a:stretch>
                  </pic:blipFill>
                  <pic:spPr>
                    <a:xfrm>
                      <a:off x="0" y="0"/>
                      <a:ext cx="10160" cy="14605"/>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87936" behindDoc="0" locked="0" layoutInCell="1" allowOverlap="1">
            <wp:simplePos x="0" y="0"/>
            <wp:positionH relativeFrom="page">
              <wp:posOffset>565785</wp:posOffset>
            </wp:positionH>
            <wp:positionV relativeFrom="page">
              <wp:posOffset>8289925</wp:posOffset>
            </wp:positionV>
            <wp:extent cx="10160" cy="19685"/>
            <wp:effectExtent l="0" t="0" r="8890" b="8890"/>
            <wp:wrapSquare wrapText="bothSides"/>
            <wp:docPr id="28" name="Picture 2270"/>
            <wp:cNvGraphicFramePr/>
            <a:graphic xmlns:a="http://schemas.openxmlformats.org/drawingml/2006/main">
              <a:graphicData uri="http://schemas.openxmlformats.org/drawingml/2006/picture">
                <pic:pic xmlns:pic="http://schemas.openxmlformats.org/drawingml/2006/picture">
                  <pic:nvPicPr>
                    <pic:cNvPr id="28" name="Picture 2270"/>
                    <pic:cNvPicPr/>
                  </pic:nvPicPr>
                  <pic:blipFill>
                    <a:blip r:embed="rId32"/>
                    <a:stretch>
                      <a:fillRect/>
                    </a:stretch>
                  </pic:blipFill>
                  <pic:spPr>
                    <a:xfrm>
                      <a:off x="0" y="0"/>
                      <a:ext cx="10160" cy="19685"/>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88960" behindDoc="0" locked="0" layoutInCell="1" allowOverlap="1">
            <wp:simplePos x="0" y="0"/>
            <wp:positionH relativeFrom="page">
              <wp:posOffset>560705</wp:posOffset>
            </wp:positionH>
            <wp:positionV relativeFrom="page">
              <wp:posOffset>8890635</wp:posOffset>
            </wp:positionV>
            <wp:extent cx="14605" cy="5080"/>
            <wp:effectExtent l="0" t="0" r="0" b="0"/>
            <wp:wrapSquare wrapText="bothSides"/>
            <wp:docPr id="29" name="Picture 2278"/>
            <wp:cNvGraphicFramePr/>
            <a:graphic xmlns:a="http://schemas.openxmlformats.org/drawingml/2006/main">
              <a:graphicData uri="http://schemas.openxmlformats.org/drawingml/2006/picture">
                <pic:pic xmlns:pic="http://schemas.openxmlformats.org/drawingml/2006/picture">
                  <pic:nvPicPr>
                    <pic:cNvPr id="29" name="Picture 2278"/>
                    <pic:cNvPicPr/>
                  </pic:nvPicPr>
                  <pic:blipFill>
                    <a:blip r:embed="rId33"/>
                    <a:stretch>
                      <a:fillRect/>
                    </a:stretch>
                  </pic:blipFill>
                  <pic:spPr>
                    <a:xfrm>
                      <a:off x="0" y="0"/>
                      <a:ext cx="14605" cy="5080"/>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89984" behindDoc="0" locked="0" layoutInCell="1" allowOverlap="1">
            <wp:simplePos x="0" y="0"/>
            <wp:positionH relativeFrom="page">
              <wp:posOffset>516255</wp:posOffset>
            </wp:positionH>
            <wp:positionV relativeFrom="page">
              <wp:posOffset>8895715</wp:posOffset>
            </wp:positionV>
            <wp:extent cx="5080" cy="10160"/>
            <wp:effectExtent l="0" t="0" r="0" b="0"/>
            <wp:wrapSquare wrapText="bothSides"/>
            <wp:docPr id="30" name="Picture 2279"/>
            <wp:cNvGraphicFramePr/>
            <a:graphic xmlns:a="http://schemas.openxmlformats.org/drawingml/2006/main">
              <a:graphicData uri="http://schemas.openxmlformats.org/drawingml/2006/picture">
                <pic:pic xmlns:pic="http://schemas.openxmlformats.org/drawingml/2006/picture">
                  <pic:nvPicPr>
                    <pic:cNvPr id="30" name="Picture 2279"/>
                    <pic:cNvPicPr/>
                  </pic:nvPicPr>
                  <pic:blipFill>
                    <a:blip r:embed="rId34"/>
                    <a:stretch>
                      <a:fillRect/>
                    </a:stretch>
                  </pic:blipFill>
                  <pic:spPr>
                    <a:xfrm>
                      <a:off x="0" y="0"/>
                      <a:ext cx="5080" cy="10160"/>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91008" behindDoc="0" locked="0" layoutInCell="1" allowOverlap="1">
            <wp:simplePos x="0" y="0"/>
            <wp:positionH relativeFrom="page">
              <wp:posOffset>511175</wp:posOffset>
            </wp:positionH>
            <wp:positionV relativeFrom="page">
              <wp:posOffset>8910320</wp:posOffset>
            </wp:positionV>
            <wp:extent cx="5080" cy="5080"/>
            <wp:effectExtent l="0" t="0" r="0" b="0"/>
            <wp:wrapSquare wrapText="bothSides"/>
            <wp:docPr id="31" name="Picture 2280"/>
            <wp:cNvGraphicFramePr/>
            <a:graphic xmlns:a="http://schemas.openxmlformats.org/drawingml/2006/main">
              <a:graphicData uri="http://schemas.openxmlformats.org/drawingml/2006/picture">
                <pic:pic xmlns:pic="http://schemas.openxmlformats.org/drawingml/2006/picture">
                  <pic:nvPicPr>
                    <pic:cNvPr id="31" name="Picture 2280"/>
                    <pic:cNvPicPr/>
                  </pic:nvPicPr>
                  <pic:blipFill>
                    <a:blip r:embed="rId35"/>
                    <a:stretch>
                      <a:fillRect/>
                    </a:stretch>
                  </pic:blipFill>
                  <pic:spPr>
                    <a:xfrm>
                      <a:off x="0" y="0"/>
                      <a:ext cx="5080" cy="5080"/>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92032" behindDoc="0" locked="0" layoutInCell="1" allowOverlap="1">
            <wp:simplePos x="0" y="0"/>
            <wp:positionH relativeFrom="page">
              <wp:posOffset>511175</wp:posOffset>
            </wp:positionH>
            <wp:positionV relativeFrom="page">
              <wp:posOffset>8935085</wp:posOffset>
            </wp:positionV>
            <wp:extent cx="5080" cy="5080"/>
            <wp:effectExtent l="0" t="0" r="0" b="0"/>
            <wp:wrapSquare wrapText="bothSides"/>
            <wp:docPr id="32" name="Picture 2281"/>
            <wp:cNvGraphicFramePr/>
            <a:graphic xmlns:a="http://schemas.openxmlformats.org/drawingml/2006/main">
              <a:graphicData uri="http://schemas.openxmlformats.org/drawingml/2006/picture">
                <pic:pic xmlns:pic="http://schemas.openxmlformats.org/drawingml/2006/picture">
                  <pic:nvPicPr>
                    <pic:cNvPr id="32" name="Picture 2281"/>
                    <pic:cNvPicPr/>
                  </pic:nvPicPr>
                  <pic:blipFill>
                    <a:blip r:embed="rId36"/>
                    <a:stretch>
                      <a:fillRect/>
                    </a:stretch>
                  </pic:blipFill>
                  <pic:spPr>
                    <a:xfrm>
                      <a:off x="0" y="0"/>
                      <a:ext cx="5080" cy="5080"/>
                    </a:xfrm>
                    <a:prstGeom prst="rect">
                      <a:avLst/>
                    </a:prstGeom>
                  </pic:spPr>
                </pic:pic>
              </a:graphicData>
            </a:graphic>
          </wp:anchor>
        </w:drawing>
      </w:r>
      <w:r>
        <w:rPr>
          <w:rFonts w:ascii="Calibri" w:hAnsi="Calibri" w:eastAsia="宋体" w:cs="黑体"/>
          <w:kern w:val="2"/>
          <w:sz w:val="28"/>
          <w:szCs w:val="28"/>
          <w:lang w:val="en-US" w:eastAsia="zh-CN" w:bidi="ar-SA"/>
        </w:rPr>
        <w:drawing>
          <wp:anchor distT="0" distB="0" distL="114300" distR="114300" simplePos="0" relativeHeight="251693056" behindDoc="0" locked="0" layoutInCell="1" allowOverlap="1">
            <wp:simplePos x="0" y="0"/>
            <wp:positionH relativeFrom="page">
              <wp:posOffset>530860</wp:posOffset>
            </wp:positionH>
            <wp:positionV relativeFrom="page">
              <wp:posOffset>9024620</wp:posOffset>
            </wp:positionV>
            <wp:extent cx="5080" cy="5080"/>
            <wp:effectExtent l="0" t="0" r="0" b="0"/>
            <wp:wrapSquare wrapText="bothSides"/>
            <wp:docPr id="33" name="Picture 2282"/>
            <wp:cNvGraphicFramePr/>
            <a:graphic xmlns:a="http://schemas.openxmlformats.org/drawingml/2006/main">
              <a:graphicData uri="http://schemas.openxmlformats.org/drawingml/2006/picture">
                <pic:pic xmlns:pic="http://schemas.openxmlformats.org/drawingml/2006/picture">
                  <pic:nvPicPr>
                    <pic:cNvPr id="33" name="Picture 2282"/>
                    <pic:cNvPicPr/>
                  </pic:nvPicPr>
                  <pic:blipFill>
                    <a:blip r:embed="rId37"/>
                    <a:stretch>
                      <a:fillRect/>
                    </a:stretch>
                  </pic:blipFill>
                  <pic:spPr>
                    <a:xfrm>
                      <a:off x="0" y="0"/>
                      <a:ext cx="5080" cy="5080"/>
                    </a:xfrm>
                    <a:prstGeom prst="rect">
                      <a:avLst/>
                    </a:prstGeom>
                  </pic:spPr>
                </pic:pic>
              </a:graphicData>
            </a:graphic>
          </wp:anchor>
        </w:drawing>
      </w:r>
      <w:r>
        <w:rPr>
          <w:rFonts w:hint="eastAsia"/>
          <w:sz w:val="28"/>
          <w:szCs w:val="28"/>
          <w:lang w:eastAsia="zh-CN"/>
        </w:rPr>
        <w:t>（二）</w:t>
      </w:r>
      <w:r>
        <w:rPr>
          <w:sz w:val="28"/>
          <w:szCs w:val="28"/>
        </w:rPr>
        <w:t>被征收房屋建筑面积，依据《房屋所有权证》</w:t>
      </w:r>
      <w:r>
        <w:rPr>
          <w:rFonts w:hint="eastAsia"/>
          <w:sz w:val="28"/>
          <w:szCs w:val="28"/>
          <w:lang w:eastAsia="zh-CN"/>
        </w:rPr>
        <w:t>等有效法律文书</w:t>
      </w:r>
      <w:r>
        <w:rPr>
          <w:sz w:val="28"/>
          <w:szCs w:val="28"/>
        </w:rPr>
        <w:t>记载结合国家相关测量规范进行认定。</w:t>
      </w:r>
    </w:p>
    <w:p>
      <w:pPr>
        <w:spacing w:after="0"/>
        <w:ind w:firstLine="562" w:firstLineChars="200"/>
        <w:rPr>
          <w:b/>
          <w:bCs/>
          <w:sz w:val="28"/>
          <w:szCs w:val="28"/>
        </w:rPr>
      </w:pPr>
      <w:r>
        <w:rPr>
          <w:b/>
          <w:bCs/>
          <w:sz w:val="28"/>
          <w:szCs w:val="28"/>
        </w:rPr>
        <w:t>四、评估机构的选择和鉴定小组的组成</w:t>
      </w:r>
    </w:p>
    <w:p>
      <w:pPr>
        <w:spacing w:after="0"/>
        <w:ind w:firstLine="560" w:firstLineChars="200"/>
        <w:rPr>
          <w:sz w:val="28"/>
          <w:szCs w:val="28"/>
        </w:rPr>
      </w:pPr>
      <w:r>
        <w:rPr>
          <w:sz w:val="28"/>
          <w:szCs w:val="28"/>
        </w:rPr>
        <w:t>房地产价格评估机构由被征收人在规定时间内协商选定；在规定时间内协商不成的，由房屋征收实施单位通过组织被征收人按照少数服从多数的原则投票决定，或者采用摇号、抽号等随机方式确定，具体方式采取少数服从多数的原则确定。房屋评估应参照住建部《国有土地上房屋征收评估办法》的规定执行。</w:t>
      </w:r>
    </w:p>
    <w:p>
      <w:pPr>
        <w:spacing w:after="0"/>
        <w:ind w:firstLine="560" w:firstLineChars="200"/>
        <w:rPr>
          <w:sz w:val="28"/>
          <w:szCs w:val="28"/>
        </w:rPr>
      </w:pPr>
      <w:r>
        <w:rPr>
          <w:sz w:val="28"/>
          <w:szCs w:val="28"/>
        </w:rPr>
        <w:t>房屋鉴定小组由被征收范围内的被征收人代表、房地产价格评估机构工作人员、房屋征收实施单位代表共同组成。</w:t>
      </w:r>
    </w:p>
    <w:p>
      <w:pPr>
        <w:spacing w:after="0"/>
        <w:ind w:firstLine="560" w:firstLineChars="200"/>
        <w:rPr>
          <w:sz w:val="28"/>
          <w:szCs w:val="28"/>
        </w:rPr>
      </w:pPr>
      <w:r>
        <w:rPr>
          <w:rFonts w:hint="eastAsia"/>
          <w:sz w:val="28"/>
          <w:szCs w:val="28"/>
          <w:lang w:eastAsia="zh-CN"/>
        </w:rPr>
        <w:t>（一）</w:t>
      </w:r>
      <w:r>
        <w:rPr>
          <w:sz w:val="28"/>
          <w:szCs w:val="28"/>
        </w:rPr>
        <w:t>被征收人代表的确定</w:t>
      </w:r>
    </w:p>
    <w:p>
      <w:pPr>
        <w:spacing w:after="0"/>
        <w:ind w:firstLine="560" w:firstLineChars="200"/>
        <w:rPr>
          <w:rFonts w:hint="eastAsia"/>
          <w:sz w:val="28"/>
          <w:szCs w:val="28"/>
          <w:lang w:eastAsia="zh-CN"/>
        </w:rPr>
      </w:pPr>
      <w:r>
        <w:rPr>
          <w:rFonts w:hint="eastAsia"/>
          <w:sz w:val="28"/>
          <w:szCs w:val="28"/>
          <w:lang w:eastAsia="zh-CN"/>
        </w:rPr>
        <w:t>被征收人代表条件：1.具有较高的政治修养，积极支持阳城县中李丘村城中村改造工作；2</w:t>
      </w:r>
      <w:r>
        <w:rPr>
          <w:rFonts w:hint="eastAsia"/>
          <w:sz w:val="28"/>
          <w:szCs w:val="28"/>
          <w:lang w:val="en-US" w:eastAsia="zh-CN"/>
        </w:rPr>
        <w:t>.</w:t>
      </w:r>
      <w:r>
        <w:rPr>
          <w:rFonts w:hint="eastAsia"/>
          <w:sz w:val="28"/>
          <w:szCs w:val="28"/>
          <w:lang w:eastAsia="zh-CN"/>
        </w:rPr>
        <w:t>热心于公众事业，在群众中有一定的威望，能代表被征收人的利益，正确表达被征收人的意愿；3</w:t>
      </w:r>
      <w:r>
        <w:rPr>
          <w:rFonts w:hint="eastAsia"/>
          <w:sz w:val="28"/>
          <w:szCs w:val="28"/>
          <w:lang w:val="en-US" w:eastAsia="zh-CN"/>
        </w:rPr>
        <w:t>.</w:t>
      </w:r>
      <w:r>
        <w:rPr>
          <w:rFonts w:hint="eastAsia"/>
          <w:sz w:val="28"/>
          <w:szCs w:val="28"/>
          <w:lang w:eastAsia="zh-CN"/>
        </w:rPr>
        <w:t>有较高的理论、文化修养和一定的语言表达能力；4</w:t>
      </w:r>
      <w:r>
        <w:rPr>
          <w:rFonts w:hint="eastAsia"/>
          <w:sz w:val="28"/>
          <w:szCs w:val="28"/>
          <w:lang w:val="en-US" w:eastAsia="zh-CN"/>
        </w:rPr>
        <w:t>.</w:t>
      </w:r>
      <w:r>
        <w:rPr>
          <w:rFonts w:hint="eastAsia"/>
          <w:sz w:val="28"/>
          <w:szCs w:val="28"/>
          <w:lang w:eastAsia="zh-CN"/>
        </w:rPr>
        <w:t>为人正派，办事公道。</w:t>
      </w:r>
    </w:p>
    <w:p>
      <w:pPr>
        <w:spacing w:after="0"/>
        <w:ind w:firstLine="560" w:firstLineChars="200"/>
        <w:rPr>
          <w:rFonts w:hint="eastAsia"/>
          <w:sz w:val="28"/>
          <w:szCs w:val="28"/>
          <w:lang w:eastAsia="zh-CN"/>
        </w:rPr>
      </w:pPr>
      <w:r>
        <w:rPr>
          <w:rFonts w:hint="eastAsia"/>
          <w:sz w:val="28"/>
          <w:szCs w:val="28"/>
          <w:lang w:eastAsia="zh-CN"/>
        </w:rPr>
        <w:t>被征收人代表产生办法：1.在房屋征收范围内，结合改造实际，</w:t>
      </w:r>
      <w:r>
        <w:rPr>
          <w:rFonts w:hint="eastAsia"/>
          <w:sz w:val="28"/>
          <w:lang w:eastAsia="zh-CN"/>
        </w:rPr>
        <w:t>推选</w:t>
      </w:r>
      <w:r>
        <w:rPr>
          <w:rFonts w:hint="eastAsia"/>
          <w:sz w:val="28"/>
          <w:u w:val="none"/>
          <w:lang w:eastAsia="zh-CN"/>
        </w:rPr>
        <w:t>出若干</w:t>
      </w:r>
      <w:r>
        <w:rPr>
          <w:rFonts w:hint="eastAsia"/>
          <w:sz w:val="28"/>
          <w:szCs w:val="28"/>
          <w:lang w:eastAsia="zh-CN"/>
        </w:rPr>
        <w:t>名被征收人代表；</w:t>
      </w:r>
      <w:r>
        <w:rPr>
          <w:rFonts w:hint="eastAsia"/>
          <w:sz w:val="28"/>
          <w:szCs w:val="28"/>
          <w:lang w:val="en-US" w:eastAsia="zh-CN"/>
        </w:rPr>
        <w:t>2.</w:t>
      </w:r>
      <w:r>
        <w:rPr>
          <w:rFonts w:hint="eastAsia"/>
          <w:sz w:val="28"/>
          <w:szCs w:val="28"/>
          <w:lang w:eastAsia="zh-CN"/>
        </w:rPr>
        <w:t>由房屋征收实施单位组织被征收人在规定时间内推选代表，在规定时间内不到者，视同放弃推选权；</w:t>
      </w:r>
      <w:r>
        <w:rPr>
          <w:rFonts w:hint="eastAsia"/>
          <w:sz w:val="28"/>
          <w:szCs w:val="28"/>
          <w:lang w:val="en-US" w:eastAsia="zh-CN"/>
        </w:rPr>
        <w:t>3.</w:t>
      </w:r>
      <w:r>
        <w:rPr>
          <w:rFonts w:hint="eastAsia"/>
          <w:sz w:val="28"/>
          <w:szCs w:val="28"/>
          <w:lang w:eastAsia="zh-CN"/>
        </w:rPr>
        <w:t>根据少数服从多数原则，确认被征收人代表；</w:t>
      </w:r>
      <w:r>
        <w:rPr>
          <w:rFonts w:hint="eastAsia"/>
          <w:sz w:val="28"/>
          <w:szCs w:val="28"/>
          <w:lang w:val="en-US" w:eastAsia="zh-CN"/>
        </w:rPr>
        <w:t>4.</w:t>
      </w:r>
      <w:r>
        <w:rPr>
          <w:rFonts w:hint="eastAsia"/>
          <w:sz w:val="28"/>
          <w:szCs w:val="28"/>
          <w:lang w:eastAsia="zh-CN"/>
        </w:rPr>
        <w:t>在推选产生的被征收人代表中，以少数服从多数的原则，再推选三人参与房屋等级鉴定。</w:t>
      </w:r>
    </w:p>
    <w:p>
      <w:pPr>
        <w:spacing w:after="0"/>
        <w:ind w:firstLine="560" w:firstLineChars="200"/>
        <w:rPr>
          <w:rFonts w:hint="eastAsia"/>
          <w:sz w:val="28"/>
          <w:szCs w:val="28"/>
          <w:lang w:eastAsia="zh-CN"/>
        </w:rPr>
      </w:pPr>
      <w:r>
        <w:rPr>
          <w:rFonts w:hint="eastAsia"/>
          <w:sz w:val="28"/>
          <w:szCs w:val="28"/>
          <w:lang w:eastAsia="zh-CN"/>
        </w:rPr>
        <w:t>（二）房屋征收实施单位代表由房屋征收实施单位派出。</w:t>
      </w:r>
    </w:p>
    <w:p>
      <w:pPr>
        <w:spacing w:after="0"/>
        <w:ind w:firstLine="560" w:firstLineChars="200"/>
        <w:rPr>
          <w:rFonts w:hint="eastAsia"/>
          <w:sz w:val="28"/>
          <w:szCs w:val="28"/>
          <w:lang w:eastAsia="zh-CN"/>
        </w:rPr>
      </w:pPr>
      <w:r>
        <w:rPr>
          <w:rFonts w:hint="eastAsia"/>
          <w:sz w:val="28"/>
          <w:szCs w:val="28"/>
          <w:lang w:eastAsia="zh-CN"/>
        </w:rPr>
        <w:t>（三）房屋鉴定小组根据实地查勘及房屋征收实施单位、被征收人和房地产价格评估机构签字确认的资料，独立、客观、公正、实事求是的对房屋进行分类等级鉴定，并在自己的鉴定结果上签字。其中，被征收人代表鉴定结果占40％，房地产价格评估机构鉴定结果占40％，房屋征收实施单位鉴定结果占20％，最后综合得出鉴定结果。</w:t>
      </w:r>
    </w:p>
    <w:p>
      <w:pPr>
        <w:spacing w:after="0"/>
        <w:ind w:firstLine="560" w:firstLineChars="200"/>
        <w:rPr>
          <w:rFonts w:hint="eastAsia"/>
          <w:sz w:val="28"/>
          <w:szCs w:val="28"/>
          <w:lang w:eastAsia="zh-CN"/>
        </w:rPr>
      </w:pPr>
      <w:r>
        <w:rPr>
          <w:rFonts w:hint="eastAsia"/>
          <w:sz w:val="28"/>
          <w:szCs w:val="28"/>
          <w:lang w:eastAsia="zh-CN"/>
        </w:rPr>
        <w:t>（四）房地产价格评估机构同时具有房屋等级鉴定和货币补偿中房屋、附属物和临时建筑物价值认定职能。</w:t>
      </w:r>
    </w:p>
    <w:p>
      <w:pPr>
        <w:spacing w:after="0"/>
        <w:ind w:firstLine="562" w:firstLineChars="200"/>
        <w:rPr>
          <w:rFonts w:hint="eastAsia"/>
          <w:b/>
          <w:bCs/>
          <w:sz w:val="28"/>
          <w:szCs w:val="28"/>
          <w:lang w:eastAsia="zh-CN"/>
        </w:rPr>
      </w:pPr>
      <w:r>
        <w:rPr>
          <w:rFonts w:hint="eastAsia"/>
          <w:b/>
          <w:bCs/>
          <w:sz w:val="28"/>
          <w:szCs w:val="28"/>
          <w:lang w:eastAsia="zh-CN"/>
        </w:rPr>
        <w:t>五、补偿安置方式</w:t>
      </w:r>
    </w:p>
    <w:p>
      <w:pPr>
        <w:spacing w:after="0"/>
        <w:ind w:firstLine="560" w:firstLineChars="200"/>
        <w:rPr>
          <w:rFonts w:hint="eastAsia"/>
          <w:sz w:val="28"/>
          <w:szCs w:val="28"/>
          <w:lang w:eastAsia="zh-CN"/>
        </w:rPr>
      </w:pPr>
      <w:r>
        <w:rPr>
          <w:rFonts w:hint="eastAsia"/>
          <w:sz w:val="28"/>
          <w:szCs w:val="28"/>
          <w:lang w:eastAsia="zh-CN"/>
        </w:rPr>
        <w:t>（一）补偿安置方式分为货币补偿、产权调换两种。</w:t>
      </w:r>
    </w:p>
    <w:p>
      <w:pPr>
        <w:spacing w:after="0"/>
        <w:ind w:firstLine="560" w:firstLineChars="200"/>
        <w:rPr>
          <w:rFonts w:hint="eastAsia"/>
          <w:sz w:val="28"/>
          <w:szCs w:val="28"/>
          <w:lang w:eastAsia="zh-CN"/>
        </w:rPr>
      </w:pPr>
      <w:r>
        <w:rPr>
          <w:rFonts w:hint="eastAsia"/>
          <w:sz w:val="28"/>
          <w:szCs w:val="28"/>
          <w:lang w:eastAsia="zh-CN"/>
        </w:rPr>
        <w:t>（二）本方案所称的货币补偿是指被征收人放弃被征收房屋产权，由房屋征收实施单位根据房地产价格评估机构按照房屋征收决定公告之日被征收房屋类似房地产的市场价格，评估的被征收人房屋、附属物和临时建筑等的价值，对被征收人实行一次性货币补偿。</w:t>
      </w:r>
    </w:p>
    <w:p>
      <w:pPr>
        <w:spacing w:after="0"/>
        <w:ind w:firstLine="560" w:firstLineChars="200"/>
        <w:rPr>
          <w:rFonts w:hint="eastAsia"/>
          <w:sz w:val="28"/>
          <w:szCs w:val="28"/>
          <w:lang w:eastAsia="zh-CN"/>
        </w:rPr>
      </w:pPr>
      <w:r>
        <w:rPr>
          <w:rFonts w:hint="eastAsia"/>
          <w:sz w:val="28"/>
          <w:szCs w:val="28"/>
          <w:lang w:eastAsia="zh-CN"/>
        </w:rPr>
        <w:t>（三）本方案所称的产权调换，是指房屋征收实施单位在县政府规划的回迁安置区建造的回迁安置房，与被征收人征收房屋的合法建筑面积，结合鉴定小组鉴定的房屋等级进行调换。附属物和不符合建筑面积计算标准的阁楼、地下室、临时建筑不进行产权调换。不进行产权调换的按房地产价格评估机构认定的价值，对被征收人实行货币补偿。</w:t>
      </w:r>
    </w:p>
    <w:p>
      <w:pPr>
        <w:spacing w:after="0"/>
        <w:ind w:firstLine="560" w:firstLineChars="200"/>
        <w:rPr>
          <w:rFonts w:hint="eastAsia"/>
          <w:sz w:val="28"/>
          <w:szCs w:val="28"/>
          <w:lang w:eastAsia="zh-CN"/>
        </w:rPr>
      </w:pPr>
      <w:r>
        <w:rPr>
          <w:rFonts w:hint="eastAsia"/>
          <w:sz w:val="28"/>
          <w:szCs w:val="28"/>
          <w:lang w:eastAsia="zh-CN"/>
        </w:rPr>
        <w:t>（四）非住宅房屋补偿采用货币补偿方式，国有、集体性质的房屋由房地产评估机构参照《2013年阳城县县城普通住宅重置价格标准》进行评估确定。</w:t>
      </w:r>
    </w:p>
    <w:p>
      <w:pPr>
        <w:spacing w:after="0"/>
        <w:ind w:firstLine="562" w:firstLineChars="200"/>
        <w:rPr>
          <w:rFonts w:hint="eastAsia"/>
          <w:b/>
          <w:bCs/>
          <w:sz w:val="28"/>
          <w:szCs w:val="28"/>
          <w:lang w:eastAsia="zh-CN"/>
        </w:rPr>
      </w:pPr>
      <w:r>
        <w:rPr>
          <w:rFonts w:hint="eastAsia"/>
          <w:b/>
          <w:bCs/>
          <w:sz w:val="28"/>
          <w:szCs w:val="28"/>
          <w:lang w:eastAsia="zh-CN"/>
        </w:rPr>
        <w:t>六、房屋建筑面积的认定及等级划分</w:t>
      </w:r>
    </w:p>
    <w:p>
      <w:pPr>
        <w:spacing w:after="0"/>
        <w:ind w:firstLine="560" w:firstLineChars="200"/>
        <w:rPr>
          <w:rFonts w:hint="eastAsia"/>
          <w:sz w:val="28"/>
          <w:szCs w:val="28"/>
          <w:lang w:eastAsia="zh-CN"/>
        </w:rPr>
      </w:pPr>
      <w:r>
        <w:rPr>
          <w:rFonts w:hint="eastAsia"/>
          <w:sz w:val="28"/>
          <w:szCs w:val="28"/>
          <w:lang w:eastAsia="zh-CN"/>
        </w:rPr>
        <w:t>房屋面积</w:t>
      </w:r>
      <w:r>
        <w:rPr>
          <w:rFonts w:hint="eastAsia"/>
          <w:sz w:val="28"/>
          <w:szCs w:val="28"/>
          <w:lang w:val="en-US" w:eastAsia="zh-CN"/>
        </w:rPr>
        <w:t>就地安置</w:t>
      </w:r>
      <w:r>
        <w:rPr>
          <w:rFonts w:hint="eastAsia"/>
          <w:sz w:val="28"/>
          <w:szCs w:val="28"/>
          <w:lang w:eastAsia="zh-CN"/>
        </w:rPr>
        <w:t>兑换标准为：1</w:t>
      </w:r>
      <w:r>
        <w:rPr>
          <w:rFonts w:hint="eastAsia"/>
          <w:sz w:val="28"/>
          <w:szCs w:val="28"/>
          <w:lang w:val="en-US" w:eastAsia="zh-CN"/>
        </w:rPr>
        <w:t>:</w:t>
      </w:r>
      <w:r>
        <w:rPr>
          <w:rFonts w:hint="eastAsia"/>
          <w:sz w:val="28"/>
          <w:szCs w:val="28"/>
          <w:lang w:eastAsia="zh-CN"/>
        </w:rPr>
        <w:t>1</w:t>
      </w:r>
      <w:r>
        <w:rPr>
          <w:rFonts w:hint="eastAsia"/>
          <w:sz w:val="28"/>
          <w:szCs w:val="28"/>
          <w:lang w:val="en-US" w:eastAsia="zh-CN"/>
        </w:rPr>
        <w:t>.</w:t>
      </w:r>
      <w:r>
        <w:rPr>
          <w:rFonts w:hint="eastAsia"/>
          <w:sz w:val="28"/>
          <w:szCs w:val="28"/>
          <w:lang w:eastAsia="zh-CN"/>
        </w:rPr>
        <w:t>12</w:t>
      </w:r>
      <w:r>
        <w:rPr>
          <w:rFonts w:hint="eastAsia"/>
          <w:sz w:val="28"/>
          <w:szCs w:val="28"/>
          <w:lang w:val="en-US" w:eastAsia="zh-CN"/>
        </w:rPr>
        <w:t xml:space="preserve">   1:1.11    </w:t>
      </w:r>
      <w:r>
        <w:rPr>
          <w:rFonts w:hint="eastAsia"/>
          <w:sz w:val="28"/>
          <w:szCs w:val="28"/>
          <w:lang w:eastAsia="zh-CN"/>
        </w:rPr>
        <w:t>1</w:t>
      </w:r>
      <w:r>
        <w:rPr>
          <w:rFonts w:hint="eastAsia"/>
          <w:sz w:val="28"/>
          <w:szCs w:val="28"/>
          <w:lang w:val="en-US" w:eastAsia="zh-CN"/>
        </w:rPr>
        <w:t>:</w:t>
      </w:r>
      <w:r>
        <w:rPr>
          <w:rFonts w:hint="eastAsia"/>
          <w:sz w:val="28"/>
          <w:szCs w:val="28"/>
          <w:lang w:eastAsia="zh-CN"/>
        </w:rPr>
        <w:t>1.</w:t>
      </w:r>
      <w:r>
        <w:rPr>
          <w:rFonts w:hint="eastAsia"/>
          <w:sz w:val="28"/>
          <w:szCs w:val="28"/>
          <w:lang w:val="en-US" w:eastAsia="zh-CN"/>
        </w:rPr>
        <w:t xml:space="preserve">10   1:1.08    </w:t>
      </w:r>
      <w:r>
        <w:rPr>
          <w:rFonts w:hint="eastAsia"/>
          <w:sz w:val="28"/>
          <w:szCs w:val="28"/>
          <w:lang w:eastAsia="zh-CN"/>
        </w:rPr>
        <w:t>1</w:t>
      </w:r>
      <w:r>
        <w:rPr>
          <w:rFonts w:hint="eastAsia"/>
          <w:sz w:val="28"/>
          <w:szCs w:val="28"/>
          <w:lang w:val="en-US" w:eastAsia="zh-CN"/>
        </w:rPr>
        <w:t>:</w:t>
      </w:r>
      <w:r>
        <w:rPr>
          <w:rFonts w:hint="eastAsia"/>
          <w:sz w:val="28"/>
          <w:szCs w:val="28"/>
          <w:lang w:eastAsia="zh-CN"/>
        </w:rPr>
        <w:t xml:space="preserve">1. 06 </w:t>
      </w:r>
      <w:r>
        <w:rPr>
          <w:rFonts w:hint="eastAsia"/>
          <w:sz w:val="28"/>
          <w:szCs w:val="28"/>
          <w:lang w:val="en-US" w:eastAsia="zh-CN"/>
        </w:rPr>
        <w:t xml:space="preserve">  </w:t>
      </w:r>
      <w:r>
        <w:rPr>
          <w:rFonts w:hint="eastAsia"/>
          <w:sz w:val="28"/>
          <w:szCs w:val="28"/>
          <w:lang w:eastAsia="zh-CN"/>
        </w:rPr>
        <w:t>1</w:t>
      </w:r>
      <w:r>
        <w:rPr>
          <w:rFonts w:hint="eastAsia"/>
          <w:sz w:val="28"/>
          <w:szCs w:val="28"/>
          <w:lang w:val="en-US" w:eastAsia="zh-CN"/>
        </w:rPr>
        <w:t>:</w:t>
      </w:r>
      <w:r>
        <w:rPr>
          <w:rFonts w:hint="eastAsia"/>
          <w:sz w:val="28"/>
          <w:szCs w:val="28"/>
          <w:lang w:eastAsia="zh-CN"/>
        </w:rPr>
        <w:t xml:space="preserve">1. 04 </w:t>
      </w:r>
      <w:r>
        <w:rPr>
          <w:rFonts w:hint="eastAsia"/>
          <w:sz w:val="28"/>
          <w:szCs w:val="28"/>
          <w:lang w:val="en-US" w:eastAsia="zh-CN"/>
        </w:rPr>
        <w:t xml:space="preserve">   </w:t>
      </w:r>
      <w:r>
        <w:rPr>
          <w:rFonts w:hint="eastAsia"/>
          <w:sz w:val="28"/>
          <w:szCs w:val="28"/>
          <w:lang w:eastAsia="zh-CN"/>
        </w:rPr>
        <w:t>1</w:t>
      </w:r>
      <w:r>
        <w:rPr>
          <w:rFonts w:hint="eastAsia"/>
          <w:sz w:val="28"/>
          <w:szCs w:val="28"/>
          <w:lang w:val="en-US" w:eastAsia="zh-CN"/>
        </w:rPr>
        <w:t>:</w:t>
      </w:r>
      <w:r>
        <w:rPr>
          <w:rFonts w:hint="eastAsia"/>
          <w:sz w:val="28"/>
          <w:szCs w:val="28"/>
          <w:lang w:eastAsia="zh-CN"/>
        </w:rPr>
        <w:t>1. 02</w:t>
      </w:r>
      <w:r>
        <w:rPr>
          <w:rFonts w:hint="eastAsia"/>
          <w:sz w:val="28"/>
          <w:szCs w:val="28"/>
          <w:lang w:val="en-US" w:eastAsia="zh-CN"/>
        </w:rPr>
        <w:t xml:space="preserve">   </w:t>
      </w:r>
      <w:r>
        <w:rPr>
          <w:rFonts w:hint="eastAsia"/>
          <w:sz w:val="28"/>
          <w:szCs w:val="28"/>
          <w:lang w:eastAsia="zh-CN"/>
        </w:rPr>
        <w:t>1</w:t>
      </w:r>
      <w:r>
        <w:rPr>
          <w:rFonts w:hint="eastAsia"/>
          <w:sz w:val="28"/>
          <w:szCs w:val="28"/>
          <w:lang w:val="en-US" w:eastAsia="zh-CN"/>
        </w:rPr>
        <w:t>:</w:t>
      </w:r>
      <w:r>
        <w:rPr>
          <w:rFonts w:hint="eastAsia"/>
          <w:sz w:val="28"/>
          <w:szCs w:val="28"/>
          <w:lang w:eastAsia="zh-CN"/>
        </w:rPr>
        <w:t>1共8个等级（等级划分见附件)。</w:t>
      </w:r>
    </w:p>
    <w:p>
      <w:pPr>
        <w:spacing w:after="0"/>
        <w:ind w:firstLine="560" w:firstLineChars="200"/>
        <w:rPr>
          <w:rFonts w:hint="eastAsia"/>
          <w:sz w:val="28"/>
          <w:szCs w:val="28"/>
          <w:lang w:eastAsia="zh-CN"/>
        </w:rPr>
      </w:pPr>
      <w:r>
        <w:rPr>
          <w:rFonts w:hint="eastAsia"/>
          <w:sz w:val="28"/>
          <w:szCs w:val="28"/>
          <w:lang w:eastAsia="zh-CN"/>
        </w:rPr>
        <w:t>（一）被征收房屋面积的认定：由房屋征收实施单位、房地产价格评估机构、被征收人共同对被征收房屋进行实地查勘，拍摄反映被征收房屋内外部状况的照片等影像资料，做好实地查勘记录，并在实地查勘记录上签字确认房屋建筑等级。</w:t>
      </w:r>
    </w:p>
    <w:p>
      <w:pPr>
        <w:spacing w:after="0"/>
        <w:ind w:firstLine="560" w:firstLineChars="200"/>
        <w:rPr>
          <w:rFonts w:hint="eastAsia"/>
          <w:sz w:val="28"/>
          <w:szCs w:val="28"/>
          <w:lang w:eastAsia="zh-CN"/>
        </w:rPr>
      </w:pPr>
      <w:r>
        <w:rPr>
          <w:rFonts w:hint="eastAsia"/>
          <w:sz w:val="28"/>
          <w:szCs w:val="28"/>
          <w:lang w:eastAsia="zh-CN"/>
        </w:rPr>
        <w:t>被征收人应当协助房屋鉴定小组对被征收房屋进行实地查勘，提供或协助搜集被征收房屋评估所必需</w:t>
      </w:r>
      <w:bookmarkStart w:id="0" w:name="_GoBack"/>
      <w:bookmarkEnd w:id="0"/>
      <w:r>
        <w:rPr>
          <w:rFonts w:hint="eastAsia"/>
          <w:sz w:val="28"/>
          <w:szCs w:val="28"/>
          <w:lang w:eastAsia="zh-CN"/>
        </w:rPr>
        <w:t>的情况和资料。</w:t>
      </w:r>
    </w:p>
    <w:p>
      <w:pPr>
        <w:spacing w:after="0"/>
        <w:ind w:firstLine="560" w:firstLineChars="200"/>
        <w:rPr>
          <w:rFonts w:hint="eastAsia"/>
          <w:sz w:val="28"/>
          <w:szCs w:val="28"/>
          <w:lang w:eastAsia="zh-CN"/>
        </w:rPr>
      </w:pPr>
      <w:r>
        <w:rPr>
          <w:rFonts w:hint="eastAsia"/>
          <w:sz w:val="28"/>
          <w:szCs w:val="28"/>
          <w:lang w:eastAsia="zh-CN"/>
        </w:rPr>
        <w:t>（二）依照房屋鉴定小组做出的最终鉴定结果，由房屋征收实施单位给予被征收人进行货币补偿或产权调换。</w:t>
      </w:r>
    </w:p>
    <w:p>
      <w:pPr>
        <w:spacing w:after="0"/>
        <w:ind w:firstLine="560" w:firstLineChars="200"/>
        <w:rPr>
          <w:rFonts w:hint="eastAsia"/>
          <w:sz w:val="28"/>
          <w:szCs w:val="28"/>
          <w:lang w:eastAsia="zh-CN"/>
        </w:rPr>
      </w:pPr>
      <w:r>
        <w:rPr>
          <w:rFonts w:hint="eastAsia"/>
          <w:sz w:val="28"/>
          <w:szCs w:val="28"/>
          <w:lang w:eastAsia="zh-CN"/>
        </w:rPr>
        <w:t>（三）附属物依照附属设施拆迁补偿等级标准价目进行补偿（见附件2）。</w:t>
      </w:r>
    </w:p>
    <w:p>
      <w:pPr>
        <w:spacing w:after="0"/>
        <w:ind w:firstLine="560" w:firstLineChars="200"/>
        <w:rPr>
          <w:rFonts w:hint="eastAsia"/>
          <w:sz w:val="28"/>
          <w:szCs w:val="28"/>
          <w:u w:val="single"/>
          <w:lang w:eastAsia="zh-CN"/>
        </w:rPr>
      </w:pPr>
      <w:r>
        <w:rPr>
          <w:rFonts w:hint="eastAsia"/>
          <w:sz w:val="28"/>
          <w:szCs w:val="28"/>
          <w:lang w:eastAsia="zh-CN"/>
        </w:rPr>
        <w:t>（四）闭路电视、电话移机、燃气移装等的补偿由房屋征收实施单位核实数量，回迁实行一户兑一户。</w:t>
      </w:r>
    </w:p>
    <w:p>
      <w:pPr>
        <w:spacing w:after="0"/>
        <w:ind w:firstLine="562" w:firstLineChars="200"/>
        <w:rPr>
          <w:rFonts w:hint="eastAsia"/>
          <w:b/>
          <w:bCs/>
          <w:sz w:val="28"/>
          <w:szCs w:val="28"/>
          <w:lang w:eastAsia="zh-CN"/>
        </w:rPr>
      </w:pPr>
      <w:r>
        <w:rPr>
          <w:rFonts w:hint="eastAsia"/>
          <w:b/>
          <w:bCs/>
          <w:sz w:val="28"/>
          <w:szCs w:val="28"/>
          <w:lang w:eastAsia="zh-CN"/>
        </w:rPr>
        <w:t>七、实行货币补偿的协议签订和补偿</w:t>
      </w:r>
    </w:p>
    <w:p>
      <w:pPr>
        <w:spacing w:after="0"/>
        <w:ind w:firstLine="560" w:firstLineChars="200"/>
        <w:rPr>
          <w:rFonts w:hint="eastAsia"/>
          <w:sz w:val="28"/>
          <w:szCs w:val="28"/>
          <w:lang w:eastAsia="zh-CN"/>
        </w:rPr>
      </w:pPr>
      <w:r>
        <w:rPr>
          <w:rFonts w:hint="eastAsia"/>
          <w:sz w:val="28"/>
          <w:szCs w:val="28"/>
          <w:lang w:eastAsia="zh-CN"/>
        </w:rPr>
        <w:t>（一）由房地产价格评估机构对被征收人的建筑物、附属物、阁楼、地下室和临时建筑面积和数量核实后，进入评估程序，评估结果得出后，经房屋征收实施单位和被征收人核实无误，签字认可，签订征收补偿协议，腾空房屋（具备拆除条件），办理房屋交接手续，一次性付清所有补偿款项。</w:t>
      </w:r>
    </w:p>
    <w:p>
      <w:pPr>
        <w:spacing w:after="0"/>
        <w:ind w:firstLine="560" w:firstLineChars="200"/>
        <w:rPr>
          <w:rFonts w:hint="eastAsia"/>
          <w:sz w:val="28"/>
          <w:szCs w:val="28"/>
          <w:lang w:eastAsia="zh-CN"/>
        </w:rPr>
      </w:pPr>
      <w:r>
        <w:rPr>
          <w:rFonts w:hint="eastAsia"/>
          <w:sz w:val="28"/>
          <w:szCs w:val="28"/>
          <w:lang w:eastAsia="zh-CN"/>
        </w:rPr>
        <w:t>（二）临时安置补助费标准为：被征收房屋建筑面积在30平方米以下（含30平方米）的，月支付临时安置补助费</w:t>
      </w:r>
      <w:r>
        <w:rPr>
          <w:rFonts w:hint="eastAsia"/>
          <w:sz w:val="28"/>
          <w:szCs w:val="28"/>
          <w:lang w:val="en-US" w:eastAsia="zh-CN"/>
        </w:rPr>
        <w:t>210元</w:t>
      </w:r>
      <w:r>
        <w:rPr>
          <w:rFonts w:hint="eastAsia"/>
          <w:sz w:val="28"/>
          <w:szCs w:val="28"/>
          <w:lang w:eastAsia="zh-CN"/>
        </w:rPr>
        <w:t>；超过30平方米的，超出部分每平方米月支付临时安置补助费</w:t>
      </w:r>
      <w:r>
        <w:rPr>
          <w:rFonts w:hint="eastAsia"/>
          <w:sz w:val="28"/>
          <w:szCs w:val="28"/>
          <w:lang w:val="en-US" w:eastAsia="zh-CN"/>
        </w:rPr>
        <w:t>6元</w:t>
      </w:r>
      <w:r>
        <w:rPr>
          <w:rFonts w:hint="eastAsia"/>
          <w:sz w:val="28"/>
          <w:szCs w:val="28"/>
          <w:lang w:eastAsia="zh-CN"/>
        </w:rPr>
        <w:t>。由房屋征收实施单位一次性支付6个月。</w:t>
      </w:r>
    </w:p>
    <w:p>
      <w:pPr>
        <w:spacing w:after="0"/>
        <w:ind w:firstLine="560" w:firstLineChars="200"/>
        <w:rPr>
          <w:rFonts w:hint="eastAsia"/>
          <w:sz w:val="28"/>
          <w:szCs w:val="28"/>
          <w:lang w:eastAsia="zh-CN"/>
        </w:rPr>
      </w:pPr>
      <w:r>
        <w:rPr>
          <w:rFonts w:hint="eastAsia"/>
          <w:sz w:val="28"/>
          <w:szCs w:val="28"/>
          <w:lang w:eastAsia="zh-CN"/>
        </w:rPr>
        <w:t>（三）搬迁补助费的标准为：被征收房屋建筑面积在30 平方米以下（含30平方米）的，一次性支付搬迁补助费</w:t>
      </w:r>
      <w:r>
        <w:rPr>
          <w:rFonts w:hint="eastAsia"/>
          <w:sz w:val="28"/>
          <w:szCs w:val="28"/>
          <w:lang w:val="en-US" w:eastAsia="zh-CN"/>
        </w:rPr>
        <w:t>500元</w:t>
      </w:r>
      <w:r>
        <w:rPr>
          <w:rFonts w:hint="eastAsia"/>
          <w:sz w:val="28"/>
          <w:szCs w:val="28"/>
          <w:lang w:eastAsia="zh-CN"/>
        </w:rPr>
        <w:t>；超过30平方米的，超出部分每平方米支付搬迁补助费</w:t>
      </w:r>
      <w:r>
        <w:rPr>
          <w:rFonts w:hint="eastAsia"/>
          <w:sz w:val="28"/>
          <w:szCs w:val="28"/>
          <w:lang w:val="en-US" w:eastAsia="zh-CN"/>
        </w:rPr>
        <w:t>10元</w:t>
      </w:r>
      <w:r>
        <w:rPr>
          <w:rFonts w:hint="eastAsia"/>
          <w:sz w:val="28"/>
          <w:szCs w:val="28"/>
          <w:lang w:eastAsia="zh-CN"/>
        </w:rPr>
        <w:t>。</w:t>
      </w:r>
    </w:p>
    <w:p>
      <w:pPr>
        <w:spacing w:after="0"/>
        <w:ind w:firstLine="562" w:firstLineChars="200"/>
        <w:rPr>
          <w:rFonts w:hint="eastAsia"/>
          <w:b/>
          <w:bCs/>
          <w:sz w:val="28"/>
          <w:szCs w:val="28"/>
          <w:lang w:eastAsia="zh-CN"/>
        </w:rPr>
      </w:pPr>
      <w:r>
        <w:rPr>
          <w:rFonts w:hint="eastAsia"/>
          <w:b/>
          <w:bCs/>
          <w:sz w:val="28"/>
          <w:szCs w:val="28"/>
          <w:lang w:eastAsia="zh-CN"/>
        </w:rPr>
        <w:t>八、实行产权调换的协议签订和补偿</w:t>
      </w:r>
    </w:p>
    <w:p>
      <w:pPr>
        <w:spacing w:after="0"/>
        <w:ind w:firstLine="560" w:firstLineChars="200"/>
        <w:rPr>
          <w:rFonts w:hint="eastAsia"/>
          <w:sz w:val="28"/>
          <w:szCs w:val="28"/>
          <w:lang w:eastAsia="zh-CN"/>
        </w:rPr>
      </w:pPr>
      <w:r>
        <w:rPr>
          <w:rFonts w:hint="eastAsia"/>
          <w:sz w:val="28"/>
          <w:szCs w:val="28"/>
          <w:lang w:eastAsia="zh-CN"/>
        </w:rPr>
        <w:t>（一）在房屋征收面积确定后，由房地产价格评估机构对附属物、阁楼、地下室、临时建筑等予以评估，评估结果得出后，经房屋征收实施单位和被征收人核实无误、签订协议、腾空房屋（具备拆除条件）、办理房屋交接手续、补偿结算、领取安置选房序号、选择回迁安置房。</w:t>
      </w:r>
    </w:p>
    <w:p>
      <w:pPr>
        <w:spacing w:after="0"/>
        <w:ind w:firstLine="560" w:firstLineChars="200"/>
        <w:rPr>
          <w:rFonts w:hint="eastAsia"/>
          <w:sz w:val="28"/>
          <w:szCs w:val="28"/>
          <w:lang w:eastAsia="zh-CN"/>
        </w:rPr>
      </w:pPr>
      <w:r>
        <w:rPr>
          <w:rFonts w:hint="eastAsia"/>
          <w:sz w:val="28"/>
          <w:szCs w:val="28"/>
          <w:lang w:eastAsia="zh-CN"/>
        </w:rPr>
        <w:t>（二）临时安置过渡期最长不超过36个月。房屋征收实施单位应支付被征收人自搬迁之月起至用于产权调换房屋交付后六个月内的临时安置补助费，房屋征收实施单位没有在协议规定过渡期内安置被征收人的，超过36个月之后的按3倍支付临时安置补助费。如因不可抗力造成房屋回迁延期，由双方协商解决。</w:t>
      </w:r>
    </w:p>
    <w:p>
      <w:pPr>
        <w:spacing w:after="0"/>
        <w:ind w:firstLine="560" w:firstLineChars="200"/>
        <w:rPr>
          <w:rFonts w:hint="eastAsia"/>
          <w:sz w:val="28"/>
          <w:szCs w:val="28"/>
          <w:lang w:eastAsia="zh-CN"/>
        </w:rPr>
      </w:pPr>
      <w:r>
        <w:rPr>
          <w:rFonts w:hint="eastAsia"/>
          <w:sz w:val="28"/>
          <w:szCs w:val="28"/>
          <w:lang w:eastAsia="zh-CN"/>
        </w:rPr>
        <w:t>（三）临时安置补助费标准为：被征收房屋建筑面积在 30平方米以下（含30平方米）的，月支付临时安置费</w:t>
      </w:r>
      <w:r>
        <w:rPr>
          <w:rFonts w:hint="eastAsia"/>
          <w:sz w:val="28"/>
          <w:szCs w:val="28"/>
          <w:lang w:val="en-US" w:eastAsia="zh-CN"/>
        </w:rPr>
        <w:t>210元</w:t>
      </w:r>
      <w:r>
        <w:rPr>
          <w:rFonts w:hint="eastAsia"/>
          <w:sz w:val="28"/>
          <w:szCs w:val="28"/>
          <w:lang w:eastAsia="zh-CN"/>
        </w:rPr>
        <w:t>；超过30平方米的，超出部分每平方米月支付临时安置补助费</w:t>
      </w:r>
      <w:r>
        <w:rPr>
          <w:rFonts w:hint="eastAsia"/>
          <w:sz w:val="28"/>
          <w:szCs w:val="28"/>
          <w:lang w:val="en-US" w:eastAsia="zh-CN"/>
        </w:rPr>
        <w:t>6元</w:t>
      </w:r>
      <w:r>
        <w:rPr>
          <w:rFonts w:hint="eastAsia"/>
          <w:sz w:val="28"/>
          <w:szCs w:val="28"/>
          <w:lang w:eastAsia="zh-CN"/>
        </w:rPr>
        <w:t>。</w:t>
      </w:r>
    </w:p>
    <w:p>
      <w:pPr>
        <w:spacing w:after="0"/>
        <w:ind w:firstLine="560" w:firstLineChars="200"/>
        <w:rPr>
          <w:rFonts w:hint="eastAsia"/>
          <w:sz w:val="28"/>
          <w:szCs w:val="28"/>
          <w:lang w:eastAsia="zh-CN"/>
        </w:rPr>
      </w:pPr>
      <w:r>
        <w:rPr>
          <w:rFonts w:hint="eastAsia"/>
          <w:sz w:val="28"/>
          <w:szCs w:val="28"/>
          <w:lang w:eastAsia="zh-CN"/>
        </w:rPr>
        <w:t>（四）搬迁补助的标准为：被征收房屋建筑面积在30平方米以下（含30平方米）的，一次性支付搬迁补助费</w:t>
      </w:r>
      <w:r>
        <w:rPr>
          <w:rFonts w:hint="eastAsia"/>
          <w:sz w:val="28"/>
          <w:szCs w:val="28"/>
          <w:lang w:val="en-US" w:eastAsia="zh-CN"/>
        </w:rPr>
        <w:t>500元</w:t>
      </w:r>
      <w:r>
        <w:rPr>
          <w:rFonts w:hint="eastAsia"/>
          <w:sz w:val="28"/>
          <w:szCs w:val="28"/>
          <w:lang w:eastAsia="zh-CN"/>
        </w:rPr>
        <w:t>；超过30平方米的，超出部分每平方米支付搬迁补助费</w:t>
      </w:r>
      <w:r>
        <w:rPr>
          <w:rFonts w:hint="eastAsia"/>
          <w:sz w:val="28"/>
          <w:szCs w:val="28"/>
          <w:lang w:val="en-US" w:eastAsia="zh-CN"/>
        </w:rPr>
        <w:t>10元</w:t>
      </w:r>
      <w:r>
        <w:rPr>
          <w:rFonts w:hint="eastAsia"/>
          <w:sz w:val="28"/>
          <w:szCs w:val="28"/>
          <w:lang w:eastAsia="zh-CN"/>
        </w:rPr>
        <w:t>。由房屋征收实施单位支付二次搬迁费。</w:t>
      </w:r>
    </w:p>
    <w:p>
      <w:pPr>
        <w:spacing w:after="0"/>
        <w:ind w:firstLine="560" w:firstLineChars="200"/>
        <w:rPr>
          <w:rFonts w:hint="eastAsia"/>
          <w:sz w:val="28"/>
          <w:szCs w:val="28"/>
          <w:lang w:eastAsia="zh-CN"/>
        </w:rPr>
      </w:pPr>
      <w:r>
        <w:rPr>
          <w:rFonts w:hint="eastAsia"/>
          <w:sz w:val="28"/>
          <w:szCs w:val="28"/>
          <w:lang w:eastAsia="zh-CN"/>
        </w:rPr>
        <w:t>（五）实行产权调换的，依据被征收房屋可调换的面积就近靠档选择回迁安置房屋面积。</w:t>
      </w:r>
    </w:p>
    <w:p>
      <w:pPr>
        <w:spacing w:after="0"/>
        <w:ind w:firstLine="560" w:firstLineChars="200"/>
        <w:rPr>
          <w:rFonts w:hint="eastAsia"/>
          <w:sz w:val="28"/>
          <w:szCs w:val="28"/>
          <w:lang w:eastAsia="zh-CN"/>
        </w:rPr>
      </w:pPr>
      <w:r>
        <w:rPr>
          <w:rFonts w:hint="eastAsia"/>
          <w:sz w:val="28"/>
          <w:szCs w:val="28"/>
          <w:lang w:eastAsia="zh-CN"/>
        </w:rPr>
        <w:t>（六）按产权调换方式选择回迁安置住房的被征收人，必须按其回迁面积就近靠档的原则进行选房。</w:t>
      </w:r>
    </w:p>
    <w:p>
      <w:pPr>
        <w:spacing w:after="0"/>
        <w:ind w:firstLine="560" w:firstLineChars="200"/>
        <w:rPr>
          <w:rFonts w:hint="eastAsia"/>
          <w:sz w:val="28"/>
          <w:szCs w:val="28"/>
          <w:lang w:eastAsia="zh-CN"/>
        </w:rPr>
      </w:pPr>
      <w:r>
        <w:rPr>
          <w:rFonts w:hint="eastAsia"/>
          <w:sz w:val="28"/>
          <w:szCs w:val="28"/>
          <w:lang w:eastAsia="zh-CN"/>
        </w:rPr>
        <w:t>产权调换选房后剩余回迁面积50平方米以上（含50平方米）且不足回迁房最小面积的，可再次选择产权调换，也可选择货币补偿。选择产权调换的，按最小回迁房户型面积选房，不足部分按成本价补足余款后予以产权调换；选择货币补偿的，按确定的货币补偿价予以货币补偿。</w:t>
      </w:r>
    </w:p>
    <w:p>
      <w:pPr>
        <w:spacing w:after="0"/>
        <w:ind w:firstLine="560" w:firstLineChars="200"/>
        <w:rPr>
          <w:rFonts w:hint="eastAsia"/>
          <w:sz w:val="28"/>
          <w:szCs w:val="28"/>
          <w:lang w:eastAsia="zh-CN"/>
        </w:rPr>
      </w:pPr>
      <w:r>
        <w:rPr>
          <w:rFonts w:hint="eastAsia"/>
          <w:sz w:val="28"/>
          <w:szCs w:val="28"/>
          <w:lang w:eastAsia="zh-CN"/>
        </w:rPr>
        <w:t>选房后剩余回迁面积不满50平方米的，按确定的货币补偿价予以货币补偿，不能进行产权调换。</w:t>
      </w:r>
    </w:p>
    <w:p>
      <w:pPr>
        <w:spacing w:after="0"/>
        <w:ind w:firstLine="560" w:firstLineChars="200"/>
        <w:rPr>
          <w:rFonts w:hint="eastAsia"/>
          <w:sz w:val="28"/>
          <w:szCs w:val="28"/>
          <w:lang w:eastAsia="zh-CN"/>
        </w:rPr>
      </w:pPr>
      <w:r>
        <w:rPr>
          <w:rFonts w:hint="eastAsia"/>
          <w:sz w:val="28"/>
          <w:szCs w:val="28"/>
          <w:lang w:eastAsia="zh-CN"/>
        </w:rPr>
        <w:t>（七）对于需要补交房款的被征收人，必须依照《回迁安置房合同》按期交足房款。如未按合同规定的时间付款，逾期在30日之内，自本合同规定的应付款期限之第二天起到实际全额支付应付款之日止，被征收人按日向房屋征收实施单位支付逾期应付款万分之三的违约金，合同继续履行；逾期在30日后，被征收人按日向房屋征收实施单位支付逾期应付款万分之五的违约金，合同继续履行。</w:t>
      </w:r>
    </w:p>
    <w:p>
      <w:pPr>
        <w:spacing w:after="0"/>
        <w:ind w:firstLine="560" w:firstLineChars="200"/>
        <w:rPr>
          <w:rFonts w:hint="eastAsia"/>
          <w:sz w:val="28"/>
          <w:szCs w:val="28"/>
          <w:lang w:eastAsia="zh-CN"/>
        </w:rPr>
      </w:pPr>
      <w:r>
        <w:rPr>
          <w:rFonts w:hint="eastAsia"/>
          <w:sz w:val="28"/>
          <w:szCs w:val="28"/>
          <w:lang w:eastAsia="zh-CN"/>
        </w:rPr>
        <w:t>（八）回迁时间以房屋征收实施单位公告发布的时间为准。被征收人不得以任何理由拒绝回迁。回迁时被征收人应当根据所选的房屋面积补足房款及一切价外费用，方予办理相关回迁手续。</w:t>
      </w:r>
    </w:p>
    <w:p>
      <w:pPr>
        <w:spacing w:after="0"/>
        <w:ind w:firstLine="562" w:firstLineChars="200"/>
        <w:rPr>
          <w:rFonts w:hint="eastAsia"/>
          <w:b/>
          <w:bCs/>
          <w:sz w:val="28"/>
          <w:szCs w:val="28"/>
          <w:lang w:eastAsia="zh-CN"/>
        </w:rPr>
      </w:pPr>
      <w:r>
        <w:rPr>
          <w:rFonts w:hint="eastAsia"/>
          <w:b/>
          <w:bCs/>
          <w:sz w:val="28"/>
          <w:szCs w:val="28"/>
          <w:lang w:eastAsia="zh-CN"/>
        </w:rPr>
        <w:t>九、非住宅房屋的搬迁补助费标准</w:t>
      </w:r>
    </w:p>
    <w:p>
      <w:pPr>
        <w:spacing w:after="0"/>
        <w:ind w:firstLine="560" w:firstLineChars="200"/>
        <w:rPr>
          <w:rFonts w:hint="eastAsia"/>
          <w:sz w:val="28"/>
          <w:szCs w:val="28"/>
          <w:lang w:eastAsia="zh-CN"/>
        </w:rPr>
      </w:pPr>
      <w:r>
        <w:rPr>
          <w:rFonts w:hint="eastAsia"/>
          <w:sz w:val="28"/>
          <w:szCs w:val="28"/>
          <w:lang w:eastAsia="zh-CN"/>
        </w:rPr>
        <w:t>非住宅房屋的搬迁补助费标准为：商业营业用房每平方米支付</w:t>
      </w:r>
      <w:r>
        <w:rPr>
          <w:rFonts w:hint="eastAsia"/>
          <w:sz w:val="28"/>
          <w:szCs w:val="28"/>
          <w:lang w:val="en-US" w:eastAsia="zh-CN"/>
        </w:rPr>
        <w:t>22.5</w:t>
      </w:r>
      <w:r>
        <w:rPr>
          <w:rFonts w:hint="eastAsia"/>
          <w:sz w:val="28"/>
          <w:szCs w:val="28"/>
          <w:lang w:eastAsia="zh-CN"/>
        </w:rPr>
        <w:t>元，生产用房每平方米支付</w:t>
      </w:r>
      <w:r>
        <w:rPr>
          <w:rFonts w:hint="eastAsia"/>
          <w:sz w:val="28"/>
          <w:szCs w:val="28"/>
          <w:lang w:val="en-US" w:eastAsia="zh-CN"/>
        </w:rPr>
        <w:t>32.5</w:t>
      </w:r>
      <w:r>
        <w:rPr>
          <w:rFonts w:hint="eastAsia"/>
          <w:sz w:val="28"/>
          <w:szCs w:val="28"/>
          <w:lang w:eastAsia="zh-CN"/>
        </w:rPr>
        <w:t>元，办公用房每平方米支付</w:t>
      </w:r>
      <w:r>
        <w:rPr>
          <w:rFonts w:hint="eastAsia"/>
          <w:sz w:val="28"/>
          <w:szCs w:val="28"/>
          <w:lang w:val="en-US" w:eastAsia="zh-CN"/>
        </w:rPr>
        <w:t>15.5</w:t>
      </w:r>
      <w:r>
        <w:rPr>
          <w:rFonts w:hint="eastAsia"/>
          <w:sz w:val="28"/>
          <w:szCs w:val="28"/>
          <w:lang w:eastAsia="zh-CN"/>
        </w:rPr>
        <w:t>元，仓储用房每平方米支付</w:t>
      </w:r>
      <w:r>
        <w:rPr>
          <w:rFonts w:hint="eastAsia"/>
          <w:sz w:val="28"/>
          <w:szCs w:val="28"/>
          <w:lang w:val="en-US" w:eastAsia="zh-CN"/>
        </w:rPr>
        <w:t>22.5</w:t>
      </w:r>
      <w:r>
        <w:rPr>
          <w:rFonts w:hint="eastAsia"/>
          <w:sz w:val="28"/>
          <w:szCs w:val="28"/>
          <w:lang w:eastAsia="zh-CN"/>
        </w:rPr>
        <w:t>元，特殊设备的搬迁费由房地产评估机构评估确定。</w:t>
      </w:r>
    </w:p>
    <w:p>
      <w:pPr>
        <w:spacing w:after="0"/>
        <w:ind w:firstLine="562" w:firstLineChars="200"/>
        <w:rPr>
          <w:rFonts w:hint="eastAsia"/>
          <w:b/>
          <w:bCs/>
          <w:sz w:val="28"/>
          <w:szCs w:val="28"/>
          <w:lang w:eastAsia="zh-CN"/>
        </w:rPr>
      </w:pPr>
      <w:r>
        <w:rPr>
          <w:rFonts w:hint="eastAsia"/>
          <w:b/>
          <w:bCs/>
          <w:sz w:val="28"/>
          <w:szCs w:val="28"/>
          <w:lang w:eastAsia="zh-CN"/>
        </w:rPr>
        <w:t>十、住宅房屋的经营补偿</w:t>
      </w:r>
    </w:p>
    <w:p>
      <w:pPr>
        <w:spacing w:after="0"/>
        <w:ind w:firstLine="560" w:firstLineChars="200"/>
        <w:rPr>
          <w:rFonts w:hint="eastAsia"/>
          <w:sz w:val="28"/>
          <w:szCs w:val="28"/>
          <w:lang w:eastAsia="zh-CN"/>
        </w:rPr>
      </w:pPr>
      <w:r>
        <w:rPr>
          <w:rFonts w:hint="eastAsia"/>
          <w:sz w:val="28"/>
          <w:szCs w:val="28"/>
          <w:lang w:eastAsia="zh-CN"/>
        </w:rPr>
        <w:t>房屋征收前被征收人已依法取得营业执照和税务登记证的住宅房屋，招用人员工资补偿按照在人力资源和社会保障部门备案的劳动用工合同的在册（在岗）人员名单，经人社部门核实后，按劳动合同法有关规定给予一次性补偿，未签订劳动用工合同、未到人力资源和社会保障部门备案的不给予补偿。</w:t>
      </w:r>
    </w:p>
    <w:p>
      <w:pPr>
        <w:spacing w:after="0"/>
        <w:ind w:firstLine="560" w:firstLineChars="200"/>
        <w:rPr>
          <w:rFonts w:hint="eastAsia"/>
          <w:sz w:val="28"/>
          <w:szCs w:val="28"/>
          <w:lang w:eastAsia="zh-CN"/>
        </w:rPr>
      </w:pPr>
      <w:r>
        <w:rPr>
          <w:rFonts w:hint="eastAsia"/>
          <w:sz w:val="28"/>
          <w:szCs w:val="28"/>
          <w:lang w:eastAsia="zh-CN"/>
        </w:rPr>
        <w:t>经营性补偿经税务部门审核，按上一年度月平均税后利润的60％计算，未纳税的不给予补偿。</w:t>
      </w:r>
    </w:p>
    <w:p>
      <w:pPr>
        <w:spacing w:after="0"/>
        <w:ind w:firstLine="560" w:firstLineChars="200"/>
        <w:rPr>
          <w:rFonts w:hint="eastAsia"/>
          <w:sz w:val="28"/>
          <w:szCs w:val="28"/>
          <w:lang w:eastAsia="zh-CN"/>
        </w:rPr>
      </w:pPr>
      <w:r>
        <w:rPr>
          <w:rFonts w:hint="eastAsia"/>
          <w:sz w:val="28"/>
          <w:szCs w:val="28"/>
          <w:lang w:eastAsia="zh-CN"/>
        </w:rPr>
        <w:t>造成全部停产停业的，补偿期限为6个月，造成部分停产停业的，补偿期限为3个月。</w:t>
      </w:r>
    </w:p>
    <w:p>
      <w:pPr>
        <w:spacing w:after="0"/>
        <w:ind w:firstLine="562" w:firstLineChars="200"/>
        <w:rPr>
          <w:rFonts w:hint="eastAsia"/>
          <w:b/>
          <w:bCs/>
          <w:sz w:val="28"/>
          <w:szCs w:val="28"/>
          <w:lang w:eastAsia="zh-CN"/>
        </w:rPr>
      </w:pPr>
      <w:r>
        <w:rPr>
          <w:rFonts w:hint="eastAsia"/>
          <w:b/>
          <w:bCs/>
          <w:sz w:val="28"/>
          <w:szCs w:val="28"/>
          <w:lang w:eastAsia="zh-CN"/>
        </w:rPr>
        <w:t>十一、非住宅房屋的经营补偿</w:t>
      </w:r>
    </w:p>
    <w:p>
      <w:pPr>
        <w:spacing w:after="0"/>
        <w:ind w:firstLine="560" w:firstLineChars="200"/>
        <w:rPr>
          <w:rFonts w:hint="eastAsia"/>
          <w:sz w:val="28"/>
          <w:szCs w:val="28"/>
          <w:lang w:eastAsia="zh-CN"/>
        </w:rPr>
      </w:pPr>
      <w:r>
        <w:rPr>
          <w:rFonts w:hint="eastAsia"/>
          <w:sz w:val="28"/>
          <w:szCs w:val="28"/>
          <w:lang w:eastAsia="zh-CN"/>
        </w:rPr>
        <w:t>因征收房屋造成非住宅房屋停产停业的，招用人员工资补偿按照人力资源和社会保障部门备案的劳动用工合同在册（在岗）人员，经人社部门核实后，按劳动合同法有关规定给予一次性经济补偿。</w:t>
      </w:r>
    </w:p>
    <w:p>
      <w:pPr>
        <w:spacing w:after="0"/>
        <w:ind w:firstLine="560" w:firstLineChars="200"/>
        <w:rPr>
          <w:rFonts w:hint="eastAsia"/>
          <w:sz w:val="28"/>
          <w:szCs w:val="28"/>
          <w:lang w:eastAsia="zh-CN"/>
        </w:rPr>
      </w:pPr>
      <w:r>
        <w:rPr>
          <w:rFonts w:hint="eastAsia"/>
          <w:sz w:val="28"/>
          <w:szCs w:val="28"/>
          <w:lang w:eastAsia="zh-CN"/>
        </w:rPr>
        <w:t>经营性补偿经税务部门审核，按上一年度平均税后利润的60％计算。</w:t>
      </w:r>
    </w:p>
    <w:p>
      <w:pPr>
        <w:spacing w:after="0"/>
        <w:ind w:firstLine="560" w:firstLineChars="200"/>
        <w:rPr>
          <w:rFonts w:hint="eastAsia"/>
          <w:sz w:val="28"/>
          <w:szCs w:val="28"/>
          <w:lang w:eastAsia="zh-CN"/>
        </w:rPr>
      </w:pPr>
      <w:r>
        <w:rPr>
          <w:rFonts w:hint="eastAsia"/>
          <w:sz w:val="28"/>
          <w:szCs w:val="28"/>
          <w:lang w:eastAsia="zh-CN"/>
        </w:rPr>
        <w:t>造成全部停产停业的，补偿期限为6个月，造成部分停产停业的，补偿期限为3个月。</w:t>
      </w:r>
    </w:p>
    <w:p>
      <w:pPr>
        <w:spacing w:after="0"/>
        <w:ind w:firstLine="560" w:firstLineChars="200"/>
        <w:rPr>
          <w:rFonts w:hint="eastAsia"/>
          <w:sz w:val="28"/>
          <w:szCs w:val="28"/>
          <w:lang w:eastAsia="zh-CN"/>
        </w:rPr>
      </w:pPr>
      <w:r>
        <w:rPr>
          <w:rFonts w:hint="eastAsia"/>
          <w:sz w:val="28"/>
          <w:szCs w:val="28"/>
          <w:lang w:eastAsia="zh-CN"/>
        </w:rPr>
        <w:t>征收决定公告发布之日前已停产停业的，不给予补偿。</w:t>
      </w:r>
    </w:p>
    <w:p>
      <w:pPr>
        <w:spacing w:after="0"/>
        <w:ind w:firstLine="562" w:firstLineChars="200"/>
        <w:rPr>
          <w:rFonts w:hint="eastAsia"/>
          <w:b/>
          <w:bCs/>
          <w:sz w:val="28"/>
          <w:szCs w:val="28"/>
          <w:lang w:eastAsia="zh-CN"/>
        </w:rPr>
      </w:pPr>
      <w:r>
        <w:rPr>
          <w:rFonts w:hint="eastAsia"/>
          <w:b/>
          <w:bCs/>
          <w:sz w:val="28"/>
          <w:szCs w:val="28"/>
          <w:lang w:eastAsia="zh-CN"/>
        </w:rPr>
        <w:t>十二、其他</w:t>
      </w:r>
    </w:p>
    <w:p>
      <w:pPr>
        <w:spacing w:after="0"/>
        <w:ind w:firstLine="560" w:firstLineChars="200"/>
        <w:rPr>
          <w:rFonts w:hint="eastAsia"/>
          <w:sz w:val="28"/>
          <w:szCs w:val="28"/>
          <w:lang w:eastAsia="zh-CN"/>
        </w:rPr>
      </w:pPr>
      <w:r>
        <w:rPr>
          <w:rFonts w:hint="eastAsia"/>
          <w:sz w:val="28"/>
          <w:szCs w:val="28"/>
          <w:lang w:eastAsia="zh-CN"/>
        </w:rPr>
        <w:t>（一）房屋征收实施单位为被征收人统一办理《不动产权证书》，属于被征收面积部分的办理费用由房屋征收实施单位负担，超出被征收部分面积的费用由被征收人负担。</w:t>
      </w:r>
    </w:p>
    <w:p>
      <w:pPr>
        <w:spacing w:after="0"/>
        <w:ind w:firstLine="560" w:firstLineChars="200"/>
        <w:rPr>
          <w:rFonts w:hint="eastAsia"/>
          <w:sz w:val="28"/>
          <w:szCs w:val="28"/>
          <w:lang w:eastAsia="zh-CN"/>
        </w:rPr>
      </w:pPr>
      <w:r>
        <w:rPr>
          <w:rFonts w:hint="eastAsia"/>
          <w:sz w:val="28"/>
          <w:szCs w:val="28"/>
          <w:lang w:eastAsia="zh-CN"/>
        </w:rPr>
        <w:t>（二）房屋维修基金按照住宅维修资金管理规定，由房屋所有权人缴纳。</w:t>
      </w:r>
    </w:p>
    <w:p>
      <w:pPr>
        <w:spacing w:after="0"/>
        <w:ind w:firstLine="560" w:firstLineChars="200"/>
        <w:rPr>
          <w:rFonts w:hint="eastAsia"/>
          <w:sz w:val="28"/>
          <w:szCs w:val="28"/>
          <w:lang w:eastAsia="zh-CN"/>
        </w:rPr>
      </w:pPr>
      <w:r>
        <w:rPr>
          <w:rFonts w:hint="eastAsia"/>
          <w:sz w:val="28"/>
          <w:szCs w:val="28"/>
          <w:lang w:eastAsia="zh-CN"/>
        </w:rPr>
        <w:t>回迁房的所有权人应当在办理房屋入住手续前，将首期住宅专项维修基金交房屋征收实施单位，并存入住宅专项维修资金专户。</w:t>
      </w:r>
    </w:p>
    <w:p>
      <w:pPr>
        <w:spacing w:after="0"/>
        <w:ind w:firstLine="560" w:firstLineChars="200"/>
        <w:rPr>
          <w:rFonts w:hint="eastAsia"/>
          <w:sz w:val="28"/>
          <w:szCs w:val="28"/>
          <w:lang w:eastAsia="zh-CN"/>
        </w:rPr>
      </w:pPr>
      <w:r>
        <w:rPr>
          <w:rFonts w:hint="eastAsia"/>
          <w:sz w:val="28"/>
          <w:szCs w:val="28"/>
          <w:lang w:eastAsia="zh-CN"/>
        </w:rPr>
        <w:t>住宅专项维修资金是用于住宅共同部位、共用设备设施保修期满后的维修和更新、改造，不得挪作他用。</w:t>
      </w:r>
    </w:p>
    <w:p>
      <w:pPr>
        <w:spacing w:after="0"/>
        <w:ind w:firstLine="562" w:firstLineChars="200"/>
        <w:rPr>
          <w:rFonts w:hint="eastAsia"/>
          <w:b/>
          <w:bCs/>
          <w:sz w:val="28"/>
          <w:szCs w:val="28"/>
          <w:lang w:eastAsia="zh-CN"/>
        </w:rPr>
      </w:pPr>
      <w:r>
        <w:rPr>
          <w:rFonts w:hint="eastAsia"/>
          <w:b/>
          <w:bCs/>
          <w:sz w:val="28"/>
          <w:szCs w:val="28"/>
          <w:lang w:eastAsia="zh-CN"/>
        </w:rPr>
        <w:t xml:space="preserve"> 十三、征收与补偿中的争议处理</w:t>
      </w:r>
    </w:p>
    <w:p>
      <w:pPr>
        <w:spacing w:after="0"/>
        <w:ind w:firstLine="560" w:firstLineChars="200"/>
        <w:rPr>
          <w:rFonts w:hint="eastAsia"/>
          <w:sz w:val="28"/>
          <w:szCs w:val="28"/>
          <w:lang w:eastAsia="zh-CN"/>
        </w:rPr>
      </w:pPr>
      <w:r>
        <w:rPr>
          <w:rFonts w:hint="eastAsia"/>
          <w:sz w:val="28"/>
          <w:szCs w:val="28"/>
          <w:lang w:eastAsia="zh-CN"/>
        </w:rPr>
        <w:t>被征收人如不服阳城县人民政府房屋征收决定的，可在《阳城县人民政府关于中李丘城中村改造房屋征收决定的公告》发布之日起六十日内向晋城市人民政府申请行政复议，或在六个月内向长治市中级人民法院提起行政诉讼。被征收人在规定期限内，不申请行政复议或者不提起行政诉讼，在《阳城县人民政府关于中李丘城中村改造房屋征收决定的公告》的期限内又不搬迁的，由阳城县人民政府依法申请人民法院强制执行。</w:t>
      </w:r>
    </w:p>
    <w:p>
      <w:pPr>
        <w:spacing w:after="0"/>
        <w:ind w:firstLine="562" w:firstLineChars="200"/>
        <w:rPr>
          <w:rFonts w:hint="eastAsia"/>
          <w:b/>
          <w:bCs/>
          <w:sz w:val="28"/>
          <w:szCs w:val="28"/>
          <w:lang w:eastAsia="zh-CN"/>
        </w:rPr>
      </w:pPr>
      <w:r>
        <w:rPr>
          <w:rFonts w:hint="eastAsia"/>
          <w:b/>
          <w:bCs/>
          <w:sz w:val="28"/>
          <w:szCs w:val="28"/>
          <w:lang w:eastAsia="zh-CN"/>
        </w:rPr>
        <w:t>十四、征收搬迁时限</w:t>
      </w:r>
    </w:p>
    <w:p>
      <w:pPr>
        <w:spacing w:after="0"/>
        <w:ind w:firstLine="560" w:firstLineChars="200"/>
        <w:rPr>
          <w:rFonts w:hint="eastAsia"/>
          <w:sz w:val="28"/>
          <w:szCs w:val="28"/>
          <w:lang w:eastAsia="zh-CN"/>
        </w:rPr>
      </w:pPr>
      <w:r>
        <w:rPr>
          <w:rFonts w:hint="eastAsia"/>
          <w:sz w:val="28"/>
          <w:szCs w:val="28"/>
          <w:lang w:eastAsia="zh-CN"/>
        </w:rPr>
        <w:t>征收及搬迁时限：自《阳城县人民政府关于中李丘城中村改造房屋征收决定的公告》之日起六个月内。</w:t>
      </w:r>
    </w:p>
    <w:p>
      <w:pPr>
        <w:spacing w:after="0"/>
        <w:ind w:firstLine="562" w:firstLineChars="200"/>
        <w:rPr>
          <w:rFonts w:hint="eastAsia"/>
          <w:b/>
          <w:bCs/>
          <w:sz w:val="28"/>
          <w:szCs w:val="28"/>
          <w:lang w:eastAsia="zh-CN"/>
        </w:rPr>
      </w:pPr>
      <w:r>
        <w:rPr>
          <w:rFonts w:hint="eastAsia"/>
          <w:b/>
          <w:bCs/>
          <w:sz w:val="28"/>
          <w:szCs w:val="28"/>
          <w:lang w:eastAsia="zh-CN"/>
        </w:rPr>
        <w:t>十五、奖励办法</w:t>
      </w:r>
    </w:p>
    <w:p>
      <w:pPr>
        <w:spacing w:after="0"/>
        <w:ind w:firstLine="560" w:firstLineChars="200"/>
        <w:rPr>
          <w:rFonts w:hint="eastAsia"/>
          <w:sz w:val="28"/>
          <w:szCs w:val="28"/>
          <w:lang w:eastAsia="zh-CN"/>
        </w:rPr>
      </w:pPr>
      <w:r>
        <w:rPr>
          <w:rFonts w:hint="eastAsia"/>
          <w:sz w:val="28"/>
          <w:szCs w:val="28"/>
          <w:lang w:eastAsia="zh-CN"/>
        </w:rPr>
        <w:t>评估结束签订协议（具体时间另行通知）开始后，10天内完成搬迁移交房屋的，按合法建筑面积150元/</w:t>
      </w:r>
      <w:r>
        <w:rPr>
          <w:rFonts w:hint="eastAsia" w:ascii="宋体" w:hAnsi="宋体" w:eastAsia="宋体" w:cs="宋体"/>
          <w:sz w:val="28"/>
          <w:szCs w:val="28"/>
          <w:lang w:eastAsia="zh-CN"/>
        </w:rPr>
        <w:t>㎡</w:t>
      </w:r>
      <w:r>
        <w:rPr>
          <w:rFonts w:hint="eastAsia"/>
          <w:sz w:val="28"/>
          <w:szCs w:val="28"/>
          <w:lang w:eastAsia="zh-CN"/>
        </w:rPr>
        <w:t>给予奖励，第</w:t>
      </w:r>
      <w:r>
        <w:rPr>
          <w:rFonts w:hint="eastAsia"/>
          <w:sz w:val="28"/>
          <w:szCs w:val="28"/>
          <w:lang w:val="en-US" w:eastAsia="zh-CN"/>
        </w:rPr>
        <w:t>11</w:t>
      </w:r>
      <w:r>
        <w:rPr>
          <w:rFonts w:hint="eastAsia"/>
          <w:sz w:val="28"/>
          <w:szCs w:val="28"/>
          <w:lang w:eastAsia="zh-CN"/>
        </w:rPr>
        <w:t>天至第</w:t>
      </w:r>
      <w:r>
        <w:rPr>
          <w:rFonts w:hint="eastAsia"/>
          <w:sz w:val="28"/>
          <w:szCs w:val="28"/>
          <w:lang w:val="en-US" w:eastAsia="zh-CN"/>
        </w:rPr>
        <w:t>16</w:t>
      </w:r>
      <w:r>
        <w:rPr>
          <w:rFonts w:hint="eastAsia"/>
          <w:sz w:val="28"/>
          <w:szCs w:val="28"/>
          <w:lang w:eastAsia="zh-CN"/>
        </w:rPr>
        <w:t>天完成搬迁移交房屋的，按合法建筑面积100元/</w:t>
      </w:r>
      <w:r>
        <w:rPr>
          <w:rFonts w:hint="eastAsia" w:ascii="宋体" w:hAnsi="宋体" w:eastAsia="宋体" w:cs="宋体"/>
          <w:sz w:val="28"/>
          <w:szCs w:val="28"/>
          <w:lang w:eastAsia="zh-CN"/>
        </w:rPr>
        <w:t>㎡</w:t>
      </w:r>
      <w:r>
        <w:rPr>
          <w:rFonts w:hint="eastAsia"/>
          <w:sz w:val="28"/>
          <w:szCs w:val="28"/>
          <w:lang w:eastAsia="zh-CN"/>
        </w:rPr>
        <w:t>给予奖励， 之后开始搬迁移交房屋的不予奖励。</w:t>
      </w:r>
    </w:p>
    <w:p>
      <w:pPr>
        <w:numPr>
          <w:ilvl w:val="0"/>
          <w:numId w:val="1"/>
        </w:numPr>
        <w:spacing w:after="0"/>
        <w:ind w:firstLine="562" w:firstLineChars="200"/>
        <w:rPr>
          <w:rFonts w:hint="eastAsia"/>
          <w:b/>
          <w:bCs/>
          <w:sz w:val="28"/>
          <w:szCs w:val="28"/>
          <w:u w:val="none"/>
          <w:lang w:eastAsia="zh-CN"/>
        </w:rPr>
      </w:pPr>
      <w:r>
        <w:rPr>
          <w:rFonts w:hint="eastAsia"/>
          <w:b/>
          <w:bCs/>
          <w:sz w:val="28"/>
          <w:szCs w:val="28"/>
          <w:lang w:eastAsia="zh-CN"/>
        </w:rPr>
        <w:t>本方案未尽事宜，按有关法律法规的规定或房屋征收部门的补充方案执行。</w:t>
      </w:r>
    </w:p>
    <w:p>
      <w:pPr>
        <w:spacing w:after="0"/>
        <w:ind w:firstLine="560" w:firstLineChars="200"/>
        <w:rPr>
          <w:rFonts w:hint="eastAsia"/>
          <w:sz w:val="28"/>
          <w:szCs w:val="28"/>
          <w:lang w:eastAsia="zh-CN"/>
        </w:rPr>
      </w:pPr>
      <w:r>
        <w:rPr>
          <w:rFonts w:hint="eastAsia"/>
          <w:sz w:val="28"/>
          <w:szCs w:val="28"/>
          <w:lang w:eastAsia="zh-CN"/>
        </w:rPr>
        <w:t>附件：</w:t>
      </w:r>
      <w:r>
        <w:rPr>
          <w:rFonts w:hint="eastAsia"/>
          <w:sz w:val="28"/>
          <w:szCs w:val="28"/>
          <w:lang w:val="en-US" w:eastAsia="zh-CN"/>
        </w:rPr>
        <w:t>1、</w:t>
      </w:r>
      <w:r>
        <w:rPr>
          <w:rFonts w:hint="eastAsia"/>
          <w:sz w:val="28"/>
          <w:szCs w:val="28"/>
          <w:lang w:eastAsia="zh-CN"/>
        </w:rPr>
        <w:t>房屋等级划分标准和兑换比例</w:t>
      </w:r>
    </w:p>
    <w:p>
      <w:pPr>
        <w:spacing w:after="0"/>
        <w:ind w:firstLine="1400" w:firstLineChars="500"/>
        <w:rPr>
          <w:rFonts w:hint="eastAsia"/>
          <w:sz w:val="28"/>
          <w:szCs w:val="28"/>
          <w:lang w:eastAsia="zh-CN"/>
        </w:rPr>
      </w:pPr>
      <w:r>
        <w:rPr>
          <w:rFonts w:hint="eastAsia"/>
          <w:sz w:val="28"/>
          <w:szCs w:val="28"/>
          <w:lang w:eastAsia="zh-CN"/>
        </w:rPr>
        <w:t>2、附属物设施拆迁补偿等级标准价目表</w:t>
      </w:r>
    </w:p>
    <w:p>
      <w:pPr>
        <w:spacing w:after="0"/>
        <w:ind w:firstLine="5880" w:firstLineChars="2100"/>
        <w:rPr>
          <w:rFonts w:hint="eastAsia"/>
          <w:sz w:val="28"/>
          <w:szCs w:val="28"/>
          <w:lang w:eastAsia="zh-CN"/>
        </w:rPr>
      </w:pPr>
    </w:p>
    <w:p>
      <w:pPr>
        <w:spacing w:after="0"/>
        <w:ind w:firstLine="5880" w:firstLineChars="2100"/>
        <w:rPr>
          <w:rFonts w:hint="eastAsia"/>
          <w:sz w:val="28"/>
          <w:szCs w:val="28"/>
          <w:lang w:eastAsia="zh-CN"/>
        </w:rPr>
      </w:pPr>
    </w:p>
    <w:p>
      <w:pPr>
        <w:spacing w:after="0"/>
        <w:ind w:firstLine="5880" w:firstLineChars="2100"/>
        <w:rPr>
          <w:rFonts w:hint="eastAsia"/>
          <w:sz w:val="28"/>
          <w:szCs w:val="28"/>
          <w:lang w:eastAsia="zh-CN"/>
        </w:rPr>
      </w:pPr>
      <w:r>
        <w:rPr>
          <w:rFonts w:hint="eastAsia"/>
          <w:sz w:val="28"/>
          <w:szCs w:val="28"/>
          <w:lang w:eastAsia="zh-CN"/>
        </w:rPr>
        <w:t>20</w:t>
      </w:r>
      <w:r>
        <w:rPr>
          <w:rFonts w:hint="eastAsia"/>
          <w:sz w:val="28"/>
          <w:szCs w:val="28"/>
          <w:lang w:val="en-US" w:eastAsia="zh-CN"/>
        </w:rPr>
        <w:t>23</w:t>
      </w:r>
      <w:r>
        <w:rPr>
          <w:rFonts w:hint="eastAsia"/>
          <w:sz w:val="28"/>
          <w:szCs w:val="28"/>
          <w:lang w:eastAsia="zh-CN"/>
        </w:rPr>
        <w:t>年</w:t>
      </w:r>
      <w:r>
        <w:rPr>
          <w:rFonts w:hint="eastAsia"/>
          <w:sz w:val="28"/>
          <w:szCs w:val="28"/>
          <w:lang w:val="en-US" w:eastAsia="zh-CN"/>
        </w:rPr>
        <w:t>1</w:t>
      </w:r>
      <w:r>
        <w:rPr>
          <w:rFonts w:hint="eastAsia"/>
          <w:sz w:val="28"/>
          <w:szCs w:val="28"/>
          <w:lang w:eastAsia="zh-CN"/>
        </w:rPr>
        <w:t>月</w:t>
      </w:r>
      <w:r>
        <w:rPr>
          <w:rFonts w:hint="eastAsia"/>
          <w:sz w:val="28"/>
          <w:szCs w:val="28"/>
          <w:lang w:val="en-US" w:eastAsia="zh-CN"/>
        </w:rPr>
        <w:t>28</w:t>
      </w:r>
      <w:r>
        <w:rPr>
          <w:rFonts w:hint="eastAsia"/>
          <w:sz w:val="28"/>
          <w:szCs w:val="28"/>
          <w:lang w:eastAsia="zh-CN"/>
        </w:rPr>
        <w:t>日</w:t>
      </w:r>
    </w:p>
    <w:p>
      <w:pPr>
        <w:spacing w:after="0"/>
        <w:rPr>
          <w:rFonts w:hint="eastAsia"/>
          <w:b/>
          <w:bCs/>
          <w:sz w:val="28"/>
          <w:szCs w:val="28"/>
          <w:lang w:eastAsia="zh-CN"/>
        </w:rPr>
      </w:pPr>
    </w:p>
    <w:p>
      <w:pPr>
        <w:spacing w:after="0"/>
        <w:rPr>
          <w:rFonts w:hint="eastAsia"/>
          <w:b/>
          <w:bCs/>
          <w:sz w:val="28"/>
          <w:szCs w:val="28"/>
          <w:lang w:eastAsia="zh-CN"/>
        </w:rPr>
      </w:pPr>
    </w:p>
    <w:p>
      <w:pPr>
        <w:spacing w:after="0"/>
        <w:rPr>
          <w:rFonts w:hint="eastAsia"/>
          <w:b/>
          <w:bCs/>
          <w:sz w:val="28"/>
          <w:szCs w:val="28"/>
          <w:lang w:val="en-US" w:eastAsia="zh-CN"/>
        </w:rPr>
      </w:pPr>
      <w:r>
        <w:rPr>
          <w:rFonts w:hint="eastAsia"/>
          <w:b/>
          <w:bCs/>
          <w:sz w:val="28"/>
          <w:szCs w:val="28"/>
          <w:lang w:eastAsia="zh-CN"/>
        </w:rPr>
        <w:t>附件</w:t>
      </w:r>
      <w:r>
        <w:rPr>
          <w:rFonts w:hint="eastAsia"/>
          <w:b/>
          <w:bCs/>
          <w:sz w:val="28"/>
          <w:szCs w:val="28"/>
          <w:lang w:val="en-US" w:eastAsia="zh-CN"/>
        </w:rPr>
        <w:t>1</w:t>
      </w:r>
    </w:p>
    <w:p>
      <w:pPr>
        <w:spacing w:after="0"/>
        <w:jc w:val="center"/>
        <w:rPr>
          <w:rFonts w:hint="eastAsia"/>
          <w:b/>
          <w:bCs/>
          <w:sz w:val="28"/>
          <w:szCs w:val="28"/>
          <w:lang w:val="en-US" w:eastAsia="zh-CN"/>
        </w:rPr>
      </w:pPr>
      <w:r>
        <w:rPr>
          <w:rFonts w:hint="eastAsia"/>
          <w:b/>
          <w:bCs/>
          <w:sz w:val="28"/>
          <w:szCs w:val="28"/>
          <w:lang w:val="en-US" w:eastAsia="zh-CN"/>
        </w:rPr>
        <w:t>房屋等级划分标准</w:t>
      </w:r>
    </w:p>
    <w:tbl>
      <w:tblPr>
        <w:tblStyle w:val="4"/>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06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24" w:type="dxa"/>
            <w:vAlign w:val="center"/>
          </w:tcPr>
          <w:p>
            <w:pPr>
              <w:spacing w:after="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等级</w:t>
            </w:r>
          </w:p>
        </w:tc>
        <w:tc>
          <w:tcPr>
            <w:tcW w:w="6060" w:type="dxa"/>
            <w:vAlign w:val="center"/>
          </w:tcPr>
          <w:p>
            <w:pPr>
              <w:spacing w:after="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划  分  标  准</w:t>
            </w:r>
          </w:p>
        </w:tc>
        <w:tc>
          <w:tcPr>
            <w:tcW w:w="1512" w:type="dxa"/>
            <w:vAlign w:val="center"/>
          </w:tcPr>
          <w:p>
            <w:pPr>
              <w:spacing w:after="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兑换比例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vAlign w:val="center"/>
          </w:tcPr>
          <w:p>
            <w:pPr>
              <w:spacing w:after="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6060" w:type="dxa"/>
            <w:vAlign w:val="center"/>
          </w:tcPr>
          <w:p>
            <w:pPr>
              <w:spacing w:after="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砖混结构，全现浇顶，地圈梁，构造柱，2005年以后修建的，水、暖、电、卫齐全，地砖地面，防盗门，断桥隔热或塑钢双玻中空</w:t>
            </w:r>
            <w:r>
              <w:rPr>
                <w:rFonts w:hint="eastAsia" w:ascii="宋体" w:hAnsi="宋体" w:eastAsia="宋体" w:cs="宋体"/>
                <w:b w:val="0"/>
                <w:bCs w:val="0"/>
                <w:color w:val="auto"/>
                <w:sz w:val="24"/>
                <w:szCs w:val="24"/>
                <w:lang w:val="en-US" w:eastAsia="zh-CN"/>
              </w:rPr>
              <w:t>窗，外墙贴面。</w:t>
            </w:r>
          </w:p>
        </w:tc>
        <w:tc>
          <w:tcPr>
            <w:tcW w:w="1512"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vAlign w:val="center"/>
          </w:tcPr>
          <w:p>
            <w:pPr>
              <w:spacing w:after="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6060" w:type="dxa"/>
            <w:vAlign w:val="center"/>
          </w:tcPr>
          <w:p>
            <w:pPr>
              <w:spacing w:after="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砖混结构，现浇顶，2000年以后修建的，水、暖、电、卫齐全，地砖地面，铝合金或塑钢门窗，外墙抹灰。</w:t>
            </w:r>
          </w:p>
        </w:tc>
        <w:tc>
          <w:tcPr>
            <w:tcW w:w="1512"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6060" w:type="dxa"/>
            <w:vAlign w:val="center"/>
          </w:tcPr>
          <w:p>
            <w:pPr>
              <w:spacing w:after="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砖混结构，预制板顶，2000年以后修建的，水、暖、电、卫基本齐全，普通地砖地面，</w:t>
            </w:r>
            <w:r>
              <w:rPr>
                <w:rFonts w:hint="eastAsia" w:ascii="宋体" w:hAnsi="宋体" w:eastAsia="宋体" w:cs="宋体"/>
                <w:b w:val="0"/>
                <w:bCs w:val="0"/>
                <w:color w:val="auto"/>
                <w:sz w:val="24"/>
                <w:szCs w:val="24"/>
                <w:lang w:val="en-US" w:eastAsia="zh-CN"/>
              </w:rPr>
              <w:t>普通木门窗</w:t>
            </w:r>
            <w:r>
              <w:rPr>
                <w:rFonts w:hint="eastAsia" w:ascii="宋体" w:hAnsi="宋体" w:eastAsia="宋体" w:cs="宋体"/>
                <w:b w:val="0"/>
                <w:bCs w:val="0"/>
                <w:sz w:val="24"/>
                <w:szCs w:val="24"/>
                <w:lang w:val="en-US" w:eastAsia="zh-CN"/>
              </w:rPr>
              <w:t>或部分为塑钢门窗。</w:t>
            </w:r>
          </w:p>
        </w:tc>
        <w:tc>
          <w:tcPr>
            <w:tcW w:w="1512"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6060" w:type="dxa"/>
            <w:vAlign w:val="center"/>
          </w:tcPr>
          <w:p>
            <w:pPr>
              <w:spacing w:after="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砖木结构，全砖墙，水、暖、电、卫基本齐全，地砖地面，塑钢门窗。</w:t>
            </w:r>
          </w:p>
        </w:tc>
        <w:tc>
          <w:tcPr>
            <w:tcW w:w="1512"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6060" w:type="dxa"/>
            <w:vAlign w:val="center"/>
          </w:tcPr>
          <w:p>
            <w:pPr>
              <w:spacing w:after="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砖木结构，砖包土坯墙，水、暖、电、卫基本齐全，普通地砖地面，普通塑钢门窗。</w:t>
            </w:r>
          </w:p>
        </w:tc>
        <w:tc>
          <w:tcPr>
            <w:tcW w:w="1512"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6060" w:type="dxa"/>
            <w:vAlign w:val="center"/>
          </w:tcPr>
          <w:p>
            <w:pPr>
              <w:spacing w:after="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砖木结构，全土坯墙，水、电齐全，普通地砖或水磨石地面，普通木门窗。</w:t>
            </w:r>
          </w:p>
        </w:tc>
        <w:tc>
          <w:tcPr>
            <w:tcW w:w="1512"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824"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6060" w:type="dxa"/>
            <w:vAlign w:val="center"/>
          </w:tcPr>
          <w:p>
            <w:pPr>
              <w:spacing w:after="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使用年限超过50年的建筑，整体较完好，能基本保证正常居住和使用安全的房屋。</w:t>
            </w:r>
          </w:p>
        </w:tc>
        <w:tc>
          <w:tcPr>
            <w:tcW w:w="1512"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24"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6060" w:type="dxa"/>
            <w:vAlign w:val="center"/>
          </w:tcPr>
          <w:p>
            <w:pPr>
              <w:spacing w:after="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年久失修，承重构件已属危险构件，随时有可能丧失结构稳定和承载能力的，不能保证正常居住和使用安全的房屋。</w:t>
            </w:r>
          </w:p>
        </w:tc>
        <w:tc>
          <w:tcPr>
            <w:tcW w:w="1512" w:type="dxa"/>
            <w:vAlign w:val="center"/>
          </w:tcPr>
          <w:p>
            <w:pPr>
              <w:spacing w:after="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w:t>
            </w:r>
          </w:p>
        </w:tc>
      </w:tr>
    </w:tbl>
    <w:p>
      <w:pPr>
        <w:spacing w:after="0"/>
        <w:rPr>
          <w:rFonts w:hint="eastAsia"/>
          <w:b/>
          <w:bCs/>
          <w:sz w:val="28"/>
          <w:szCs w:val="28"/>
          <w:lang w:val="en-US" w:eastAsia="zh-CN"/>
        </w:rPr>
      </w:pPr>
      <w:r>
        <w:rPr>
          <w:rFonts w:hint="eastAsia"/>
          <w:b/>
          <w:bCs/>
          <w:sz w:val="28"/>
          <w:szCs w:val="28"/>
          <w:lang w:eastAsia="zh-CN"/>
        </w:rPr>
        <w:t>附件</w:t>
      </w:r>
      <w:r>
        <w:rPr>
          <w:rFonts w:hint="eastAsia"/>
          <w:b/>
          <w:bCs/>
          <w:sz w:val="28"/>
          <w:szCs w:val="28"/>
          <w:lang w:val="en-US" w:eastAsia="zh-CN"/>
        </w:rPr>
        <w:t xml:space="preserve">2 </w:t>
      </w:r>
    </w:p>
    <w:p>
      <w:pPr>
        <w:spacing w:after="0"/>
        <w:jc w:val="center"/>
        <w:rPr>
          <w:rFonts w:hint="eastAsia"/>
          <w:b/>
          <w:bCs/>
          <w:sz w:val="28"/>
          <w:szCs w:val="28"/>
          <w:lang w:val="en-US" w:eastAsia="zh-CN"/>
        </w:rPr>
      </w:pPr>
      <w:r>
        <w:rPr>
          <w:rFonts w:hint="eastAsia"/>
          <w:b/>
          <w:bCs/>
          <w:sz w:val="28"/>
          <w:szCs w:val="28"/>
          <w:lang w:val="en-US" w:eastAsia="zh-CN"/>
        </w:rPr>
        <w:t>附属设施拆迁补偿等级标准价目表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044"/>
        <w:gridCol w:w="1404"/>
        <w:gridCol w:w="5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名称</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等级</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单价（元）</w:t>
            </w:r>
          </w:p>
        </w:tc>
        <w:tc>
          <w:tcPr>
            <w:tcW w:w="5053"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等级内容说明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厕所</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750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砖砌墙、围墙完好、有瓦木顶盖、深3米、宽2米、长3 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630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砖石砌体、围墙完好、有简易顶、深2</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5米、宽1. 5米、长2</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5米以上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390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其他简易厕所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猪圈</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390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完好能用，有内外圈</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砖砌围墙，占地面积在8平方米以上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300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完好能用，有内外圈</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石砌围墙，占地面积在8平方米以上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完好能用，有内外圈，占地面积在4平方米以上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 w:type="dxa"/>
            <w:vMerge w:val="restart"/>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鸡舍</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225</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完好能用，有内外圈，占地面积在4平方米以上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完好能用，有内外圈，占地面积在3平方米以上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完好能用，有内外圈，占地面积在2平方米以上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经济树</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180-340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树干中段直径在15cm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150-180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树干中段直径在10一一15cm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90-120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树干中段直径在5一一</w:t>
            </w:r>
            <w:r>
              <w:rPr>
                <w:rFonts w:hint="eastAsia" w:ascii="宋体" w:hAnsi="宋体" w:cs="宋体"/>
                <w:b w:val="0"/>
                <w:bCs w:val="0"/>
                <w:sz w:val="21"/>
                <w:szCs w:val="21"/>
                <w:lang w:val="en-US" w:eastAsia="zh-CN"/>
              </w:rPr>
              <w:t>10</w:t>
            </w:r>
            <w:r>
              <w:rPr>
                <w:rFonts w:hint="eastAsia" w:ascii="宋体" w:hAnsi="宋体" w:eastAsia="宋体" w:cs="宋体"/>
                <w:b w:val="0"/>
                <w:bCs w:val="0"/>
                <w:sz w:val="21"/>
                <w:szCs w:val="21"/>
                <w:lang w:val="en-US" w:eastAsia="zh-CN"/>
              </w:rPr>
              <w: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60-90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树干中段直径在4cm以下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木材树</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135-150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树干胸径在22cm以上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105-135</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树干胸径在16一一20cm之间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60-90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树干胸径在10一一15cm之间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15-45</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树干胸径在6一一10cm之间，5cm以下桉树苗对待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门楼</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450/㎡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有门圪洞：高3米以上</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穿梭2 米以上，砖砌体整齐， 预制块，瓷砖贴面，按每平方米计算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360/㎡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sz w:val="21"/>
                <w:szCs w:val="21"/>
              </w:rPr>
              <w:t>有门圪洞：高</w:t>
            </w:r>
            <w:r>
              <w:rPr>
                <w:rFonts w:hint="eastAsia" w:ascii="宋体" w:hAnsi="宋体" w:cs="宋体"/>
                <w:sz w:val="21"/>
                <w:szCs w:val="21"/>
                <w:lang w:val="en-US" w:eastAsia="zh-CN"/>
              </w:rPr>
              <w:t>3</w:t>
            </w:r>
            <w:r>
              <w:rPr>
                <w:rFonts w:hint="eastAsia" w:ascii="宋体" w:hAnsi="宋体" w:eastAsia="宋体" w:cs="宋体"/>
                <w:sz w:val="21"/>
                <w:szCs w:val="21"/>
              </w:rPr>
              <w:t>米以上，穿梭</w:t>
            </w:r>
            <w:r>
              <w:rPr>
                <w:rFonts w:hint="eastAsia" w:ascii="宋体" w:hAnsi="宋体" w:cs="宋体"/>
                <w:sz w:val="21"/>
                <w:szCs w:val="21"/>
                <w:lang w:val="en-US" w:eastAsia="zh-CN"/>
              </w:rPr>
              <w:t>2</w:t>
            </w:r>
            <w:r>
              <w:rPr>
                <w:rFonts w:hint="eastAsia" w:ascii="宋体" w:hAnsi="宋体" w:eastAsia="宋体" w:cs="宋体"/>
                <w:sz w:val="21"/>
                <w:szCs w:val="21"/>
              </w:rPr>
              <w:t>米以上，砖砌体整齐， 预制块，</w:t>
            </w:r>
            <w:r>
              <w:rPr>
                <w:rFonts w:hint="eastAsia" w:ascii="宋体" w:hAnsi="宋体" w:cs="宋体"/>
                <w:sz w:val="21"/>
                <w:szCs w:val="21"/>
                <w:lang w:eastAsia="zh-CN"/>
              </w:rPr>
              <w:t>瓷砖</w:t>
            </w:r>
            <w:r>
              <w:rPr>
                <w:rFonts w:hint="eastAsia" w:ascii="宋体" w:hAnsi="宋体" w:eastAsia="宋体" w:cs="宋体"/>
                <w:sz w:val="21"/>
                <w:szCs w:val="21"/>
              </w:rPr>
              <w:t>贴面</w:t>
            </w:r>
            <w:r>
              <w:rPr>
                <w:rFonts w:hint="eastAsia" w:ascii="宋体" w:hAnsi="宋体" w:cs="宋体"/>
                <w:sz w:val="21"/>
                <w:szCs w:val="21"/>
                <w:lang w:val="en-US" w:eastAsia="zh-CN"/>
              </w:rPr>
              <w:t>,</w:t>
            </w:r>
            <w:r>
              <w:rPr>
                <w:rFonts w:hint="eastAsia" w:ascii="宋体" w:hAnsi="宋体" w:eastAsia="宋体" w:cs="宋体"/>
                <w:sz w:val="21"/>
                <w:szCs w:val="21"/>
              </w:rPr>
              <w:t>按每平方米计算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900/个</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无门圪洞</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只有门面墙且整齐美观</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全砖砌筑</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瓷砖贴面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750/个</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其它门楼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围墙</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全砖砌墙，整齐美观，内有粉刷，按延长米计算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乱砖砌筑，整齐美观，按延长米计算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土坯砌筑，按延长米计算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restart"/>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室外楼梯</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450</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混凝土楼梯，按平方米计算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225</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砖坯楼梯，按平方米计算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 w:type="dxa"/>
            <w:vMerge w:val="restart"/>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院落</w:t>
            </w: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75</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水磨石砖，按面积计算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45</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sz w:val="21"/>
                <w:szCs w:val="21"/>
              </w:rPr>
              <w:t>缸砖，砼地面，按面积计算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Merge w:val="continue"/>
            <w:vAlign w:val="center"/>
          </w:tcPr>
          <w:p>
            <w:pPr>
              <w:spacing w:after="0"/>
              <w:jc w:val="center"/>
              <w:rPr>
                <w:rFonts w:hint="eastAsia" w:ascii="宋体" w:hAnsi="宋体" w:eastAsia="宋体" w:cs="宋体"/>
                <w:b w:val="0"/>
                <w:bCs w:val="0"/>
                <w:sz w:val="21"/>
                <w:szCs w:val="21"/>
                <w:lang w:val="en-US" w:eastAsia="zh-CN"/>
              </w:rPr>
            </w:pPr>
          </w:p>
        </w:tc>
        <w:tc>
          <w:tcPr>
            <w:tcW w:w="104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22.5</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一</w:t>
            </w:r>
            <w:r>
              <w:rPr>
                <w:rFonts w:hint="eastAsia" w:ascii="宋体" w:hAnsi="宋体" w:eastAsia="宋体" w:cs="宋体"/>
                <w:b w:val="0"/>
                <w:bCs w:val="0"/>
                <w:sz w:val="21"/>
                <w:szCs w:val="21"/>
                <w:lang w:val="en-US" w:eastAsia="zh-CN"/>
              </w:rPr>
              <w:t>般砖地面，按面积计算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简易</w:t>
            </w:r>
            <w:r>
              <w:rPr>
                <w:rFonts w:hint="eastAsia" w:ascii="宋体" w:hAnsi="宋体" w:cs="宋体"/>
                <w:b w:val="0"/>
                <w:bCs w:val="0"/>
                <w:sz w:val="21"/>
                <w:szCs w:val="21"/>
                <w:lang w:val="en-US" w:eastAsia="zh-CN"/>
              </w:rPr>
              <w:t>房</w:t>
            </w:r>
          </w:p>
        </w:tc>
        <w:tc>
          <w:tcPr>
            <w:tcW w:w="1044" w:type="dxa"/>
            <w:vAlign w:val="center"/>
          </w:tcPr>
          <w:p>
            <w:pPr>
              <w:spacing w:after="0"/>
              <w:jc w:val="center"/>
              <w:rPr>
                <w:rFonts w:hint="eastAsia" w:ascii="宋体" w:hAnsi="宋体" w:eastAsia="宋体" w:cs="宋体"/>
                <w:b w:val="0"/>
                <w:bCs w:val="0"/>
                <w:sz w:val="21"/>
                <w:szCs w:val="21"/>
                <w:lang w:val="en-US" w:eastAsia="zh-CN"/>
              </w:rPr>
            </w:pPr>
          </w:p>
        </w:tc>
        <w:tc>
          <w:tcPr>
            <w:tcW w:w="1404" w:type="dxa"/>
            <w:vAlign w:val="center"/>
          </w:tcPr>
          <w:p>
            <w:pPr>
              <w:spacing w:after="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225/㎡</w:t>
            </w:r>
          </w:p>
        </w:tc>
        <w:tc>
          <w:tcPr>
            <w:tcW w:w="5053" w:type="dxa"/>
            <w:vAlign w:val="center"/>
          </w:tcPr>
          <w:p>
            <w:pPr>
              <w:spacing w:after="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结构较为简单</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砖墙体，内墙壁抹灰粉刷，用石棉瓦。</w:t>
            </w:r>
          </w:p>
        </w:tc>
      </w:tr>
    </w:tbl>
    <w:p>
      <w:pPr>
        <w:spacing w:after="0"/>
        <w:rPr>
          <w:rFonts w:hint="eastAsia"/>
          <w:b/>
          <w:bCs/>
          <w:sz w:val="28"/>
          <w:szCs w:val="28"/>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D48B4"/>
    <w:multiLevelType w:val="singleLevel"/>
    <w:tmpl w:val="E47D48B4"/>
    <w:lvl w:ilvl="0" w:tentative="0">
      <w:start w:val="16"/>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1"/>
  </w:compat>
  <w:docVars>
    <w:docVar w:name="commondata" w:val="eyJoZGlkIjoiODIzNzBhYWMwZjI0OTllM2M3ZDk5ODljMTkxN2Y0MzcifQ=="/>
  </w:docVars>
  <w:rsids>
    <w:rsidRoot w:val="00000000"/>
    <w:rsid w:val="09492B62"/>
    <w:rsid w:val="0CB009A3"/>
    <w:rsid w:val="12124D7B"/>
    <w:rsid w:val="1C112A19"/>
    <w:rsid w:val="20E612C2"/>
    <w:rsid w:val="264834DB"/>
    <w:rsid w:val="26B86612"/>
    <w:rsid w:val="2E807CEF"/>
    <w:rsid w:val="2ED51042"/>
    <w:rsid w:val="366652B8"/>
    <w:rsid w:val="38220553"/>
    <w:rsid w:val="3B9C0BE7"/>
    <w:rsid w:val="3D632551"/>
    <w:rsid w:val="4ED32DFB"/>
    <w:rsid w:val="51BD44CE"/>
    <w:rsid w:val="54930ADB"/>
    <w:rsid w:val="56DC53F6"/>
    <w:rsid w:val="5CAE4CAF"/>
    <w:rsid w:val="5D6A047B"/>
    <w:rsid w:val="620D0452"/>
    <w:rsid w:val="65D73E48"/>
    <w:rsid w:val="6ADE4515"/>
    <w:rsid w:val="77753D8F"/>
    <w:rsid w:val="7FF479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0" Type="http://schemas.openxmlformats.org/officeDocument/2006/relationships/fontTable" Target="fontTable.xml"/><Relationship Id="rId4" Type="http://schemas.openxmlformats.org/officeDocument/2006/relationships/theme" Target="theme/theme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33.jpeg"/><Relationship Id="rId36" Type="http://schemas.openxmlformats.org/officeDocument/2006/relationships/image" Target="media/image32.jpeg"/><Relationship Id="rId35" Type="http://schemas.openxmlformats.org/officeDocument/2006/relationships/image" Target="media/image31.jpeg"/><Relationship Id="rId34" Type="http://schemas.openxmlformats.org/officeDocument/2006/relationships/image" Target="media/image30.jpeg"/><Relationship Id="rId33" Type="http://schemas.openxmlformats.org/officeDocument/2006/relationships/image" Target="media/image29.jpeg"/><Relationship Id="rId32" Type="http://schemas.openxmlformats.org/officeDocument/2006/relationships/image" Target="media/image28.jpeg"/><Relationship Id="rId31" Type="http://schemas.openxmlformats.org/officeDocument/2006/relationships/image" Target="media/image27.jpeg"/><Relationship Id="rId30" Type="http://schemas.openxmlformats.org/officeDocument/2006/relationships/image" Target="media/image26.jpeg"/><Relationship Id="rId3" Type="http://schemas.openxmlformats.org/officeDocument/2006/relationships/footer" Target="footer1.xml"/><Relationship Id="rId29" Type="http://schemas.openxmlformats.org/officeDocument/2006/relationships/image" Target="media/image25.jpeg"/><Relationship Id="rId28" Type="http://schemas.openxmlformats.org/officeDocument/2006/relationships/image" Target="media/image24.jpe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5583</Words>
  <Characters>5856</Characters>
  <Lines>0</Lines>
  <Paragraphs>0</Paragraphs>
  <TotalTime>7</TotalTime>
  <ScaleCrop>false</ScaleCrop>
  <LinksUpToDate>false</LinksUpToDate>
  <CharactersWithSpaces>5927</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baixin</cp:lastModifiedBy>
  <cp:lastPrinted>2023-10-10T15:29:00Z</cp:lastPrinted>
  <dcterms:modified xsi:type="dcterms:W3CDTF">2025-08-26T16:37:59Z</dcterms:modified>
  <dc:title>阳城县下李丘城中村改造工程</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y fmtid="{D5CDD505-2E9C-101B-9397-08002B2CF9AE}" pid="3" name="ICV">
    <vt:lpwstr>1BD90FB1346846508C16073D68B7275D</vt:lpwstr>
  </property>
</Properties>
</file>